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5E8E4557">
      <w:pPr>
        <w:pStyle w:val="771"/>
        <w:bidi w:val="0"/>
        <w:rPr>
          <w:rFonts w:hint="eastAsia" w:eastAsia="宋体"/>
          <w:color w:val="auto"/>
          <w:lang w:val="en-US" w:eastAsia="zh-CN"/>
        </w:rPr>
      </w:pPr>
      <w:bookmarkStart w:id="0" w:name="_Hlk177544117"/>
      <w:bookmarkEnd w:id="0"/>
      <w:bookmarkStart w:id="1" w:name="_Toc121151509"/>
      <w:bookmarkStart w:id="2" w:name="OLE_LINK1"/>
      <w:bookmarkStart w:id="3" w:name="_Toc67775550"/>
      <w:r>
        <w:rPr>
          <w:rFonts w:hint="eastAsia"/>
          <w:color w:val="auto"/>
          <w:lang w:val="en-US" w:eastAsia="zh-CN"/>
        </w:rPr>
        <w:t xml:space="preserve"> </w:t>
      </w:r>
    </w:p>
    <w:p w14:paraId="4C9C328D">
      <w:pPr>
        <w:adjustRightInd w:val="0"/>
        <w:snapToGrid w:val="0"/>
        <w:spacing w:after="0"/>
        <w:jc w:val="center"/>
        <w:rPr>
          <w:color w:val="auto"/>
          <w:sz w:val="36"/>
          <w:szCs w:val="36"/>
        </w:rPr>
      </w:pPr>
    </w:p>
    <w:p w14:paraId="06381914">
      <w:pPr>
        <w:adjustRightInd w:val="0"/>
        <w:snapToGrid w:val="0"/>
        <w:spacing w:after="0"/>
        <w:jc w:val="center"/>
        <w:rPr>
          <w:color w:val="auto"/>
          <w:sz w:val="36"/>
          <w:szCs w:val="36"/>
        </w:rPr>
      </w:pPr>
    </w:p>
    <w:p w14:paraId="6019B7D6">
      <w:pPr>
        <w:adjustRightInd w:val="0"/>
        <w:snapToGrid w:val="0"/>
        <w:spacing w:after="0"/>
        <w:jc w:val="center"/>
        <w:rPr>
          <w:color w:val="auto"/>
          <w:sz w:val="36"/>
          <w:szCs w:val="36"/>
        </w:rPr>
      </w:pPr>
    </w:p>
    <w:p w14:paraId="2E8641E9">
      <w:pPr>
        <w:adjustRightInd w:val="0"/>
        <w:snapToGrid w:val="0"/>
        <w:spacing w:after="0"/>
        <w:jc w:val="center"/>
        <w:rPr>
          <w:color w:val="auto"/>
          <w:sz w:val="36"/>
          <w:szCs w:val="36"/>
        </w:rPr>
      </w:pPr>
    </w:p>
    <w:p w14:paraId="0262E90A">
      <w:pPr>
        <w:adjustRightInd w:val="0"/>
        <w:snapToGrid w:val="0"/>
        <w:spacing w:after="0"/>
        <w:jc w:val="center"/>
        <w:rPr>
          <w:color w:val="auto"/>
          <w:sz w:val="36"/>
          <w:szCs w:val="36"/>
        </w:rPr>
      </w:pPr>
    </w:p>
    <w:p w14:paraId="60D88DA3">
      <w:pPr>
        <w:adjustRightInd w:val="0"/>
        <w:snapToGrid w:val="0"/>
        <w:spacing w:after="0"/>
        <w:jc w:val="center"/>
        <w:outlineLvl w:val="0"/>
        <w:rPr>
          <w:bCs/>
          <w:color w:val="auto"/>
          <w:sz w:val="72"/>
          <w:szCs w:val="72"/>
        </w:rPr>
      </w:pPr>
      <w:r>
        <w:rPr>
          <w:bCs/>
          <w:color w:val="auto"/>
          <w:sz w:val="72"/>
          <w:szCs w:val="72"/>
        </w:rPr>
        <w:t>建设项目环境影响报告表</w:t>
      </w:r>
      <w:bookmarkEnd w:id="1"/>
      <w:bookmarkEnd w:id="2"/>
    </w:p>
    <w:p w14:paraId="46FD5B7C">
      <w:pPr>
        <w:adjustRightInd w:val="0"/>
        <w:snapToGrid w:val="0"/>
        <w:spacing w:before="192" w:beforeLines="80" w:after="0"/>
        <w:jc w:val="center"/>
        <w:rPr>
          <w:rFonts w:eastAsia="华文楷体"/>
          <w:bCs/>
          <w:color w:val="auto"/>
          <w:sz w:val="34"/>
          <w:szCs w:val="48"/>
        </w:rPr>
      </w:pPr>
      <w:r>
        <w:rPr>
          <w:rFonts w:eastAsia="华文楷体"/>
          <w:bCs/>
          <w:color w:val="auto"/>
          <w:sz w:val="48"/>
          <w:szCs w:val="48"/>
        </w:rPr>
        <w:t>（污染影响类）</w:t>
      </w:r>
    </w:p>
    <w:p w14:paraId="17F3ECFB">
      <w:pPr>
        <w:adjustRightInd w:val="0"/>
        <w:snapToGrid w:val="0"/>
        <w:spacing w:after="0" w:line="288" w:lineRule="auto"/>
        <w:jc w:val="center"/>
        <w:rPr>
          <w:color w:val="auto"/>
          <w:kern w:val="44"/>
          <w:sz w:val="44"/>
          <w:szCs w:val="44"/>
        </w:rPr>
      </w:pPr>
    </w:p>
    <w:p w14:paraId="77F8316C">
      <w:pPr>
        <w:spacing w:after="0"/>
        <w:jc w:val="center"/>
        <w:rPr>
          <w:color w:val="auto"/>
          <w:sz w:val="52"/>
          <w:szCs w:val="52"/>
        </w:rPr>
      </w:pPr>
    </w:p>
    <w:p w14:paraId="23C31727">
      <w:pPr>
        <w:spacing w:after="0"/>
        <w:jc w:val="center"/>
        <w:rPr>
          <w:color w:val="auto"/>
          <w:sz w:val="52"/>
          <w:szCs w:val="52"/>
        </w:rPr>
      </w:pPr>
    </w:p>
    <w:p w14:paraId="7E974C8C">
      <w:pPr>
        <w:spacing w:after="0"/>
        <w:jc w:val="center"/>
        <w:rPr>
          <w:color w:val="auto"/>
          <w:sz w:val="52"/>
          <w:szCs w:val="52"/>
        </w:rPr>
      </w:pPr>
    </w:p>
    <w:p w14:paraId="1DC5D28E">
      <w:pPr>
        <w:spacing w:after="0"/>
        <w:jc w:val="center"/>
        <w:rPr>
          <w:color w:val="auto"/>
          <w:sz w:val="52"/>
          <w:szCs w:val="52"/>
        </w:rPr>
      </w:pPr>
      <w:bookmarkStart w:id="4" w:name="_Hlk57884087"/>
    </w:p>
    <w:tbl>
      <w:tblPr>
        <w:tblStyle w:val="54"/>
        <w:tblW w:w="815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2968"/>
        <w:gridCol w:w="5189"/>
      </w:tblGrid>
      <w:tr w14:paraId="29A01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80" w:hRule="atLeast"/>
          <w:jc w:val="center"/>
        </w:trPr>
        <w:tc>
          <w:tcPr>
            <w:tcW w:w="2968" w:type="dxa"/>
            <w:vAlign w:val="bottom"/>
          </w:tcPr>
          <w:p w14:paraId="7086650E">
            <w:pPr>
              <w:spacing w:after="0"/>
              <w:jc w:val="distribute"/>
              <w:rPr>
                <w:color w:val="auto"/>
                <w:sz w:val="32"/>
                <w:szCs w:val="32"/>
              </w:rPr>
            </w:pPr>
            <w:r>
              <w:rPr>
                <w:color w:val="auto"/>
                <w:sz w:val="32"/>
                <w:szCs w:val="32"/>
              </w:rPr>
              <w:t>项 目 名 称：</w:t>
            </w:r>
          </w:p>
        </w:tc>
        <w:tc>
          <w:tcPr>
            <w:tcW w:w="5189" w:type="dxa"/>
            <w:tcBorders>
              <w:bottom w:val="single" w:color="auto" w:sz="4" w:space="0"/>
            </w:tcBorders>
            <w:vAlign w:val="bottom"/>
          </w:tcPr>
          <w:p w14:paraId="63C99640">
            <w:pPr>
              <w:spacing w:after="0"/>
              <w:jc w:val="both"/>
              <w:rPr>
                <w:rFonts w:hint="eastAsia" w:eastAsia="宋体"/>
                <w:color w:val="auto"/>
                <w:sz w:val="32"/>
                <w:szCs w:val="32"/>
                <w:lang w:eastAsia="zh-CN"/>
              </w:rPr>
            </w:pPr>
            <w:r>
              <w:rPr>
                <w:rFonts w:hint="eastAsia"/>
                <w:color w:val="auto"/>
                <w:sz w:val="32"/>
                <w:szCs w:val="32"/>
                <w:lang w:eastAsia="zh-CN"/>
              </w:rPr>
              <w:t>胶凝材料原料洗选及综合深加工开发</w:t>
            </w:r>
          </w:p>
        </w:tc>
      </w:tr>
      <w:tr w14:paraId="5F373F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80" w:hRule="atLeast"/>
          <w:jc w:val="center"/>
        </w:trPr>
        <w:tc>
          <w:tcPr>
            <w:tcW w:w="2968" w:type="dxa"/>
            <w:vAlign w:val="bottom"/>
          </w:tcPr>
          <w:p w14:paraId="2AA47B7B">
            <w:pPr>
              <w:spacing w:after="0"/>
              <w:jc w:val="distribute"/>
              <w:rPr>
                <w:color w:val="auto"/>
                <w:sz w:val="32"/>
                <w:szCs w:val="32"/>
              </w:rPr>
            </w:pPr>
          </w:p>
        </w:tc>
        <w:tc>
          <w:tcPr>
            <w:tcW w:w="5189" w:type="dxa"/>
            <w:tcBorders>
              <w:top w:val="single" w:color="auto" w:sz="4" w:space="0"/>
              <w:bottom w:val="single" w:color="auto" w:sz="4" w:space="0"/>
            </w:tcBorders>
            <w:vAlign w:val="bottom"/>
          </w:tcPr>
          <w:p w14:paraId="24C85B8D">
            <w:pPr>
              <w:spacing w:after="0"/>
              <w:jc w:val="both"/>
              <w:rPr>
                <w:rFonts w:hint="eastAsia" w:eastAsia="宋体"/>
                <w:color w:val="auto"/>
                <w:sz w:val="32"/>
                <w:szCs w:val="32"/>
                <w:lang w:eastAsia="zh-CN"/>
              </w:rPr>
            </w:pPr>
            <w:r>
              <w:rPr>
                <w:rFonts w:hint="eastAsia"/>
                <w:color w:val="auto"/>
                <w:sz w:val="32"/>
                <w:szCs w:val="32"/>
                <w:lang w:eastAsia="zh-CN"/>
              </w:rPr>
              <w:t>利用项目</w:t>
            </w:r>
          </w:p>
        </w:tc>
      </w:tr>
      <w:tr w14:paraId="50938E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80" w:hRule="atLeast"/>
          <w:jc w:val="center"/>
        </w:trPr>
        <w:tc>
          <w:tcPr>
            <w:tcW w:w="2968" w:type="dxa"/>
            <w:shd w:val="clear" w:color="auto" w:fill="auto"/>
            <w:vAlign w:val="bottom"/>
          </w:tcPr>
          <w:p w14:paraId="652A9050">
            <w:pPr>
              <w:spacing w:after="0"/>
              <w:jc w:val="distribute"/>
              <w:rPr>
                <w:rFonts w:ascii="Times New Roman" w:hAnsi="Times New Roman" w:eastAsia="宋体" w:cs="Times New Roman"/>
                <w:color w:val="auto"/>
                <w:sz w:val="32"/>
                <w:szCs w:val="32"/>
                <w:lang w:val="en-US" w:eastAsia="zh-CN" w:bidi="ar-SA"/>
              </w:rPr>
            </w:pPr>
            <w:r>
              <w:rPr>
                <w:color w:val="auto"/>
                <w:sz w:val="32"/>
                <w:szCs w:val="32"/>
              </w:rPr>
              <w:t>建设单位</w:t>
            </w:r>
            <w:r>
              <w:rPr>
                <w:rFonts w:hint="eastAsia"/>
                <w:color w:val="auto"/>
                <w:sz w:val="32"/>
                <w:szCs w:val="32"/>
                <w:lang w:eastAsia="zh-CN"/>
              </w:rPr>
              <w:t>（</w:t>
            </w:r>
            <w:r>
              <w:rPr>
                <w:color w:val="auto"/>
                <w:sz w:val="32"/>
                <w:szCs w:val="32"/>
              </w:rPr>
              <w:t>盖章</w:t>
            </w:r>
            <w:r>
              <w:rPr>
                <w:rFonts w:hint="eastAsia"/>
                <w:color w:val="auto"/>
                <w:sz w:val="32"/>
                <w:szCs w:val="32"/>
                <w:lang w:eastAsia="zh-CN"/>
              </w:rPr>
              <w:t>）</w:t>
            </w:r>
            <w:r>
              <w:rPr>
                <w:color w:val="auto"/>
                <w:sz w:val="32"/>
                <w:szCs w:val="32"/>
              </w:rPr>
              <w:t>：</w:t>
            </w:r>
          </w:p>
        </w:tc>
        <w:tc>
          <w:tcPr>
            <w:tcW w:w="5189" w:type="dxa"/>
            <w:tcBorders>
              <w:top w:val="single" w:color="auto" w:sz="4" w:space="0"/>
              <w:bottom w:val="single" w:color="auto" w:sz="4" w:space="0"/>
            </w:tcBorders>
            <w:shd w:val="clear" w:color="auto" w:fill="auto"/>
            <w:vAlign w:val="bottom"/>
          </w:tcPr>
          <w:p w14:paraId="79AAD431">
            <w:pPr>
              <w:spacing w:after="0"/>
              <w:jc w:val="center"/>
              <w:rPr>
                <w:rFonts w:hint="eastAsia" w:ascii="Times New Roman" w:hAnsi="Times New Roman" w:eastAsia="宋体" w:cs="Times New Roman"/>
                <w:color w:val="auto"/>
                <w:sz w:val="32"/>
                <w:szCs w:val="32"/>
                <w:lang w:val="en-US" w:eastAsia="zh-CN" w:bidi="ar-SA"/>
              </w:rPr>
            </w:pPr>
            <w:r>
              <w:rPr>
                <w:rFonts w:hint="eastAsia"/>
                <w:color w:val="auto"/>
                <w:sz w:val="32"/>
                <w:szCs w:val="32"/>
                <w:lang w:eastAsia="zh-CN"/>
              </w:rPr>
              <w:t>淮南市鹏骏新材料科技发展有限公司</w:t>
            </w:r>
          </w:p>
        </w:tc>
      </w:tr>
      <w:tr w14:paraId="3BA322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80" w:hRule="atLeast"/>
          <w:jc w:val="center"/>
        </w:trPr>
        <w:tc>
          <w:tcPr>
            <w:tcW w:w="2968" w:type="dxa"/>
            <w:shd w:val="clear" w:color="auto" w:fill="auto"/>
            <w:vAlign w:val="bottom"/>
          </w:tcPr>
          <w:p w14:paraId="7FC8019C">
            <w:pPr>
              <w:spacing w:after="0"/>
              <w:jc w:val="distribute"/>
              <w:rPr>
                <w:rFonts w:ascii="Times New Roman" w:hAnsi="Times New Roman" w:eastAsia="宋体" w:cs="Times New Roman"/>
                <w:color w:val="auto"/>
                <w:sz w:val="32"/>
                <w:szCs w:val="32"/>
                <w:lang w:val="en-US" w:eastAsia="zh-CN" w:bidi="ar-SA"/>
              </w:rPr>
            </w:pPr>
            <w:r>
              <w:rPr>
                <w:color w:val="auto"/>
                <w:sz w:val="32"/>
                <w:szCs w:val="32"/>
              </w:rPr>
              <w:t>编 制 日 期：</w:t>
            </w:r>
          </w:p>
        </w:tc>
        <w:tc>
          <w:tcPr>
            <w:tcW w:w="5189" w:type="dxa"/>
            <w:tcBorders>
              <w:top w:val="single" w:color="auto" w:sz="4" w:space="0"/>
              <w:bottom w:val="single" w:color="auto" w:sz="4" w:space="0"/>
            </w:tcBorders>
            <w:shd w:val="clear" w:color="auto" w:fill="auto"/>
            <w:vAlign w:val="bottom"/>
          </w:tcPr>
          <w:p w14:paraId="4C745813">
            <w:pPr>
              <w:spacing w:after="0"/>
              <w:jc w:val="center"/>
              <w:rPr>
                <w:rFonts w:ascii="Times New Roman" w:hAnsi="Times New Roman" w:eastAsia="宋体" w:cs="Times New Roman"/>
                <w:color w:val="auto"/>
                <w:sz w:val="32"/>
                <w:szCs w:val="32"/>
                <w:lang w:val="en-US" w:eastAsia="zh-CN" w:bidi="ar-SA"/>
              </w:rPr>
            </w:pPr>
            <w:r>
              <w:rPr>
                <w:color w:val="auto"/>
                <w:sz w:val="32"/>
                <w:szCs w:val="32"/>
              </w:rPr>
              <w:t>2025年</w:t>
            </w:r>
            <w:r>
              <w:rPr>
                <w:rFonts w:hint="eastAsia"/>
                <w:color w:val="auto"/>
                <w:sz w:val="32"/>
                <w:szCs w:val="32"/>
                <w:lang w:val="en-US" w:eastAsia="zh-CN"/>
              </w:rPr>
              <w:t>12</w:t>
            </w:r>
            <w:r>
              <w:rPr>
                <w:color w:val="auto"/>
                <w:sz w:val="32"/>
                <w:szCs w:val="32"/>
              </w:rPr>
              <w:t>月</w:t>
            </w:r>
          </w:p>
        </w:tc>
      </w:tr>
      <w:bookmarkEnd w:id="4"/>
    </w:tbl>
    <w:p w14:paraId="31B18C18">
      <w:pPr>
        <w:adjustRightInd w:val="0"/>
        <w:snapToGrid w:val="0"/>
        <w:spacing w:after="0" w:line="288" w:lineRule="auto"/>
        <w:jc w:val="center"/>
        <w:rPr>
          <w:color w:val="auto"/>
          <w:sz w:val="36"/>
          <w:szCs w:val="36"/>
        </w:rPr>
      </w:pPr>
    </w:p>
    <w:p w14:paraId="04BBE2D9">
      <w:pPr>
        <w:adjustRightInd w:val="0"/>
        <w:snapToGrid w:val="0"/>
        <w:spacing w:after="0" w:line="288" w:lineRule="auto"/>
        <w:jc w:val="center"/>
        <w:rPr>
          <w:color w:val="auto"/>
          <w:sz w:val="36"/>
          <w:szCs w:val="36"/>
        </w:rPr>
      </w:pPr>
    </w:p>
    <w:p w14:paraId="4ECA7E90">
      <w:pPr>
        <w:adjustRightInd w:val="0"/>
        <w:snapToGrid w:val="0"/>
        <w:spacing w:after="0" w:line="288" w:lineRule="auto"/>
        <w:jc w:val="center"/>
        <w:rPr>
          <w:color w:val="auto"/>
          <w:sz w:val="36"/>
          <w:szCs w:val="36"/>
        </w:rPr>
      </w:pPr>
    </w:p>
    <w:p w14:paraId="50FBFA40">
      <w:pPr>
        <w:adjustRightInd w:val="0"/>
        <w:snapToGrid w:val="0"/>
        <w:spacing w:after="0" w:line="288" w:lineRule="auto"/>
        <w:jc w:val="center"/>
        <w:rPr>
          <w:color w:val="auto"/>
          <w:sz w:val="36"/>
          <w:szCs w:val="36"/>
        </w:rPr>
      </w:pPr>
      <w:r>
        <w:rPr>
          <w:color w:val="auto"/>
          <w:sz w:val="36"/>
          <w:szCs w:val="36"/>
        </w:rPr>
        <w:t>中华人民共和国生态环境部制</w:t>
      </w:r>
    </w:p>
    <w:p w14:paraId="30588488">
      <w:pPr>
        <w:adjustRightInd w:val="0"/>
        <w:snapToGrid w:val="0"/>
        <w:spacing w:after="0" w:line="288" w:lineRule="auto"/>
        <w:rPr>
          <w:color w:val="auto"/>
          <w:sz w:val="36"/>
          <w:szCs w:val="36"/>
        </w:rPr>
        <w:sectPr>
          <w:headerReference r:id="rId5" w:type="first"/>
          <w:footerReference r:id="rId7" w:type="first"/>
          <w:footerReference r:id="rId6" w:type="even"/>
          <w:pgSz w:w="11906" w:h="16838"/>
          <w:pgMar w:top="1701" w:right="991" w:bottom="1701" w:left="1276" w:header="851" w:footer="1077" w:gutter="0"/>
          <w:pgNumType w:start="3"/>
          <w:cols w:space="720" w:num="1"/>
          <w:docGrid w:linePitch="312" w:charSpace="0"/>
        </w:sectPr>
      </w:pPr>
    </w:p>
    <w:p w14:paraId="5F97A036">
      <w:pPr>
        <w:spacing w:after="0" w:line="360" w:lineRule="auto"/>
        <w:jc w:val="center"/>
        <w:rPr>
          <w:b/>
          <w:color w:val="auto"/>
          <w:sz w:val="28"/>
          <w:szCs w:val="28"/>
        </w:rPr>
      </w:pPr>
    </w:p>
    <w:p w14:paraId="0F2D12D6">
      <w:pPr>
        <w:spacing w:after="0" w:line="360" w:lineRule="auto"/>
        <w:rPr>
          <w:b/>
          <w:color w:val="auto"/>
          <w:sz w:val="28"/>
          <w:szCs w:val="28"/>
        </w:rPr>
        <w:sectPr>
          <w:footerReference r:id="rId8" w:type="default"/>
          <w:pgSz w:w="11906" w:h="16838"/>
          <w:pgMar w:top="1440" w:right="1440" w:bottom="1440" w:left="1440" w:header="851" w:footer="1077" w:gutter="0"/>
          <w:pgNumType w:fmt="numberInDash" w:start="1"/>
          <w:cols w:space="720" w:num="1"/>
          <w:docGrid w:linePitch="312" w:charSpace="0"/>
        </w:sectPr>
      </w:pPr>
    </w:p>
    <w:p w14:paraId="71E6A6C6">
      <w:pPr>
        <w:spacing w:after="0" w:line="360" w:lineRule="auto"/>
        <w:jc w:val="center"/>
        <w:outlineLvl w:val="0"/>
        <w:rPr>
          <w:b/>
          <w:color w:val="auto"/>
          <w:sz w:val="32"/>
        </w:rPr>
      </w:pPr>
      <w:r>
        <w:rPr>
          <w:b/>
          <w:color w:val="auto"/>
          <w:sz w:val="32"/>
        </w:rPr>
        <w:t>目  录</w:t>
      </w:r>
      <w:bookmarkEnd w:id="3"/>
    </w:p>
    <w:p w14:paraId="45AB6A83">
      <w:pPr>
        <w:pStyle w:val="36"/>
        <w:tabs>
          <w:tab w:val="right" w:leader="dot" w:pos="9016"/>
        </w:tabs>
        <w:adjustRightInd w:val="0"/>
        <w:snapToGrid w:val="0"/>
        <w:spacing w:after="0" w:line="360" w:lineRule="auto"/>
        <w:rPr>
          <w:b/>
          <w:color w:val="auto"/>
        </w:rPr>
      </w:pPr>
      <w:r>
        <w:rPr>
          <w:b/>
          <w:snapToGrid w:val="0"/>
          <w:color w:val="auto"/>
        </w:rPr>
        <w:fldChar w:fldCharType="begin"/>
      </w:r>
      <w:r>
        <w:rPr>
          <w:b/>
          <w:snapToGrid w:val="0"/>
          <w:color w:val="auto"/>
        </w:rPr>
        <w:instrText xml:space="preserve"> TOC \o "1-2" \h \z \u </w:instrText>
      </w:r>
      <w:r>
        <w:rPr>
          <w:b/>
          <w:snapToGrid w:val="0"/>
          <w:color w:val="auto"/>
        </w:rPr>
        <w:fldChar w:fldCharType="separate"/>
      </w:r>
      <w:r>
        <w:rPr>
          <w:color w:val="auto"/>
        </w:rPr>
        <w:fldChar w:fldCharType="begin"/>
      </w:r>
      <w:r>
        <w:rPr>
          <w:color w:val="auto"/>
        </w:rPr>
        <w:instrText xml:space="preserve"> HYPERLINK \l "_Toc69030993" </w:instrText>
      </w:r>
      <w:r>
        <w:rPr>
          <w:color w:val="auto"/>
        </w:rPr>
        <w:fldChar w:fldCharType="separate"/>
      </w:r>
      <w:r>
        <w:rPr>
          <w:rStyle w:val="63"/>
          <w:b/>
          <w:snapToGrid w:val="0"/>
          <w:color w:val="auto"/>
        </w:rPr>
        <w:t>一、建设项目基本情</w:t>
      </w:r>
      <w:bookmarkStart w:id="5" w:name="_Hlt163336285"/>
      <w:bookmarkStart w:id="6" w:name="_Hlt163336286"/>
      <w:r>
        <w:rPr>
          <w:rStyle w:val="63"/>
          <w:b/>
          <w:snapToGrid w:val="0"/>
          <w:color w:val="auto"/>
        </w:rPr>
        <w:t>况</w:t>
      </w:r>
      <w:bookmarkEnd w:id="5"/>
      <w:bookmarkEnd w:id="6"/>
      <w:r>
        <w:rPr>
          <w:b/>
          <w:color w:val="auto"/>
        </w:rPr>
        <w:tab/>
      </w:r>
      <w:r>
        <w:rPr>
          <w:rFonts w:hint="eastAsia"/>
          <w:b/>
          <w:color w:val="auto"/>
          <w:lang w:val="en-US" w:eastAsia="zh-CN"/>
        </w:rPr>
        <w:t>1</w:t>
      </w:r>
      <w:r>
        <w:rPr>
          <w:b/>
          <w:color w:val="auto"/>
        </w:rPr>
        <w:fldChar w:fldCharType="end"/>
      </w:r>
    </w:p>
    <w:p w14:paraId="67541C6F">
      <w:pPr>
        <w:pStyle w:val="36"/>
        <w:tabs>
          <w:tab w:val="right" w:leader="dot" w:pos="9016"/>
        </w:tabs>
        <w:spacing w:after="0" w:line="360" w:lineRule="auto"/>
        <w:rPr>
          <w:b/>
          <w:color w:val="auto"/>
        </w:rPr>
      </w:pPr>
      <w:r>
        <w:rPr>
          <w:color w:val="auto"/>
        </w:rPr>
        <w:fldChar w:fldCharType="begin"/>
      </w:r>
      <w:r>
        <w:rPr>
          <w:color w:val="auto"/>
        </w:rPr>
        <w:instrText xml:space="preserve"> HYPERLINK \l "_Toc69030994" </w:instrText>
      </w:r>
      <w:r>
        <w:rPr>
          <w:color w:val="auto"/>
        </w:rPr>
        <w:fldChar w:fldCharType="separate"/>
      </w:r>
      <w:r>
        <w:rPr>
          <w:rStyle w:val="63"/>
          <w:b/>
          <w:snapToGrid w:val="0"/>
          <w:color w:val="auto"/>
        </w:rPr>
        <w:t>二、建设项目工程分析</w:t>
      </w:r>
      <w:r>
        <w:rPr>
          <w:b/>
          <w:color w:val="auto"/>
        </w:rPr>
        <w:tab/>
      </w:r>
      <w:r>
        <w:rPr>
          <w:b/>
          <w:color w:val="auto"/>
        </w:rPr>
        <w:fldChar w:fldCharType="begin"/>
      </w:r>
      <w:r>
        <w:rPr>
          <w:b/>
          <w:color w:val="auto"/>
        </w:rPr>
        <w:instrText xml:space="preserve"> PAGEREF _Toc69030994 \h </w:instrText>
      </w:r>
      <w:r>
        <w:rPr>
          <w:b/>
          <w:color w:val="auto"/>
        </w:rPr>
        <w:fldChar w:fldCharType="separate"/>
      </w:r>
      <w:r>
        <w:rPr>
          <w:b/>
          <w:color w:val="auto"/>
        </w:rPr>
        <w:t>13</w:t>
      </w:r>
      <w:r>
        <w:rPr>
          <w:b/>
          <w:color w:val="auto"/>
        </w:rPr>
        <w:fldChar w:fldCharType="end"/>
      </w:r>
      <w:r>
        <w:rPr>
          <w:b/>
          <w:color w:val="auto"/>
        </w:rPr>
        <w:fldChar w:fldCharType="end"/>
      </w:r>
    </w:p>
    <w:p w14:paraId="4D11C041">
      <w:pPr>
        <w:pStyle w:val="36"/>
        <w:tabs>
          <w:tab w:val="right" w:leader="dot" w:pos="9016"/>
        </w:tabs>
        <w:spacing w:after="0" w:line="360" w:lineRule="auto"/>
        <w:rPr>
          <w:b/>
          <w:color w:val="auto"/>
        </w:rPr>
      </w:pPr>
      <w:r>
        <w:rPr>
          <w:color w:val="auto"/>
        </w:rPr>
        <w:fldChar w:fldCharType="begin"/>
      </w:r>
      <w:r>
        <w:rPr>
          <w:color w:val="auto"/>
        </w:rPr>
        <w:instrText xml:space="preserve"> HYPERLINK \l "_Toc69030995" </w:instrText>
      </w:r>
      <w:r>
        <w:rPr>
          <w:color w:val="auto"/>
        </w:rPr>
        <w:fldChar w:fldCharType="separate"/>
      </w:r>
      <w:r>
        <w:rPr>
          <w:rStyle w:val="63"/>
          <w:b/>
          <w:snapToGrid w:val="0"/>
          <w:color w:val="auto"/>
        </w:rPr>
        <w:t>三、区域环境质量现</w:t>
      </w:r>
      <w:bookmarkStart w:id="7" w:name="_Hlt163336289"/>
      <w:r>
        <w:rPr>
          <w:rStyle w:val="63"/>
          <w:b/>
          <w:snapToGrid w:val="0"/>
          <w:color w:val="auto"/>
        </w:rPr>
        <w:t>状</w:t>
      </w:r>
      <w:bookmarkEnd w:id="7"/>
      <w:r>
        <w:rPr>
          <w:rStyle w:val="63"/>
          <w:b/>
          <w:snapToGrid w:val="0"/>
          <w:color w:val="auto"/>
        </w:rPr>
        <w:t>、环境保护目</w:t>
      </w:r>
      <w:bookmarkStart w:id="38" w:name="_GoBack"/>
      <w:bookmarkEnd w:id="38"/>
      <w:r>
        <w:rPr>
          <w:rStyle w:val="63"/>
          <w:b/>
          <w:snapToGrid w:val="0"/>
          <w:color w:val="auto"/>
        </w:rPr>
        <w:t>标及评价标准</w:t>
      </w:r>
      <w:r>
        <w:rPr>
          <w:b/>
          <w:color w:val="auto"/>
        </w:rPr>
        <w:tab/>
      </w:r>
      <w:r>
        <w:rPr>
          <w:b/>
          <w:color w:val="auto"/>
        </w:rPr>
        <w:fldChar w:fldCharType="begin"/>
      </w:r>
      <w:r>
        <w:rPr>
          <w:b/>
          <w:color w:val="auto"/>
        </w:rPr>
        <w:instrText xml:space="preserve"> PAGEREF _Toc69030995 \h </w:instrText>
      </w:r>
      <w:r>
        <w:rPr>
          <w:b/>
          <w:color w:val="auto"/>
        </w:rPr>
        <w:fldChar w:fldCharType="separate"/>
      </w:r>
      <w:r>
        <w:rPr>
          <w:b/>
          <w:color w:val="auto"/>
        </w:rPr>
        <w:t>24</w:t>
      </w:r>
      <w:r>
        <w:rPr>
          <w:b/>
          <w:color w:val="auto"/>
        </w:rPr>
        <w:fldChar w:fldCharType="end"/>
      </w:r>
      <w:r>
        <w:rPr>
          <w:b/>
          <w:color w:val="auto"/>
        </w:rPr>
        <w:fldChar w:fldCharType="end"/>
      </w:r>
    </w:p>
    <w:p w14:paraId="5955F7DE">
      <w:pPr>
        <w:pStyle w:val="36"/>
        <w:tabs>
          <w:tab w:val="right" w:leader="dot" w:pos="9016"/>
        </w:tabs>
        <w:spacing w:after="0" w:line="360" w:lineRule="auto"/>
        <w:rPr>
          <w:b/>
          <w:color w:val="auto"/>
        </w:rPr>
      </w:pPr>
      <w:r>
        <w:rPr>
          <w:color w:val="auto"/>
        </w:rPr>
        <w:fldChar w:fldCharType="begin"/>
      </w:r>
      <w:r>
        <w:rPr>
          <w:color w:val="auto"/>
        </w:rPr>
        <w:instrText xml:space="preserve"> HYPERLINK \l "_Toc69030996" </w:instrText>
      </w:r>
      <w:r>
        <w:rPr>
          <w:color w:val="auto"/>
        </w:rPr>
        <w:fldChar w:fldCharType="separate"/>
      </w:r>
      <w:r>
        <w:rPr>
          <w:rStyle w:val="63"/>
          <w:b/>
          <w:snapToGrid w:val="0"/>
          <w:color w:val="auto"/>
        </w:rPr>
        <w:t>四、主要环境影响和保护措施</w:t>
      </w:r>
      <w:r>
        <w:rPr>
          <w:b/>
          <w:color w:val="auto"/>
        </w:rPr>
        <w:tab/>
      </w:r>
      <w:r>
        <w:rPr>
          <w:b/>
          <w:color w:val="auto"/>
        </w:rPr>
        <w:fldChar w:fldCharType="begin"/>
      </w:r>
      <w:r>
        <w:rPr>
          <w:b/>
          <w:color w:val="auto"/>
        </w:rPr>
        <w:instrText xml:space="preserve"> PAGEREF _Toc69030996 \h </w:instrText>
      </w:r>
      <w:r>
        <w:rPr>
          <w:b/>
          <w:color w:val="auto"/>
        </w:rPr>
        <w:fldChar w:fldCharType="separate"/>
      </w:r>
      <w:r>
        <w:rPr>
          <w:b/>
          <w:color w:val="auto"/>
        </w:rPr>
        <w:t>31</w:t>
      </w:r>
      <w:r>
        <w:rPr>
          <w:b/>
          <w:color w:val="auto"/>
        </w:rPr>
        <w:fldChar w:fldCharType="end"/>
      </w:r>
      <w:r>
        <w:rPr>
          <w:b/>
          <w:color w:val="auto"/>
        </w:rPr>
        <w:fldChar w:fldCharType="end"/>
      </w:r>
    </w:p>
    <w:p w14:paraId="2243904F">
      <w:pPr>
        <w:pStyle w:val="36"/>
        <w:tabs>
          <w:tab w:val="right" w:leader="dot" w:pos="9016"/>
        </w:tabs>
        <w:spacing w:after="0" w:line="360" w:lineRule="auto"/>
        <w:rPr>
          <w:b/>
          <w:color w:val="auto"/>
        </w:rPr>
      </w:pPr>
      <w:r>
        <w:rPr>
          <w:color w:val="auto"/>
        </w:rPr>
        <w:fldChar w:fldCharType="begin"/>
      </w:r>
      <w:r>
        <w:rPr>
          <w:color w:val="auto"/>
        </w:rPr>
        <w:instrText xml:space="preserve"> HYPERLINK \l "_Toc69030997" </w:instrText>
      </w:r>
      <w:r>
        <w:rPr>
          <w:color w:val="auto"/>
        </w:rPr>
        <w:fldChar w:fldCharType="separate"/>
      </w:r>
      <w:r>
        <w:rPr>
          <w:rStyle w:val="63"/>
          <w:b/>
          <w:snapToGrid w:val="0"/>
          <w:color w:val="auto"/>
        </w:rPr>
        <w:t>五、环境保护措施监督检查清单</w:t>
      </w:r>
      <w:r>
        <w:rPr>
          <w:b/>
          <w:color w:val="auto"/>
        </w:rPr>
        <w:tab/>
      </w:r>
      <w:r>
        <w:rPr>
          <w:b/>
          <w:color w:val="auto"/>
        </w:rPr>
        <w:fldChar w:fldCharType="begin"/>
      </w:r>
      <w:r>
        <w:rPr>
          <w:b/>
          <w:color w:val="auto"/>
        </w:rPr>
        <w:instrText xml:space="preserve"> PAGEREF _Toc69030997 \h </w:instrText>
      </w:r>
      <w:r>
        <w:rPr>
          <w:b/>
          <w:color w:val="auto"/>
        </w:rPr>
        <w:fldChar w:fldCharType="separate"/>
      </w:r>
      <w:r>
        <w:rPr>
          <w:b/>
          <w:color w:val="auto"/>
        </w:rPr>
        <w:t>54</w:t>
      </w:r>
      <w:r>
        <w:rPr>
          <w:b/>
          <w:color w:val="auto"/>
        </w:rPr>
        <w:fldChar w:fldCharType="end"/>
      </w:r>
      <w:r>
        <w:rPr>
          <w:b/>
          <w:color w:val="auto"/>
        </w:rPr>
        <w:fldChar w:fldCharType="end"/>
      </w:r>
    </w:p>
    <w:p w14:paraId="5F7A9D4F">
      <w:pPr>
        <w:pStyle w:val="36"/>
        <w:tabs>
          <w:tab w:val="right" w:leader="dot" w:pos="9016"/>
        </w:tabs>
        <w:spacing w:after="0" w:line="360" w:lineRule="auto"/>
        <w:rPr>
          <w:b/>
          <w:color w:val="auto"/>
        </w:rPr>
      </w:pPr>
      <w:r>
        <w:rPr>
          <w:color w:val="auto"/>
        </w:rPr>
        <w:fldChar w:fldCharType="begin"/>
      </w:r>
      <w:r>
        <w:rPr>
          <w:color w:val="auto"/>
        </w:rPr>
        <w:instrText xml:space="preserve"> HYPERLINK \l "_Toc69030998" </w:instrText>
      </w:r>
      <w:r>
        <w:rPr>
          <w:color w:val="auto"/>
        </w:rPr>
        <w:fldChar w:fldCharType="separate"/>
      </w:r>
      <w:r>
        <w:rPr>
          <w:rStyle w:val="63"/>
          <w:b/>
          <w:snapToGrid w:val="0"/>
          <w:color w:val="auto"/>
        </w:rPr>
        <w:t>六、结论</w:t>
      </w:r>
      <w:bookmarkStart w:id="8" w:name="OLE_LINK4"/>
      <w:bookmarkStart w:id="9" w:name="OLE_LINK3"/>
      <w:r>
        <w:rPr>
          <w:b/>
          <w:color w:val="auto"/>
        </w:rPr>
        <w:tab/>
      </w:r>
      <w:r>
        <w:rPr>
          <w:b/>
          <w:color w:val="auto"/>
        </w:rPr>
        <w:fldChar w:fldCharType="begin"/>
      </w:r>
      <w:r>
        <w:rPr>
          <w:b/>
          <w:color w:val="auto"/>
        </w:rPr>
        <w:instrText xml:space="preserve"> PAGEREF _Toc69030998 \h </w:instrText>
      </w:r>
      <w:r>
        <w:rPr>
          <w:b/>
          <w:color w:val="auto"/>
        </w:rPr>
        <w:fldChar w:fldCharType="separate"/>
      </w:r>
      <w:r>
        <w:rPr>
          <w:b/>
          <w:color w:val="auto"/>
        </w:rPr>
        <w:t>56</w:t>
      </w:r>
      <w:r>
        <w:rPr>
          <w:b/>
          <w:color w:val="auto"/>
        </w:rPr>
        <w:fldChar w:fldCharType="end"/>
      </w:r>
      <w:bookmarkEnd w:id="8"/>
      <w:bookmarkEnd w:id="9"/>
      <w:r>
        <w:rPr>
          <w:b/>
          <w:color w:val="auto"/>
        </w:rPr>
        <w:fldChar w:fldCharType="end"/>
      </w:r>
    </w:p>
    <w:p w14:paraId="37A36E54">
      <w:pPr>
        <w:pStyle w:val="36"/>
        <w:tabs>
          <w:tab w:val="right" w:leader="dot" w:pos="9016"/>
        </w:tabs>
        <w:spacing w:after="0" w:line="360" w:lineRule="auto"/>
        <w:rPr>
          <w:b/>
          <w:color w:val="auto"/>
        </w:rPr>
      </w:pPr>
      <w:r>
        <w:rPr>
          <w:rStyle w:val="63"/>
          <w:b/>
          <w:color w:val="auto"/>
          <w:u w:val="none"/>
        </w:rPr>
        <w:t>附表：</w:t>
      </w:r>
      <w:r>
        <w:rPr>
          <w:color w:val="auto"/>
        </w:rPr>
        <w:fldChar w:fldCharType="begin"/>
      </w:r>
      <w:r>
        <w:rPr>
          <w:color w:val="auto"/>
        </w:rPr>
        <w:instrText xml:space="preserve"> HYPERLINK \l "_Toc69031000" </w:instrText>
      </w:r>
      <w:r>
        <w:rPr>
          <w:color w:val="auto"/>
        </w:rPr>
        <w:fldChar w:fldCharType="separate"/>
      </w:r>
      <w:r>
        <w:rPr>
          <w:rStyle w:val="63"/>
          <w:b/>
          <w:snapToGrid w:val="0"/>
          <w:color w:val="auto"/>
        </w:rPr>
        <w:t>建设项目污染物排放量</w:t>
      </w:r>
      <w:bookmarkStart w:id="10" w:name="_Hlt102520130"/>
      <w:bookmarkStart w:id="11" w:name="_Hlt102520131"/>
      <w:r>
        <w:rPr>
          <w:rStyle w:val="63"/>
          <w:b/>
          <w:snapToGrid w:val="0"/>
          <w:color w:val="auto"/>
        </w:rPr>
        <w:t>汇</w:t>
      </w:r>
      <w:bookmarkEnd w:id="10"/>
      <w:bookmarkEnd w:id="11"/>
      <w:r>
        <w:rPr>
          <w:rStyle w:val="63"/>
          <w:b/>
          <w:snapToGrid w:val="0"/>
          <w:color w:val="auto"/>
        </w:rPr>
        <w:t>总表</w:t>
      </w:r>
      <w:r>
        <w:rPr>
          <w:b/>
          <w:color w:val="auto"/>
        </w:rPr>
        <w:tab/>
      </w:r>
      <w:r>
        <w:rPr>
          <w:b/>
          <w:color w:val="auto"/>
        </w:rPr>
        <w:fldChar w:fldCharType="begin"/>
      </w:r>
      <w:r>
        <w:rPr>
          <w:b/>
          <w:color w:val="auto"/>
        </w:rPr>
        <w:instrText xml:space="preserve"> PAGEREF _Toc69031000 \h </w:instrText>
      </w:r>
      <w:r>
        <w:rPr>
          <w:b/>
          <w:color w:val="auto"/>
        </w:rPr>
        <w:fldChar w:fldCharType="separate"/>
      </w:r>
      <w:r>
        <w:rPr>
          <w:b/>
          <w:color w:val="auto"/>
        </w:rPr>
        <w:t>57</w:t>
      </w:r>
      <w:r>
        <w:rPr>
          <w:b/>
          <w:color w:val="auto"/>
        </w:rPr>
        <w:fldChar w:fldCharType="end"/>
      </w:r>
      <w:r>
        <w:rPr>
          <w:b/>
          <w:color w:val="auto"/>
        </w:rPr>
        <w:fldChar w:fldCharType="end"/>
      </w:r>
    </w:p>
    <w:p w14:paraId="37872C23">
      <w:pPr>
        <w:adjustRightInd w:val="0"/>
        <w:snapToGrid w:val="0"/>
        <w:spacing w:after="0"/>
        <w:rPr>
          <w:b/>
          <w:snapToGrid w:val="0"/>
          <w:color w:val="auto"/>
        </w:rPr>
      </w:pPr>
      <w:r>
        <w:rPr>
          <w:b/>
          <w:snapToGrid w:val="0"/>
          <w:color w:val="auto"/>
        </w:rPr>
        <w:fldChar w:fldCharType="end"/>
      </w:r>
    </w:p>
    <w:p w14:paraId="7554213B">
      <w:pPr>
        <w:adjustRightInd w:val="0"/>
        <w:snapToGrid w:val="0"/>
        <w:spacing w:after="0"/>
        <w:rPr>
          <w:b/>
          <w:bCs/>
          <w:color w:val="auto"/>
          <w:sz w:val="22"/>
          <w:szCs w:val="21"/>
        </w:rPr>
      </w:pPr>
      <w:r>
        <w:rPr>
          <w:b/>
          <w:bCs/>
          <w:color w:val="auto"/>
          <w:sz w:val="22"/>
          <w:szCs w:val="21"/>
        </w:rPr>
        <w:t>附图：</w:t>
      </w:r>
    </w:p>
    <w:p w14:paraId="527A0297">
      <w:pPr>
        <w:spacing w:after="0"/>
        <w:rPr>
          <w:color w:val="auto"/>
          <w:sz w:val="22"/>
          <w:szCs w:val="21"/>
        </w:rPr>
      </w:pPr>
      <w:r>
        <w:rPr>
          <w:color w:val="auto"/>
          <w:sz w:val="22"/>
          <w:szCs w:val="21"/>
        </w:rPr>
        <w:t>附图1 项目地理位置图</w:t>
      </w:r>
    </w:p>
    <w:p w14:paraId="35B3A131">
      <w:pPr>
        <w:spacing w:after="0"/>
        <w:rPr>
          <w:color w:val="auto"/>
          <w:sz w:val="22"/>
          <w:szCs w:val="24"/>
        </w:rPr>
      </w:pPr>
      <w:r>
        <w:rPr>
          <w:color w:val="auto"/>
          <w:sz w:val="22"/>
          <w:szCs w:val="24"/>
        </w:rPr>
        <w:t xml:space="preserve">附图2 </w:t>
      </w:r>
      <w:r>
        <w:rPr>
          <w:rFonts w:hint="eastAsia"/>
          <w:bCs/>
          <w:color w:val="auto"/>
          <w:sz w:val="22"/>
          <w:szCs w:val="21"/>
        </w:rPr>
        <w:t>项目总平面布置图</w:t>
      </w:r>
    </w:p>
    <w:p w14:paraId="5ADBC397">
      <w:pPr>
        <w:spacing w:after="0"/>
        <w:rPr>
          <w:rFonts w:hint="eastAsia" w:eastAsia="宋体"/>
          <w:bCs/>
          <w:color w:val="auto"/>
          <w:sz w:val="22"/>
          <w:szCs w:val="21"/>
          <w:lang w:eastAsia="zh-CN"/>
        </w:rPr>
      </w:pPr>
      <w:r>
        <w:rPr>
          <w:color w:val="auto"/>
          <w:sz w:val="22"/>
          <w:szCs w:val="21"/>
        </w:rPr>
        <w:t>附图3</w:t>
      </w:r>
      <w:r>
        <w:rPr>
          <w:rFonts w:hint="eastAsia"/>
          <w:color w:val="auto"/>
          <w:sz w:val="22"/>
          <w:szCs w:val="21"/>
          <w:lang w:val="en-US" w:eastAsia="zh-CN"/>
        </w:rPr>
        <w:t xml:space="preserve"> 项目周边概况图</w:t>
      </w:r>
    </w:p>
    <w:p w14:paraId="4C88EF12">
      <w:pPr>
        <w:spacing w:after="0"/>
        <w:rPr>
          <w:color w:val="auto"/>
          <w:sz w:val="22"/>
          <w:szCs w:val="21"/>
        </w:rPr>
      </w:pPr>
      <w:r>
        <w:rPr>
          <w:rFonts w:hint="eastAsia"/>
          <w:color w:val="auto"/>
          <w:sz w:val="22"/>
          <w:szCs w:val="21"/>
        </w:rPr>
        <w:t>附图</w:t>
      </w:r>
      <w:r>
        <w:rPr>
          <w:color w:val="auto"/>
          <w:sz w:val="22"/>
          <w:szCs w:val="21"/>
        </w:rPr>
        <w:t>4 项目</w:t>
      </w:r>
      <w:r>
        <w:rPr>
          <w:rFonts w:hint="eastAsia"/>
          <w:color w:val="auto"/>
          <w:sz w:val="22"/>
          <w:szCs w:val="21"/>
        </w:rPr>
        <w:t>周边</w:t>
      </w:r>
      <w:r>
        <w:rPr>
          <w:color w:val="auto"/>
          <w:sz w:val="22"/>
          <w:szCs w:val="21"/>
        </w:rPr>
        <w:t>环境</w:t>
      </w:r>
      <w:r>
        <w:rPr>
          <w:rFonts w:hint="eastAsia"/>
          <w:color w:val="auto"/>
          <w:sz w:val="22"/>
          <w:szCs w:val="21"/>
        </w:rPr>
        <w:t>关系</w:t>
      </w:r>
      <w:r>
        <w:rPr>
          <w:color w:val="auto"/>
          <w:sz w:val="22"/>
          <w:szCs w:val="21"/>
        </w:rPr>
        <w:t>图</w:t>
      </w:r>
    </w:p>
    <w:p w14:paraId="35B90730">
      <w:pPr>
        <w:spacing w:after="0"/>
        <w:rPr>
          <w:rFonts w:eastAsia="宋体"/>
          <w:color w:val="auto"/>
          <w:sz w:val="22"/>
          <w:szCs w:val="21"/>
        </w:rPr>
      </w:pPr>
      <w:r>
        <w:rPr>
          <w:rFonts w:eastAsia="宋体"/>
          <w:color w:val="auto"/>
          <w:sz w:val="22"/>
          <w:szCs w:val="21"/>
        </w:rPr>
        <w:t>附图5</w:t>
      </w:r>
      <w:r>
        <w:rPr>
          <w:rFonts w:hint="eastAsia" w:eastAsia="宋体"/>
          <w:color w:val="auto"/>
          <w:sz w:val="22"/>
          <w:szCs w:val="21"/>
        </w:rPr>
        <w:t>项目环境保护目标分布图</w:t>
      </w:r>
    </w:p>
    <w:p w14:paraId="01B3BB12">
      <w:pPr>
        <w:spacing w:after="0"/>
        <w:rPr>
          <w:rFonts w:eastAsia="宋体"/>
          <w:color w:val="auto"/>
          <w:sz w:val="22"/>
          <w:szCs w:val="21"/>
        </w:rPr>
      </w:pPr>
      <w:r>
        <w:rPr>
          <w:rFonts w:hint="eastAsia" w:eastAsia="宋体"/>
          <w:color w:val="auto"/>
          <w:sz w:val="22"/>
          <w:szCs w:val="21"/>
        </w:rPr>
        <w:t>附图</w:t>
      </w:r>
      <w:r>
        <w:rPr>
          <w:rFonts w:eastAsia="宋体"/>
          <w:color w:val="auto"/>
          <w:sz w:val="22"/>
          <w:szCs w:val="21"/>
        </w:rPr>
        <w:t>6</w:t>
      </w:r>
      <w:r>
        <w:rPr>
          <w:rFonts w:hint="eastAsia"/>
          <w:color w:val="auto"/>
          <w:sz w:val="22"/>
          <w:szCs w:val="21"/>
          <w:lang w:val="en-US" w:eastAsia="zh-CN"/>
        </w:rPr>
        <w:t>-1</w:t>
      </w:r>
      <w:r>
        <w:rPr>
          <w:rFonts w:eastAsia="宋体"/>
          <w:color w:val="auto"/>
          <w:sz w:val="22"/>
          <w:szCs w:val="21"/>
        </w:rPr>
        <w:t xml:space="preserve"> </w:t>
      </w:r>
      <w:r>
        <w:rPr>
          <w:rFonts w:hint="eastAsia" w:eastAsia="宋体"/>
          <w:color w:val="auto"/>
          <w:sz w:val="22"/>
          <w:szCs w:val="21"/>
          <w:lang w:eastAsia="zh-CN"/>
        </w:rPr>
        <w:t>八公山风景名胜区总体</w:t>
      </w:r>
      <w:r>
        <w:rPr>
          <w:rFonts w:eastAsia="宋体"/>
          <w:color w:val="auto"/>
          <w:sz w:val="22"/>
          <w:szCs w:val="21"/>
        </w:rPr>
        <w:t>规划图</w:t>
      </w:r>
    </w:p>
    <w:p w14:paraId="49823DDA">
      <w:pPr>
        <w:spacing w:after="0"/>
        <w:rPr>
          <w:rFonts w:hint="eastAsia" w:ascii="Times New Roman" w:hAnsi="Times New Roman" w:eastAsia="宋体" w:cs="Times New Roman"/>
          <w:color w:val="auto"/>
          <w:sz w:val="22"/>
          <w:szCs w:val="21"/>
        </w:rPr>
      </w:pPr>
      <w:r>
        <w:rPr>
          <w:rFonts w:hint="eastAsia" w:ascii="Times New Roman" w:hAnsi="Times New Roman" w:eastAsia="宋体" w:cs="Times New Roman"/>
          <w:color w:val="auto"/>
          <w:sz w:val="22"/>
          <w:szCs w:val="21"/>
          <w:lang w:eastAsia="zh-CN"/>
        </w:rPr>
        <w:t>附图</w:t>
      </w:r>
      <w:r>
        <w:rPr>
          <w:rFonts w:hint="eastAsia" w:ascii="Times New Roman" w:hAnsi="Times New Roman" w:eastAsia="宋体" w:cs="Times New Roman"/>
          <w:color w:val="auto"/>
          <w:sz w:val="22"/>
          <w:szCs w:val="21"/>
          <w:lang w:val="en-US" w:eastAsia="zh-CN"/>
        </w:rPr>
        <w:t xml:space="preserve">6-2 </w:t>
      </w:r>
      <w:r>
        <w:rPr>
          <w:rFonts w:hint="eastAsia" w:ascii="Times New Roman" w:hAnsi="Times New Roman" w:eastAsia="宋体" w:cs="Times New Roman"/>
          <w:color w:val="auto"/>
          <w:sz w:val="22"/>
          <w:szCs w:val="21"/>
          <w:lang w:eastAsia="zh-CN"/>
        </w:rPr>
        <w:t>八公山风景名胜区分区保护</w:t>
      </w:r>
      <w:r>
        <w:rPr>
          <w:rFonts w:hint="eastAsia" w:ascii="Times New Roman" w:hAnsi="Times New Roman" w:eastAsia="宋体" w:cs="Times New Roman"/>
          <w:color w:val="auto"/>
          <w:sz w:val="22"/>
          <w:szCs w:val="21"/>
        </w:rPr>
        <w:t>规划图</w:t>
      </w:r>
    </w:p>
    <w:p w14:paraId="35A40BAA">
      <w:pPr>
        <w:spacing w:after="0"/>
        <w:rPr>
          <w:rFonts w:hint="default" w:eastAsia="宋体"/>
          <w:color w:val="auto"/>
          <w:sz w:val="22"/>
          <w:szCs w:val="21"/>
          <w:lang w:val="en-US" w:eastAsia="zh-CN"/>
        </w:rPr>
      </w:pPr>
      <w:r>
        <w:rPr>
          <w:rFonts w:hint="eastAsia" w:eastAsia="宋体"/>
          <w:color w:val="auto"/>
          <w:sz w:val="22"/>
          <w:szCs w:val="21"/>
          <w:lang w:val="en-US" w:eastAsia="zh-CN"/>
        </w:rPr>
        <w:t xml:space="preserve">附图7 </w:t>
      </w:r>
      <w:r>
        <w:rPr>
          <w:rFonts w:eastAsia="宋体"/>
          <w:color w:val="auto"/>
          <w:sz w:val="22"/>
          <w:szCs w:val="21"/>
        </w:rPr>
        <w:t>淮南市“三区三线”划定图</w:t>
      </w:r>
    </w:p>
    <w:p w14:paraId="2043D539">
      <w:pPr>
        <w:spacing w:after="0"/>
        <w:rPr>
          <w:rFonts w:hint="eastAsia" w:eastAsia="宋体"/>
          <w:color w:val="auto"/>
          <w:sz w:val="22"/>
          <w:szCs w:val="21"/>
          <w:lang w:val="en-US" w:eastAsia="zh-CN"/>
        </w:rPr>
      </w:pPr>
      <w:r>
        <w:rPr>
          <w:rFonts w:eastAsia="宋体"/>
          <w:color w:val="auto"/>
          <w:sz w:val="22"/>
          <w:szCs w:val="21"/>
        </w:rPr>
        <w:t>附图</w:t>
      </w:r>
      <w:r>
        <w:rPr>
          <w:rFonts w:hint="eastAsia" w:eastAsia="宋体"/>
          <w:color w:val="auto"/>
          <w:sz w:val="22"/>
          <w:szCs w:val="21"/>
          <w:lang w:val="en-US" w:eastAsia="zh-CN"/>
        </w:rPr>
        <w:t>8</w:t>
      </w:r>
      <w:r>
        <w:rPr>
          <w:rFonts w:eastAsia="宋体"/>
          <w:color w:val="auto"/>
          <w:sz w:val="22"/>
          <w:szCs w:val="21"/>
        </w:rPr>
        <w:t xml:space="preserve"> </w:t>
      </w:r>
      <w:r>
        <w:rPr>
          <w:rFonts w:hint="eastAsia" w:eastAsia="宋体"/>
          <w:color w:val="auto"/>
          <w:sz w:val="22"/>
          <w:szCs w:val="21"/>
          <w:lang w:val="en-US" w:eastAsia="zh-CN"/>
        </w:rPr>
        <w:t>项目所在位置生态环境分区管控成果图</w:t>
      </w:r>
    </w:p>
    <w:p w14:paraId="4E492EE0">
      <w:pPr>
        <w:spacing w:after="0"/>
        <w:rPr>
          <w:rFonts w:hint="eastAsia" w:ascii="Times New Roman" w:hAnsi="Times New Roman" w:eastAsia="宋体" w:cs="Times New Roman"/>
          <w:color w:val="auto"/>
          <w:sz w:val="22"/>
          <w:szCs w:val="24"/>
          <w:lang w:val="en-US" w:eastAsia="zh-CN"/>
        </w:rPr>
      </w:pPr>
      <w:r>
        <w:rPr>
          <w:rFonts w:hint="eastAsia" w:ascii="Times New Roman" w:hAnsi="Times New Roman" w:eastAsia="宋体" w:cs="Times New Roman"/>
          <w:color w:val="auto"/>
          <w:sz w:val="22"/>
          <w:szCs w:val="24"/>
          <w:lang w:eastAsia="zh-CN"/>
        </w:rPr>
        <w:t>附图</w:t>
      </w:r>
      <w:r>
        <w:rPr>
          <w:rFonts w:hint="eastAsia" w:ascii="Times New Roman" w:hAnsi="Times New Roman" w:eastAsia="宋体" w:cs="Times New Roman"/>
          <w:color w:val="auto"/>
          <w:sz w:val="22"/>
          <w:szCs w:val="24"/>
          <w:lang w:val="en-US" w:eastAsia="zh-CN"/>
        </w:rPr>
        <w:t>9-1 淮南市大气环境分区管控图</w:t>
      </w:r>
    </w:p>
    <w:p w14:paraId="1E807C70">
      <w:pPr>
        <w:spacing w:after="0"/>
        <w:rPr>
          <w:rFonts w:hint="eastAsia" w:ascii="Times New Roman" w:hAnsi="Times New Roman" w:eastAsia="宋体" w:cs="Times New Roman"/>
          <w:color w:val="auto"/>
          <w:sz w:val="22"/>
          <w:szCs w:val="24"/>
          <w:lang w:val="en-US" w:eastAsia="zh-CN"/>
        </w:rPr>
      </w:pPr>
      <w:r>
        <w:rPr>
          <w:rFonts w:hint="eastAsia" w:ascii="Times New Roman" w:hAnsi="Times New Roman" w:eastAsia="宋体" w:cs="Times New Roman"/>
          <w:color w:val="auto"/>
          <w:sz w:val="22"/>
          <w:szCs w:val="24"/>
          <w:lang w:eastAsia="zh-CN"/>
        </w:rPr>
        <w:t>附图</w:t>
      </w:r>
      <w:r>
        <w:rPr>
          <w:rFonts w:hint="eastAsia" w:ascii="Times New Roman" w:hAnsi="Times New Roman" w:eastAsia="宋体" w:cs="Times New Roman"/>
          <w:color w:val="auto"/>
          <w:sz w:val="22"/>
          <w:szCs w:val="24"/>
          <w:lang w:val="en-US" w:eastAsia="zh-CN"/>
        </w:rPr>
        <w:t>9-2 淮南市水环境分区管控图</w:t>
      </w:r>
    </w:p>
    <w:p w14:paraId="28FE5715">
      <w:pPr>
        <w:spacing w:after="0"/>
        <w:rPr>
          <w:rFonts w:hint="default" w:ascii="Times New Roman" w:hAnsi="Times New Roman" w:eastAsia="宋体" w:cs="Times New Roman"/>
          <w:color w:val="auto"/>
          <w:sz w:val="22"/>
          <w:szCs w:val="24"/>
          <w:lang w:val="en-US" w:eastAsia="zh-CN"/>
        </w:rPr>
      </w:pPr>
      <w:r>
        <w:rPr>
          <w:rFonts w:hint="eastAsia" w:ascii="Times New Roman" w:hAnsi="Times New Roman" w:eastAsia="宋体" w:cs="Times New Roman"/>
          <w:color w:val="auto"/>
          <w:sz w:val="22"/>
          <w:szCs w:val="24"/>
          <w:lang w:eastAsia="zh-CN"/>
        </w:rPr>
        <w:t>附图</w:t>
      </w:r>
      <w:r>
        <w:rPr>
          <w:rFonts w:hint="eastAsia" w:ascii="Times New Roman" w:hAnsi="Times New Roman" w:eastAsia="宋体" w:cs="Times New Roman"/>
          <w:color w:val="auto"/>
          <w:sz w:val="22"/>
          <w:szCs w:val="24"/>
          <w:lang w:val="en-US" w:eastAsia="zh-CN"/>
        </w:rPr>
        <w:t>9-3 淮南市土壤环境分区管控图</w:t>
      </w:r>
    </w:p>
    <w:p w14:paraId="4E190A52">
      <w:pPr>
        <w:spacing w:after="0"/>
        <w:rPr>
          <w:rFonts w:hint="eastAsia" w:ascii="Times New Roman" w:hAnsi="Times New Roman" w:eastAsia="宋体" w:cs="Times New Roman"/>
          <w:color w:val="auto"/>
          <w:sz w:val="22"/>
          <w:szCs w:val="24"/>
        </w:rPr>
      </w:pPr>
      <w:r>
        <w:rPr>
          <w:rFonts w:hint="eastAsia" w:ascii="Times New Roman" w:hAnsi="Times New Roman" w:eastAsia="宋体" w:cs="Times New Roman"/>
          <w:color w:val="auto"/>
          <w:sz w:val="22"/>
          <w:szCs w:val="24"/>
          <w:lang w:eastAsia="zh-CN"/>
        </w:rPr>
        <w:t>附图</w:t>
      </w:r>
      <w:r>
        <w:rPr>
          <w:rFonts w:hint="eastAsia" w:ascii="Times New Roman" w:hAnsi="Times New Roman" w:eastAsia="宋体" w:cs="Times New Roman"/>
          <w:color w:val="auto"/>
          <w:sz w:val="22"/>
          <w:szCs w:val="24"/>
          <w:lang w:val="en-US" w:eastAsia="zh-CN"/>
        </w:rPr>
        <w:t>9-4 淮南市生态空间图</w:t>
      </w:r>
    </w:p>
    <w:p w14:paraId="535FF2C8">
      <w:pPr>
        <w:spacing w:after="0"/>
        <w:rPr>
          <w:rFonts w:hint="eastAsia" w:eastAsia="宋体"/>
          <w:color w:val="auto"/>
          <w:sz w:val="22"/>
          <w:szCs w:val="21"/>
          <w:lang w:val="en-US" w:eastAsia="zh-CN"/>
        </w:rPr>
      </w:pPr>
    </w:p>
    <w:p w14:paraId="7158A209">
      <w:pPr>
        <w:spacing w:after="0"/>
        <w:rPr>
          <w:color w:val="auto"/>
          <w:sz w:val="22"/>
          <w:szCs w:val="21"/>
        </w:rPr>
      </w:pPr>
    </w:p>
    <w:p w14:paraId="7F7E94AC">
      <w:pPr>
        <w:spacing w:after="0"/>
        <w:rPr>
          <w:color w:val="auto"/>
          <w:sz w:val="22"/>
          <w:szCs w:val="21"/>
        </w:rPr>
      </w:pPr>
    </w:p>
    <w:p w14:paraId="38608CF7">
      <w:pPr>
        <w:adjustRightInd w:val="0"/>
        <w:snapToGrid w:val="0"/>
        <w:spacing w:after="0"/>
        <w:rPr>
          <w:b/>
          <w:color w:val="auto"/>
          <w:sz w:val="22"/>
          <w:szCs w:val="24"/>
        </w:rPr>
      </w:pPr>
      <w:r>
        <w:rPr>
          <w:b/>
          <w:color w:val="auto"/>
          <w:sz w:val="22"/>
          <w:szCs w:val="24"/>
        </w:rPr>
        <w:t>附件：</w:t>
      </w:r>
    </w:p>
    <w:p w14:paraId="6AC67A4E">
      <w:pPr>
        <w:adjustRightInd w:val="0"/>
        <w:snapToGrid w:val="0"/>
        <w:spacing w:after="0"/>
        <w:rPr>
          <w:color w:val="auto"/>
          <w:sz w:val="22"/>
          <w:szCs w:val="24"/>
        </w:rPr>
      </w:pPr>
      <w:r>
        <w:rPr>
          <w:color w:val="auto"/>
          <w:sz w:val="22"/>
          <w:szCs w:val="24"/>
        </w:rPr>
        <w:t>附件1 环评委托书</w:t>
      </w:r>
    </w:p>
    <w:p w14:paraId="3F16B83B">
      <w:pPr>
        <w:adjustRightInd w:val="0"/>
        <w:snapToGrid w:val="0"/>
        <w:spacing w:after="0"/>
        <w:rPr>
          <w:color w:val="auto"/>
          <w:sz w:val="22"/>
          <w:szCs w:val="24"/>
        </w:rPr>
      </w:pPr>
      <w:r>
        <w:rPr>
          <w:color w:val="auto"/>
          <w:sz w:val="22"/>
          <w:szCs w:val="24"/>
        </w:rPr>
        <w:t>附件2 环评真实性承诺函</w:t>
      </w:r>
    </w:p>
    <w:p w14:paraId="21E7FD1F">
      <w:pPr>
        <w:adjustRightInd w:val="0"/>
        <w:snapToGrid w:val="0"/>
        <w:spacing w:after="0"/>
        <w:rPr>
          <w:color w:val="auto"/>
          <w:sz w:val="22"/>
          <w:szCs w:val="24"/>
        </w:rPr>
      </w:pPr>
      <w:r>
        <w:rPr>
          <w:color w:val="auto"/>
          <w:sz w:val="22"/>
          <w:szCs w:val="24"/>
        </w:rPr>
        <w:t>附件3 项目备案表</w:t>
      </w:r>
    </w:p>
    <w:p w14:paraId="571B98CE">
      <w:pPr>
        <w:adjustRightInd w:val="0"/>
        <w:snapToGrid w:val="0"/>
        <w:spacing w:after="0"/>
        <w:rPr>
          <w:color w:val="auto"/>
          <w:sz w:val="22"/>
          <w:szCs w:val="24"/>
        </w:rPr>
      </w:pPr>
      <w:r>
        <w:rPr>
          <w:color w:val="auto"/>
          <w:sz w:val="22"/>
          <w:szCs w:val="24"/>
        </w:rPr>
        <w:t>附件4 营业执照</w:t>
      </w:r>
    </w:p>
    <w:p w14:paraId="6C7D52FE">
      <w:pPr>
        <w:adjustRightInd w:val="0"/>
        <w:snapToGrid w:val="0"/>
        <w:spacing w:after="0"/>
        <w:rPr>
          <w:rFonts w:hint="eastAsia"/>
          <w:color w:val="auto"/>
          <w:sz w:val="22"/>
          <w:szCs w:val="24"/>
          <w:lang w:eastAsia="zh-CN"/>
        </w:rPr>
      </w:pPr>
      <w:r>
        <w:rPr>
          <w:color w:val="auto"/>
          <w:sz w:val="22"/>
          <w:szCs w:val="24"/>
        </w:rPr>
        <w:t>附件5</w:t>
      </w:r>
      <w:r>
        <w:rPr>
          <w:rFonts w:hint="eastAsia"/>
          <w:color w:val="auto"/>
          <w:sz w:val="22"/>
          <w:szCs w:val="24"/>
          <w:lang w:val="en-US" w:eastAsia="zh-CN"/>
        </w:rPr>
        <w:t xml:space="preserve"> </w:t>
      </w:r>
      <w:r>
        <w:rPr>
          <w:rFonts w:hint="eastAsia"/>
          <w:color w:val="auto"/>
          <w:sz w:val="22"/>
          <w:szCs w:val="24"/>
          <w:lang w:eastAsia="zh-CN"/>
        </w:rPr>
        <w:t>租赁协议</w:t>
      </w:r>
    </w:p>
    <w:p w14:paraId="71469A8A">
      <w:pPr>
        <w:adjustRightInd w:val="0"/>
        <w:snapToGrid w:val="0"/>
        <w:spacing w:after="0"/>
        <w:rPr>
          <w:rFonts w:hint="default"/>
          <w:color w:val="auto"/>
          <w:sz w:val="22"/>
          <w:szCs w:val="24"/>
          <w:lang w:val="en-US" w:eastAsia="zh-CN"/>
        </w:rPr>
      </w:pPr>
      <w:r>
        <w:rPr>
          <w:rFonts w:hint="eastAsia"/>
          <w:color w:val="auto"/>
          <w:sz w:val="22"/>
          <w:szCs w:val="24"/>
          <w:lang w:eastAsia="zh-CN"/>
        </w:rPr>
        <w:t>附件</w:t>
      </w:r>
      <w:r>
        <w:rPr>
          <w:rFonts w:hint="eastAsia"/>
          <w:color w:val="auto"/>
          <w:sz w:val="22"/>
          <w:szCs w:val="24"/>
          <w:lang w:val="en-US" w:eastAsia="zh-CN"/>
        </w:rPr>
        <w:t>6 关于淮南市鹏骏新材料科技发展有限公司胶凝材料原料洗选及综合深加工开发利用项目征求意见的复函</w:t>
      </w:r>
    </w:p>
    <w:p w14:paraId="342FF10C">
      <w:pPr>
        <w:spacing w:after="0" w:line="276" w:lineRule="auto"/>
        <w:rPr>
          <w:rFonts w:hint="default" w:eastAsia="宋体"/>
          <w:color w:val="auto"/>
          <w:szCs w:val="24"/>
          <w:lang w:val="en-US" w:eastAsia="zh-CN"/>
        </w:rPr>
      </w:pPr>
      <w:r>
        <w:rPr>
          <w:rFonts w:hint="eastAsia"/>
          <w:color w:val="auto"/>
          <w:szCs w:val="24"/>
          <w:lang w:eastAsia="zh-CN"/>
        </w:rPr>
        <w:t>附件</w:t>
      </w:r>
      <w:r>
        <w:rPr>
          <w:rFonts w:hint="eastAsia"/>
          <w:color w:val="auto"/>
          <w:szCs w:val="24"/>
          <w:lang w:val="en-US" w:eastAsia="zh-CN"/>
        </w:rPr>
        <w:t>7 检测报告</w:t>
      </w:r>
    </w:p>
    <w:p w14:paraId="56729CC3">
      <w:pPr>
        <w:spacing w:after="0" w:line="276" w:lineRule="auto"/>
        <w:rPr>
          <w:color w:val="auto"/>
          <w:szCs w:val="24"/>
        </w:rPr>
        <w:sectPr>
          <w:footerReference r:id="rId9" w:type="default"/>
          <w:pgSz w:w="11906" w:h="16838"/>
          <w:pgMar w:top="1440" w:right="1440" w:bottom="1440" w:left="1440" w:header="851" w:footer="1077" w:gutter="0"/>
          <w:pgNumType w:fmt="numberInDash" w:start="1"/>
          <w:cols w:space="720" w:num="1"/>
          <w:docGrid w:linePitch="312" w:charSpace="0"/>
        </w:sectPr>
      </w:pPr>
    </w:p>
    <w:p w14:paraId="27767971">
      <w:pPr>
        <w:spacing w:after="0" w:line="360" w:lineRule="exact"/>
        <w:rPr>
          <w:color w:val="auto"/>
        </w:rPr>
        <w:sectPr>
          <w:footerReference r:id="rId10" w:type="default"/>
          <w:pgSz w:w="11906" w:h="16838"/>
          <w:pgMar w:top="1440" w:right="1440" w:bottom="1440" w:left="1440" w:header="851" w:footer="1077" w:gutter="0"/>
          <w:pgNumType w:fmt="numberInDash" w:start="0"/>
          <w:cols w:space="720" w:num="1"/>
          <w:docGrid w:linePitch="312" w:charSpace="0"/>
        </w:sectPr>
      </w:pPr>
    </w:p>
    <w:p w14:paraId="038F91D8">
      <w:pPr>
        <w:pStyle w:val="3"/>
        <w:bidi w:val="0"/>
        <w:spacing w:after="0" w:line="240" w:lineRule="auto"/>
        <w:rPr>
          <w:color w:val="auto"/>
        </w:rPr>
      </w:pPr>
      <w:bookmarkStart w:id="12" w:name="_Hlk179379711"/>
      <w:r>
        <w:rPr>
          <w:rFonts w:hint="eastAsia"/>
          <w:color w:val="auto"/>
        </w:rPr>
        <w:t>一</w:t>
      </w:r>
      <w:r>
        <w:rPr>
          <w:color w:val="auto"/>
        </w:rPr>
        <w:t>、建设项目</w:t>
      </w:r>
      <w:r>
        <w:rPr>
          <w:rFonts w:hint="eastAsia"/>
          <w:color w:val="auto"/>
        </w:rPr>
        <w:t>基本情况</w:t>
      </w:r>
    </w:p>
    <w:bookmarkEnd w:id="12"/>
    <w:tbl>
      <w:tblPr>
        <w:tblStyle w:val="53"/>
        <w:tblpPr w:leftFromText="181" w:rightFromText="181" w:vertAnchor="text" w:tblpXSpec="center" w:tblpY="1"/>
        <w:tblOverlap w:val="never"/>
        <w:tblW w:w="5009"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869"/>
        <w:gridCol w:w="829"/>
        <w:gridCol w:w="2374"/>
        <w:gridCol w:w="1897"/>
        <w:gridCol w:w="288"/>
        <w:gridCol w:w="2812"/>
      </w:tblGrid>
      <w:tr w14:paraId="42BF75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7" w:hRule="atLeast"/>
        </w:trPr>
        <w:tc>
          <w:tcPr>
            <w:tcW w:w="1700" w:type="dxa"/>
            <w:gridSpan w:val="2"/>
            <w:tcMar>
              <w:top w:w="16" w:type="dxa"/>
              <w:left w:w="16" w:type="dxa"/>
              <w:right w:w="16" w:type="dxa"/>
            </w:tcMar>
            <w:vAlign w:val="center"/>
          </w:tcPr>
          <w:p w14:paraId="3535EF54">
            <w:pPr>
              <w:spacing w:after="0"/>
              <w:jc w:val="center"/>
              <w:rPr>
                <w:color w:val="auto"/>
              </w:rPr>
            </w:pPr>
            <w:bookmarkStart w:id="13" w:name="_Hlk179379718"/>
            <w:r>
              <w:rPr>
                <w:color w:val="auto"/>
              </w:rPr>
              <w:t>建设项目名称</w:t>
            </w:r>
          </w:p>
        </w:tc>
        <w:tc>
          <w:tcPr>
            <w:tcW w:w="7377" w:type="dxa"/>
            <w:gridSpan w:val="4"/>
            <w:vAlign w:val="center"/>
          </w:tcPr>
          <w:p w14:paraId="61EA3C6E">
            <w:pPr>
              <w:adjustRightInd w:val="0"/>
              <w:snapToGrid w:val="0"/>
              <w:spacing w:after="0"/>
              <w:jc w:val="center"/>
              <w:outlineLvl w:val="1"/>
              <w:rPr>
                <w:rFonts w:hint="eastAsia" w:eastAsia="宋体"/>
                <w:color w:val="auto"/>
                <w:lang w:eastAsia="zh-CN"/>
              </w:rPr>
            </w:pPr>
            <w:r>
              <w:rPr>
                <w:rFonts w:hint="eastAsia"/>
                <w:color w:val="auto"/>
                <w:lang w:eastAsia="zh-CN"/>
              </w:rPr>
              <w:t>胶凝材料原料洗选及综合深加工开发利用项目</w:t>
            </w:r>
          </w:p>
        </w:tc>
      </w:tr>
      <w:tr w14:paraId="362B8B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7" w:hRule="atLeast"/>
        </w:trPr>
        <w:tc>
          <w:tcPr>
            <w:tcW w:w="1700" w:type="dxa"/>
            <w:gridSpan w:val="2"/>
            <w:tcMar>
              <w:top w:w="16" w:type="dxa"/>
              <w:left w:w="16" w:type="dxa"/>
              <w:right w:w="16" w:type="dxa"/>
            </w:tcMar>
            <w:vAlign w:val="center"/>
          </w:tcPr>
          <w:p w14:paraId="1C6C443A">
            <w:pPr>
              <w:spacing w:after="0"/>
              <w:jc w:val="center"/>
              <w:rPr>
                <w:color w:val="auto"/>
              </w:rPr>
            </w:pPr>
            <w:r>
              <w:rPr>
                <w:color w:val="auto"/>
              </w:rPr>
              <w:t>项目代码</w:t>
            </w:r>
          </w:p>
        </w:tc>
        <w:tc>
          <w:tcPr>
            <w:tcW w:w="7377" w:type="dxa"/>
            <w:gridSpan w:val="4"/>
            <w:vAlign w:val="center"/>
          </w:tcPr>
          <w:p w14:paraId="036181DE">
            <w:pPr>
              <w:spacing w:after="0"/>
              <w:jc w:val="center"/>
              <w:rPr>
                <w:rFonts w:hint="eastAsia" w:eastAsia="宋体"/>
                <w:color w:val="auto"/>
                <w:lang w:eastAsia="zh-CN"/>
              </w:rPr>
            </w:pPr>
            <w:r>
              <w:rPr>
                <w:rFonts w:hint="eastAsia"/>
                <w:color w:val="auto"/>
                <w:lang w:eastAsia="zh-CN"/>
              </w:rPr>
              <w:t>2512-340405-04-05-211695</w:t>
            </w:r>
          </w:p>
        </w:tc>
      </w:tr>
      <w:tr w14:paraId="4B50BD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7" w:hRule="atLeast"/>
        </w:trPr>
        <w:tc>
          <w:tcPr>
            <w:tcW w:w="1700" w:type="dxa"/>
            <w:gridSpan w:val="2"/>
            <w:tcMar>
              <w:top w:w="16" w:type="dxa"/>
              <w:left w:w="16" w:type="dxa"/>
              <w:right w:w="16" w:type="dxa"/>
            </w:tcMar>
            <w:vAlign w:val="center"/>
          </w:tcPr>
          <w:p w14:paraId="658FBB4E">
            <w:pPr>
              <w:spacing w:after="0"/>
              <w:jc w:val="center"/>
              <w:rPr>
                <w:color w:val="auto"/>
              </w:rPr>
            </w:pPr>
            <w:r>
              <w:rPr>
                <w:color w:val="auto"/>
              </w:rPr>
              <w:t>建设单位</w:t>
            </w:r>
          </w:p>
          <w:p w14:paraId="654A13EA">
            <w:pPr>
              <w:spacing w:after="0"/>
              <w:jc w:val="center"/>
              <w:rPr>
                <w:color w:val="auto"/>
              </w:rPr>
            </w:pPr>
            <w:r>
              <w:rPr>
                <w:color w:val="auto"/>
              </w:rPr>
              <w:t>联系人</w:t>
            </w:r>
          </w:p>
        </w:tc>
        <w:tc>
          <w:tcPr>
            <w:tcW w:w="2376" w:type="dxa"/>
            <w:vAlign w:val="center"/>
          </w:tcPr>
          <w:p w14:paraId="389BC746">
            <w:pPr>
              <w:spacing w:after="0"/>
              <w:jc w:val="center"/>
              <w:rPr>
                <w:rFonts w:hint="eastAsia" w:eastAsia="宋体"/>
                <w:color w:val="auto"/>
                <w:lang w:eastAsia="zh-CN"/>
              </w:rPr>
            </w:pPr>
            <w:r>
              <w:rPr>
                <w:rFonts w:hint="eastAsia"/>
                <w:color w:val="auto"/>
                <w:lang w:eastAsia="zh-CN"/>
              </w:rPr>
              <w:t>李军</w:t>
            </w:r>
          </w:p>
        </w:tc>
        <w:tc>
          <w:tcPr>
            <w:tcW w:w="2187" w:type="dxa"/>
            <w:gridSpan w:val="2"/>
            <w:vAlign w:val="center"/>
          </w:tcPr>
          <w:p w14:paraId="75567BA5">
            <w:pPr>
              <w:spacing w:after="0"/>
              <w:jc w:val="center"/>
              <w:rPr>
                <w:color w:val="auto"/>
              </w:rPr>
            </w:pPr>
            <w:r>
              <w:rPr>
                <w:color w:val="auto"/>
              </w:rPr>
              <w:t>联系方式</w:t>
            </w:r>
          </w:p>
        </w:tc>
        <w:tc>
          <w:tcPr>
            <w:tcW w:w="2814" w:type="dxa"/>
            <w:vAlign w:val="center"/>
          </w:tcPr>
          <w:p w14:paraId="578634A9">
            <w:pPr>
              <w:spacing w:after="0"/>
              <w:jc w:val="center"/>
              <w:rPr>
                <w:rFonts w:hint="default" w:eastAsia="宋体"/>
                <w:color w:val="auto"/>
                <w:lang w:val="en-US" w:eastAsia="zh-CN"/>
              </w:rPr>
            </w:pPr>
            <w:r>
              <w:rPr>
                <w:rFonts w:hint="eastAsia"/>
                <w:color w:val="auto"/>
                <w:lang w:val="en-US" w:eastAsia="zh-CN"/>
              </w:rPr>
              <w:t>13395540888</w:t>
            </w:r>
          </w:p>
        </w:tc>
      </w:tr>
      <w:tr w14:paraId="0F3DA4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7" w:hRule="atLeast"/>
        </w:trPr>
        <w:tc>
          <w:tcPr>
            <w:tcW w:w="1700" w:type="dxa"/>
            <w:gridSpan w:val="2"/>
            <w:tcMar>
              <w:top w:w="16" w:type="dxa"/>
              <w:left w:w="16" w:type="dxa"/>
              <w:right w:w="16" w:type="dxa"/>
            </w:tcMar>
            <w:vAlign w:val="center"/>
          </w:tcPr>
          <w:p w14:paraId="087DCE1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color w:val="auto"/>
              </w:rPr>
            </w:pPr>
            <w:r>
              <w:rPr>
                <w:color w:val="auto"/>
              </w:rPr>
              <w:t>建设地点</w:t>
            </w:r>
          </w:p>
        </w:tc>
        <w:tc>
          <w:tcPr>
            <w:tcW w:w="7377" w:type="dxa"/>
            <w:gridSpan w:val="4"/>
            <w:vAlign w:val="center"/>
          </w:tcPr>
          <w:p w14:paraId="34AEE1EF">
            <w:pPr>
              <w:keepNext w:val="0"/>
              <w:keepLines w:val="0"/>
              <w:pageBreakBefore w:val="0"/>
              <w:widowControl/>
              <w:suppressLineNumbers w:val="0"/>
              <w:kinsoku/>
              <w:wordWrap/>
              <w:overflowPunct/>
              <w:topLinePunct w:val="0"/>
              <w:autoSpaceDE/>
              <w:autoSpaceDN/>
              <w:bidi w:val="0"/>
              <w:adjustRightInd/>
              <w:snapToGrid/>
              <w:spacing w:after="0" w:line="240" w:lineRule="auto"/>
              <w:ind w:left="0" w:leftChars="0" w:right="0" w:rightChars="0" w:firstLine="0" w:firstLineChars="0"/>
              <w:jc w:val="center"/>
              <w:textAlignment w:val="auto"/>
              <w:rPr>
                <w:color w:val="auto"/>
              </w:rPr>
            </w:pPr>
            <w:r>
              <w:rPr>
                <w:rFonts w:hint="eastAsia"/>
                <w:color w:val="auto"/>
                <w:lang w:eastAsia="zh-CN"/>
              </w:rPr>
              <w:t>安徽省淮南市八公山区淮南舜岳水泥有限责任公司厂区</w:t>
            </w:r>
          </w:p>
        </w:tc>
      </w:tr>
      <w:tr w14:paraId="1383D2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7" w:hRule="atLeast"/>
        </w:trPr>
        <w:tc>
          <w:tcPr>
            <w:tcW w:w="1700" w:type="dxa"/>
            <w:gridSpan w:val="2"/>
            <w:tcMar>
              <w:top w:w="16" w:type="dxa"/>
              <w:left w:w="16" w:type="dxa"/>
              <w:right w:w="16" w:type="dxa"/>
            </w:tcMar>
            <w:vAlign w:val="center"/>
          </w:tcPr>
          <w:p w14:paraId="3D166DBC">
            <w:pPr>
              <w:spacing w:after="0"/>
              <w:jc w:val="center"/>
              <w:rPr>
                <w:color w:val="auto"/>
              </w:rPr>
            </w:pPr>
            <w:r>
              <w:rPr>
                <w:color w:val="auto"/>
              </w:rPr>
              <w:t>地理坐标</w:t>
            </w:r>
          </w:p>
        </w:tc>
        <w:tc>
          <w:tcPr>
            <w:tcW w:w="7377" w:type="dxa"/>
            <w:gridSpan w:val="4"/>
            <w:vAlign w:val="center"/>
          </w:tcPr>
          <w:p w14:paraId="2D6D06B4">
            <w:pPr>
              <w:spacing w:after="0"/>
              <w:jc w:val="center"/>
              <w:rPr>
                <w:color w:val="auto"/>
              </w:rPr>
            </w:pPr>
            <w:r>
              <w:rPr>
                <w:rFonts w:hint="eastAsia"/>
                <w:color w:val="auto"/>
              </w:rPr>
              <w:t>（116°49′50.73″E</w:t>
            </w:r>
            <w:r>
              <w:rPr>
                <w:rFonts w:hint="eastAsia"/>
                <w:color w:val="auto"/>
                <w:lang w:eastAsia="zh-CN"/>
              </w:rPr>
              <w:t>，</w:t>
            </w:r>
            <w:r>
              <w:rPr>
                <w:rFonts w:hint="eastAsia"/>
                <w:color w:val="auto"/>
              </w:rPr>
              <w:t>32°36′41.69″N）</w:t>
            </w:r>
          </w:p>
        </w:tc>
      </w:tr>
      <w:tr w14:paraId="3FF87C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trPr>
        <w:tc>
          <w:tcPr>
            <w:tcW w:w="1700" w:type="dxa"/>
            <w:gridSpan w:val="2"/>
            <w:tcMar>
              <w:top w:w="16" w:type="dxa"/>
              <w:left w:w="16" w:type="dxa"/>
              <w:right w:w="16" w:type="dxa"/>
            </w:tcMar>
            <w:vAlign w:val="center"/>
          </w:tcPr>
          <w:p w14:paraId="3DFC8616">
            <w:pPr>
              <w:adjustRightInd w:val="0"/>
              <w:spacing w:after="0" w:line="400" w:lineRule="exact"/>
              <w:jc w:val="center"/>
              <w:rPr>
                <w:color w:val="auto"/>
              </w:rPr>
            </w:pPr>
            <w:r>
              <w:rPr>
                <w:color w:val="auto"/>
              </w:rPr>
              <w:t>国民经济</w:t>
            </w:r>
          </w:p>
          <w:p w14:paraId="267903C0">
            <w:pPr>
              <w:adjustRightInd w:val="0"/>
              <w:spacing w:after="0" w:line="400" w:lineRule="exact"/>
              <w:jc w:val="center"/>
              <w:rPr>
                <w:color w:val="auto"/>
              </w:rPr>
            </w:pPr>
            <w:r>
              <w:rPr>
                <w:color w:val="auto"/>
              </w:rPr>
              <w:t>行业类别</w:t>
            </w:r>
          </w:p>
        </w:tc>
        <w:tc>
          <w:tcPr>
            <w:tcW w:w="2376" w:type="dxa"/>
            <w:vAlign w:val="center"/>
          </w:tcPr>
          <w:p w14:paraId="3231391E">
            <w:pPr>
              <w:spacing w:after="0"/>
              <w:jc w:val="center"/>
              <w:rPr>
                <w:rFonts w:hint="default" w:eastAsia="宋体"/>
                <w:color w:val="auto"/>
                <w:lang w:val="en-US" w:eastAsia="zh-CN"/>
              </w:rPr>
            </w:pPr>
            <w:r>
              <w:rPr>
                <w:rFonts w:hint="eastAsia"/>
                <w:color w:val="auto"/>
                <w:lang w:val="en-US" w:eastAsia="zh-CN"/>
              </w:rPr>
              <w:t>B0690其他煤炭采选</w:t>
            </w:r>
          </w:p>
        </w:tc>
        <w:tc>
          <w:tcPr>
            <w:tcW w:w="1899" w:type="dxa"/>
            <w:vAlign w:val="center"/>
          </w:tcPr>
          <w:p w14:paraId="29A1CADA">
            <w:pPr>
              <w:spacing w:after="0"/>
              <w:jc w:val="center"/>
              <w:rPr>
                <w:rFonts w:hint="eastAsia"/>
                <w:color w:val="auto"/>
                <w:lang w:val="en-US" w:eastAsia="zh-CN"/>
              </w:rPr>
            </w:pPr>
            <w:bookmarkStart w:id="14" w:name="_Hlk49843745"/>
            <w:r>
              <w:rPr>
                <w:rFonts w:hint="eastAsia"/>
                <w:color w:val="auto"/>
                <w:lang w:val="en-US" w:eastAsia="zh-CN"/>
              </w:rPr>
              <w:t>建设项目</w:t>
            </w:r>
          </w:p>
          <w:p w14:paraId="71E26257">
            <w:pPr>
              <w:spacing w:after="0"/>
              <w:jc w:val="center"/>
              <w:rPr>
                <w:rFonts w:hint="eastAsia"/>
                <w:color w:val="auto"/>
                <w:lang w:val="en-US" w:eastAsia="zh-CN"/>
              </w:rPr>
            </w:pPr>
            <w:r>
              <w:rPr>
                <w:rFonts w:hint="eastAsia"/>
                <w:color w:val="auto"/>
                <w:lang w:val="en-US" w:eastAsia="zh-CN"/>
              </w:rPr>
              <w:t>行业类别</w:t>
            </w:r>
            <w:bookmarkEnd w:id="14"/>
          </w:p>
        </w:tc>
        <w:tc>
          <w:tcPr>
            <w:tcW w:w="3102" w:type="dxa"/>
            <w:gridSpan w:val="2"/>
            <w:vAlign w:val="center"/>
          </w:tcPr>
          <w:p w14:paraId="3201C36B">
            <w:pPr>
              <w:spacing w:after="0"/>
              <w:jc w:val="center"/>
              <w:rPr>
                <w:rFonts w:hint="eastAsia"/>
                <w:color w:val="auto"/>
                <w:lang w:val="en-US" w:eastAsia="zh-CN"/>
              </w:rPr>
            </w:pPr>
            <w:r>
              <w:rPr>
                <w:rFonts w:hint="eastAsia"/>
                <w:color w:val="auto"/>
                <w:lang w:val="en-US" w:eastAsia="zh-CN"/>
              </w:rPr>
              <w:t>四、煤炭开采和洗选业 06-其他煤炭采选 069</w:t>
            </w:r>
          </w:p>
        </w:tc>
      </w:tr>
      <w:tr w14:paraId="72EFC9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26" w:hRule="atLeast"/>
        </w:trPr>
        <w:tc>
          <w:tcPr>
            <w:tcW w:w="1700" w:type="dxa"/>
            <w:gridSpan w:val="2"/>
            <w:tcMar>
              <w:top w:w="16" w:type="dxa"/>
              <w:left w:w="16" w:type="dxa"/>
              <w:right w:w="16" w:type="dxa"/>
            </w:tcMar>
            <w:vAlign w:val="center"/>
          </w:tcPr>
          <w:p w14:paraId="6C39B3A6">
            <w:pPr>
              <w:spacing w:after="0"/>
              <w:jc w:val="center"/>
              <w:rPr>
                <w:color w:val="auto"/>
              </w:rPr>
            </w:pPr>
            <w:r>
              <w:rPr>
                <w:color w:val="auto"/>
              </w:rPr>
              <w:t>建设性质</w:t>
            </w:r>
          </w:p>
        </w:tc>
        <w:tc>
          <w:tcPr>
            <w:tcW w:w="2376" w:type="dxa"/>
            <w:vAlign w:val="center"/>
          </w:tcPr>
          <w:p w14:paraId="5B60204C">
            <w:pPr>
              <w:spacing w:after="0" w:line="240" w:lineRule="atLeast"/>
              <w:jc w:val="left"/>
              <w:rPr>
                <w:color w:val="auto"/>
              </w:rPr>
            </w:pPr>
            <w:r>
              <w:rPr>
                <w:rFonts w:hint="eastAsia"/>
                <w:color w:val="auto"/>
                <w:lang w:eastAsia="zh-CN"/>
              </w:rPr>
              <w:t>☑</w:t>
            </w:r>
            <w:r>
              <w:rPr>
                <w:color w:val="auto"/>
              </w:rPr>
              <w:t>新建</w:t>
            </w:r>
            <w:r>
              <w:rPr>
                <w:rFonts w:hint="eastAsia"/>
                <w:color w:val="auto"/>
                <w:lang w:eastAsia="zh-CN"/>
              </w:rPr>
              <w:t>（</w:t>
            </w:r>
            <w:r>
              <w:rPr>
                <w:color w:val="auto"/>
              </w:rPr>
              <w:t>迁建）</w:t>
            </w:r>
          </w:p>
          <w:p w14:paraId="5A510BE7">
            <w:pPr>
              <w:spacing w:after="0" w:line="240" w:lineRule="atLeast"/>
              <w:jc w:val="left"/>
              <w:rPr>
                <w:color w:val="auto"/>
              </w:rPr>
            </w:pPr>
            <w:r>
              <w:rPr>
                <w:rFonts w:hint="eastAsia"/>
                <w:color w:val="auto"/>
                <w:lang w:eastAsia="zh-CN"/>
              </w:rPr>
              <w:t>□</w:t>
            </w:r>
            <w:r>
              <w:rPr>
                <w:color w:val="auto"/>
              </w:rPr>
              <w:t>改建</w:t>
            </w:r>
          </w:p>
          <w:p w14:paraId="0A134A4A">
            <w:pPr>
              <w:spacing w:after="0" w:line="240" w:lineRule="atLeast"/>
              <w:jc w:val="left"/>
              <w:rPr>
                <w:color w:val="auto"/>
              </w:rPr>
            </w:pPr>
            <w:r>
              <w:rPr>
                <w:rFonts w:hint="eastAsia"/>
                <w:color w:val="auto"/>
                <w:lang w:eastAsia="zh-CN"/>
              </w:rPr>
              <w:t>□</w:t>
            </w:r>
            <w:r>
              <w:rPr>
                <w:color w:val="auto"/>
              </w:rPr>
              <w:t>扩建</w:t>
            </w:r>
          </w:p>
          <w:p w14:paraId="7EFFDA19">
            <w:pPr>
              <w:spacing w:after="0" w:line="240" w:lineRule="atLeast"/>
              <w:jc w:val="left"/>
              <w:rPr>
                <w:color w:val="auto"/>
              </w:rPr>
            </w:pPr>
            <w:r>
              <w:rPr>
                <w:rFonts w:hint="eastAsia"/>
                <w:color w:val="auto"/>
                <w:lang w:eastAsia="zh-CN"/>
              </w:rPr>
              <w:t>□</w:t>
            </w:r>
            <w:r>
              <w:rPr>
                <w:color w:val="auto"/>
              </w:rPr>
              <w:t>技术改造</w:t>
            </w:r>
          </w:p>
        </w:tc>
        <w:tc>
          <w:tcPr>
            <w:tcW w:w="1899" w:type="dxa"/>
            <w:vAlign w:val="center"/>
          </w:tcPr>
          <w:p w14:paraId="06969C6E">
            <w:pPr>
              <w:spacing w:after="0"/>
              <w:jc w:val="center"/>
              <w:rPr>
                <w:color w:val="auto"/>
              </w:rPr>
            </w:pPr>
            <w:r>
              <w:rPr>
                <w:color w:val="auto"/>
              </w:rPr>
              <w:t>建设项目</w:t>
            </w:r>
          </w:p>
          <w:p w14:paraId="7EDD2AC0">
            <w:pPr>
              <w:spacing w:after="0"/>
              <w:jc w:val="center"/>
              <w:rPr>
                <w:color w:val="auto"/>
              </w:rPr>
            </w:pPr>
            <w:r>
              <w:rPr>
                <w:color w:val="auto"/>
              </w:rPr>
              <w:t>申报情形</w:t>
            </w:r>
          </w:p>
        </w:tc>
        <w:tc>
          <w:tcPr>
            <w:tcW w:w="3102" w:type="dxa"/>
            <w:gridSpan w:val="2"/>
            <w:vAlign w:val="center"/>
          </w:tcPr>
          <w:p w14:paraId="3895A5A6">
            <w:pPr>
              <w:spacing w:after="0" w:line="240" w:lineRule="atLeast"/>
              <w:jc w:val="left"/>
              <w:rPr>
                <w:color w:val="auto"/>
              </w:rPr>
            </w:pPr>
            <w:r>
              <w:rPr>
                <w:rFonts w:hint="eastAsia"/>
                <w:color w:val="auto"/>
                <w:lang w:eastAsia="zh-CN"/>
              </w:rPr>
              <w:t>☑</w:t>
            </w:r>
            <w:r>
              <w:rPr>
                <w:color w:val="auto"/>
              </w:rPr>
              <w:t>首次申报项目</w:t>
            </w:r>
          </w:p>
          <w:p w14:paraId="5A1D9324">
            <w:pPr>
              <w:spacing w:after="0" w:line="240" w:lineRule="atLeast"/>
              <w:jc w:val="left"/>
              <w:rPr>
                <w:color w:val="auto"/>
              </w:rPr>
            </w:pPr>
            <w:r>
              <w:rPr>
                <w:rFonts w:hint="eastAsia"/>
                <w:color w:val="auto"/>
                <w:lang w:eastAsia="zh-CN"/>
              </w:rPr>
              <w:t>□</w:t>
            </w:r>
            <w:r>
              <w:rPr>
                <w:color w:val="auto"/>
              </w:rPr>
              <w:t>不予批准后再次申报项目</w:t>
            </w:r>
          </w:p>
          <w:p w14:paraId="527D1FF9">
            <w:pPr>
              <w:spacing w:after="0" w:line="240" w:lineRule="atLeast"/>
              <w:jc w:val="left"/>
              <w:rPr>
                <w:color w:val="auto"/>
              </w:rPr>
            </w:pPr>
            <w:r>
              <w:rPr>
                <w:rFonts w:hint="eastAsia"/>
                <w:color w:val="auto"/>
                <w:lang w:eastAsia="zh-CN"/>
              </w:rPr>
              <w:t>□</w:t>
            </w:r>
            <w:r>
              <w:rPr>
                <w:color w:val="auto"/>
              </w:rPr>
              <w:t>超五年重新审核项目</w:t>
            </w:r>
          </w:p>
          <w:p w14:paraId="3EF179AE">
            <w:pPr>
              <w:spacing w:after="0" w:line="240" w:lineRule="atLeast"/>
              <w:jc w:val="left"/>
              <w:rPr>
                <w:color w:val="auto"/>
              </w:rPr>
            </w:pPr>
            <w:r>
              <w:rPr>
                <w:rFonts w:hint="eastAsia"/>
                <w:color w:val="auto"/>
                <w:lang w:eastAsia="zh-CN"/>
              </w:rPr>
              <w:t>□</w:t>
            </w:r>
            <w:r>
              <w:rPr>
                <w:color w:val="auto"/>
              </w:rPr>
              <w:t>重大变动重新报批项目</w:t>
            </w:r>
          </w:p>
        </w:tc>
      </w:tr>
      <w:tr w14:paraId="5F86DA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1" w:hRule="atLeast"/>
        </w:trPr>
        <w:tc>
          <w:tcPr>
            <w:tcW w:w="1700" w:type="dxa"/>
            <w:gridSpan w:val="2"/>
            <w:tcMar>
              <w:top w:w="16" w:type="dxa"/>
              <w:left w:w="16" w:type="dxa"/>
              <w:right w:w="16" w:type="dxa"/>
            </w:tcMar>
            <w:vAlign w:val="center"/>
          </w:tcPr>
          <w:p w14:paraId="4AFA94B3">
            <w:pPr>
              <w:spacing w:after="0"/>
              <w:jc w:val="center"/>
              <w:rPr>
                <w:color w:val="auto"/>
              </w:rPr>
            </w:pPr>
            <w:r>
              <w:rPr>
                <w:color w:val="auto"/>
              </w:rPr>
              <w:t>项目审批</w:t>
            </w:r>
          </w:p>
          <w:p w14:paraId="29CCF01E">
            <w:pPr>
              <w:spacing w:after="0"/>
              <w:jc w:val="center"/>
              <w:rPr>
                <w:color w:val="auto"/>
              </w:rPr>
            </w:pPr>
            <w:r>
              <w:rPr>
                <w:color w:val="auto"/>
              </w:rPr>
              <w:t>（核准/备案）</w:t>
            </w:r>
          </w:p>
          <w:p w14:paraId="4D55C49C">
            <w:pPr>
              <w:spacing w:after="0"/>
              <w:jc w:val="center"/>
              <w:rPr>
                <w:color w:val="auto"/>
              </w:rPr>
            </w:pPr>
            <w:r>
              <w:rPr>
                <w:color w:val="auto"/>
              </w:rPr>
              <w:t>部门</w:t>
            </w:r>
            <w:r>
              <w:rPr>
                <w:rFonts w:hint="eastAsia"/>
                <w:color w:val="auto"/>
              </w:rPr>
              <w:t>（选填）</w:t>
            </w:r>
          </w:p>
        </w:tc>
        <w:tc>
          <w:tcPr>
            <w:tcW w:w="2376" w:type="dxa"/>
            <w:vAlign w:val="center"/>
          </w:tcPr>
          <w:p w14:paraId="6087D517">
            <w:pPr>
              <w:spacing w:after="0"/>
              <w:jc w:val="center"/>
              <w:rPr>
                <w:rFonts w:hint="eastAsia" w:eastAsia="宋体"/>
                <w:color w:val="auto"/>
                <w:lang w:eastAsia="zh-CN"/>
              </w:rPr>
            </w:pPr>
            <w:r>
              <w:rPr>
                <w:rFonts w:hint="eastAsia"/>
                <w:color w:val="auto"/>
                <w:lang w:eastAsia="zh-CN"/>
              </w:rPr>
              <w:t>淮南市八公山区发展和改革委员会</w:t>
            </w:r>
          </w:p>
        </w:tc>
        <w:tc>
          <w:tcPr>
            <w:tcW w:w="1899" w:type="dxa"/>
            <w:vAlign w:val="center"/>
          </w:tcPr>
          <w:p w14:paraId="59A640B8">
            <w:pPr>
              <w:spacing w:after="0"/>
              <w:jc w:val="center"/>
              <w:rPr>
                <w:color w:val="auto"/>
              </w:rPr>
            </w:pPr>
            <w:r>
              <w:rPr>
                <w:color w:val="auto"/>
              </w:rPr>
              <w:t>项目审批（核准/备案）文号（选填）</w:t>
            </w:r>
          </w:p>
        </w:tc>
        <w:tc>
          <w:tcPr>
            <w:tcW w:w="3102" w:type="dxa"/>
            <w:gridSpan w:val="2"/>
            <w:vAlign w:val="center"/>
          </w:tcPr>
          <w:p w14:paraId="2CC845CD">
            <w:pPr>
              <w:spacing w:after="0"/>
              <w:jc w:val="center"/>
              <w:rPr>
                <w:rFonts w:hint="eastAsia" w:eastAsia="宋体"/>
                <w:color w:val="auto"/>
                <w:lang w:eastAsia="zh-CN"/>
              </w:rPr>
            </w:pPr>
            <w:r>
              <w:rPr>
                <w:rFonts w:hint="eastAsia"/>
                <w:color w:val="auto"/>
                <w:lang w:val="en-US" w:eastAsia="zh-CN"/>
              </w:rPr>
              <w:t>/</w:t>
            </w:r>
          </w:p>
        </w:tc>
      </w:tr>
      <w:tr w14:paraId="7FF2B0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7" w:hRule="atLeast"/>
        </w:trPr>
        <w:tc>
          <w:tcPr>
            <w:tcW w:w="1700" w:type="dxa"/>
            <w:gridSpan w:val="2"/>
            <w:tcMar>
              <w:top w:w="16" w:type="dxa"/>
              <w:left w:w="16" w:type="dxa"/>
              <w:right w:w="16" w:type="dxa"/>
            </w:tcMar>
            <w:vAlign w:val="center"/>
          </w:tcPr>
          <w:p w14:paraId="69721ECB">
            <w:pPr>
              <w:spacing w:after="0"/>
              <w:jc w:val="center"/>
              <w:rPr>
                <w:color w:val="auto"/>
              </w:rPr>
            </w:pPr>
            <w:r>
              <w:rPr>
                <w:color w:val="auto"/>
              </w:rPr>
              <w:t>总投资</w:t>
            </w:r>
          </w:p>
          <w:p w14:paraId="23039889">
            <w:pPr>
              <w:spacing w:after="0"/>
              <w:jc w:val="center"/>
              <w:rPr>
                <w:color w:val="auto"/>
              </w:rPr>
            </w:pPr>
            <w:r>
              <w:rPr>
                <w:color w:val="auto"/>
              </w:rPr>
              <w:t>（万元）</w:t>
            </w:r>
          </w:p>
        </w:tc>
        <w:tc>
          <w:tcPr>
            <w:tcW w:w="2376" w:type="dxa"/>
            <w:vAlign w:val="center"/>
          </w:tcPr>
          <w:p w14:paraId="374E1C07">
            <w:pPr>
              <w:spacing w:after="0"/>
              <w:jc w:val="center"/>
              <w:rPr>
                <w:color w:val="auto"/>
                <w:highlight w:val="none"/>
              </w:rPr>
            </w:pPr>
            <w:r>
              <w:rPr>
                <w:rFonts w:hint="eastAsia"/>
                <w:color w:val="auto"/>
                <w:highlight w:val="none"/>
              </w:rPr>
              <w:t>3000</w:t>
            </w:r>
          </w:p>
        </w:tc>
        <w:tc>
          <w:tcPr>
            <w:tcW w:w="1899" w:type="dxa"/>
            <w:tcMar>
              <w:top w:w="16" w:type="dxa"/>
              <w:left w:w="16" w:type="dxa"/>
              <w:right w:w="16" w:type="dxa"/>
            </w:tcMar>
            <w:vAlign w:val="center"/>
          </w:tcPr>
          <w:p w14:paraId="3EA68887">
            <w:pPr>
              <w:spacing w:after="0"/>
              <w:jc w:val="center"/>
              <w:rPr>
                <w:color w:val="auto"/>
                <w:highlight w:val="none"/>
              </w:rPr>
            </w:pPr>
            <w:r>
              <w:rPr>
                <w:color w:val="auto"/>
                <w:highlight w:val="none"/>
              </w:rPr>
              <w:t>环保投资</w:t>
            </w:r>
          </w:p>
          <w:p w14:paraId="6F05C9F6">
            <w:pPr>
              <w:spacing w:after="0"/>
              <w:jc w:val="center"/>
              <w:rPr>
                <w:color w:val="auto"/>
                <w:highlight w:val="none"/>
              </w:rPr>
            </w:pPr>
            <w:r>
              <w:rPr>
                <w:color w:val="auto"/>
                <w:highlight w:val="none"/>
              </w:rPr>
              <w:t>（万元）</w:t>
            </w:r>
          </w:p>
        </w:tc>
        <w:tc>
          <w:tcPr>
            <w:tcW w:w="3102" w:type="dxa"/>
            <w:gridSpan w:val="2"/>
            <w:vAlign w:val="center"/>
          </w:tcPr>
          <w:p w14:paraId="3EA4CE6D">
            <w:pPr>
              <w:spacing w:after="0"/>
              <w:jc w:val="center"/>
              <w:rPr>
                <w:rFonts w:hint="default" w:eastAsia="宋体"/>
                <w:color w:val="auto"/>
                <w:highlight w:val="none"/>
                <w:lang w:val="en-US" w:eastAsia="zh-CN"/>
              </w:rPr>
            </w:pPr>
            <w:r>
              <w:rPr>
                <w:rFonts w:hint="eastAsia"/>
                <w:color w:val="auto"/>
                <w:highlight w:val="none"/>
                <w:lang w:val="en-US" w:eastAsia="zh-CN"/>
              </w:rPr>
              <w:t>46</w:t>
            </w:r>
          </w:p>
        </w:tc>
      </w:tr>
      <w:tr w14:paraId="1655DD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7" w:hRule="atLeast"/>
        </w:trPr>
        <w:tc>
          <w:tcPr>
            <w:tcW w:w="1700" w:type="dxa"/>
            <w:gridSpan w:val="2"/>
            <w:tcMar>
              <w:top w:w="16" w:type="dxa"/>
              <w:left w:w="16" w:type="dxa"/>
              <w:right w:w="16" w:type="dxa"/>
            </w:tcMar>
            <w:vAlign w:val="center"/>
          </w:tcPr>
          <w:p w14:paraId="040EB775">
            <w:pPr>
              <w:spacing w:after="0"/>
              <w:jc w:val="center"/>
              <w:rPr>
                <w:color w:val="auto"/>
              </w:rPr>
            </w:pPr>
            <w:r>
              <w:rPr>
                <w:color w:val="auto"/>
              </w:rPr>
              <w:t>环保投资占比（%）</w:t>
            </w:r>
          </w:p>
        </w:tc>
        <w:tc>
          <w:tcPr>
            <w:tcW w:w="2376" w:type="dxa"/>
            <w:vAlign w:val="center"/>
          </w:tcPr>
          <w:p w14:paraId="60113DAC">
            <w:pPr>
              <w:spacing w:after="0"/>
              <w:jc w:val="center"/>
              <w:rPr>
                <w:rFonts w:hint="default" w:eastAsia="宋体"/>
                <w:color w:val="auto"/>
                <w:highlight w:val="none"/>
                <w:lang w:val="en-US" w:eastAsia="zh-CN"/>
              </w:rPr>
            </w:pPr>
            <w:r>
              <w:rPr>
                <w:rFonts w:hint="eastAsia"/>
                <w:color w:val="auto"/>
                <w:highlight w:val="none"/>
                <w:lang w:val="en-US" w:eastAsia="zh-CN"/>
              </w:rPr>
              <w:t>1.53</w:t>
            </w:r>
          </w:p>
        </w:tc>
        <w:tc>
          <w:tcPr>
            <w:tcW w:w="1899" w:type="dxa"/>
            <w:tcMar>
              <w:top w:w="16" w:type="dxa"/>
              <w:left w:w="16" w:type="dxa"/>
              <w:right w:w="16" w:type="dxa"/>
            </w:tcMar>
            <w:vAlign w:val="center"/>
          </w:tcPr>
          <w:p w14:paraId="037F0991">
            <w:pPr>
              <w:spacing w:after="0"/>
              <w:jc w:val="center"/>
              <w:rPr>
                <w:color w:val="auto"/>
                <w:highlight w:val="none"/>
              </w:rPr>
            </w:pPr>
            <w:r>
              <w:rPr>
                <w:color w:val="auto"/>
                <w:highlight w:val="none"/>
              </w:rPr>
              <w:t>施工工期</w:t>
            </w:r>
          </w:p>
        </w:tc>
        <w:tc>
          <w:tcPr>
            <w:tcW w:w="3102" w:type="dxa"/>
            <w:gridSpan w:val="2"/>
            <w:vAlign w:val="center"/>
          </w:tcPr>
          <w:p w14:paraId="779192C0">
            <w:pPr>
              <w:spacing w:after="0"/>
              <w:jc w:val="center"/>
              <w:rPr>
                <w:color w:val="auto"/>
                <w:highlight w:val="none"/>
              </w:rPr>
            </w:pPr>
            <w:r>
              <w:rPr>
                <w:rFonts w:hint="eastAsia"/>
                <w:color w:val="auto"/>
                <w:highlight w:val="none"/>
                <w:lang w:val="en-US" w:eastAsia="zh-CN"/>
              </w:rPr>
              <w:t>3</w:t>
            </w:r>
            <w:r>
              <w:rPr>
                <w:color w:val="auto"/>
                <w:highlight w:val="none"/>
              </w:rPr>
              <w:t>个月</w:t>
            </w:r>
          </w:p>
        </w:tc>
      </w:tr>
      <w:tr w14:paraId="6B79B2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002" w:hRule="atLeast"/>
        </w:trPr>
        <w:tc>
          <w:tcPr>
            <w:tcW w:w="1700" w:type="dxa"/>
            <w:gridSpan w:val="2"/>
            <w:tcMar>
              <w:top w:w="16" w:type="dxa"/>
              <w:left w:w="16" w:type="dxa"/>
              <w:right w:w="16" w:type="dxa"/>
            </w:tcMar>
            <w:vAlign w:val="center"/>
          </w:tcPr>
          <w:p w14:paraId="01AD1541">
            <w:pPr>
              <w:spacing w:after="0"/>
              <w:jc w:val="center"/>
              <w:rPr>
                <w:color w:val="auto"/>
              </w:rPr>
            </w:pPr>
            <w:r>
              <w:rPr>
                <w:color w:val="auto"/>
              </w:rPr>
              <w:t>是否开工</w:t>
            </w:r>
          </w:p>
          <w:p w14:paraId="7EBB3383">
            <w:pPr>
              <w:spacing w:after="0"/>
              <w:jc w:val="center"/>
              <w:rPr>
                <w:color w:val="auto"/>
              </w:rPr>
            </w:pPr>
            <w:r>
              <w:rPr>
                <w:color w:val="auto"/>
              </w:rPr>
              <w:t>建设</w:t>
            </w:r>
          </w:p>
        </w:tc>
        <w:tc>
          <w:tcPr>
            <w:tcW w:w="2376" w:type="dxa"/>
            <w:vAlign w:val="center"/>
          </w:tcPr>
          <w:p w14:paraId="54D8034D">
            <w:pPr>
              <w:snapToGrid w:val="0"/>
              <w:spacing w:after="0"/>
              <w:rPr>
                <w:color w:val="auto"/>
              </w:rPr>
            </w:pPr>
            <w:r>
              <w:rPr>
                <w:rFonts w:hint="eastAsia"/>
                <w:color w:val="auto"/>
                <w:lang w:eastAsia="zh-CN"/>
              </w:rPr>
              <w:t>☑</w:t>
            </w:r>
            <w:r>
              <w:rPr>
                <w:rFonts w:hint="eastAsia"/>
                <w:color w:val="auto"/>
              </w:rPr>
              <w:t xml:space="preserve"> </w:t>
            </w:r>
            <w:r>
              <w:rPr>
                <w:color w:val="auto"/>
              </w:rPr>
              <w:t>否</w:t>
            </w:r>
          </w:p>
          <w:p w14:paraId="68E27083">
            <w:pPr>
              <w:bidi w:val="0"/>
              <w:rPr>
                <w:rFonts w:hint="default" w:eastAsia="宋体"/>
                <w:color w:val="auto"/>
                <w:lang w:val="en-US" w:eastAsia="zh-CN"/>
              </w:rPr>
            </w:pPr>
            <w:r>
              <w:rPr>
                <w:rFonts w:hint="eastAsia"/>
                <w:color w:val="auto"/>
                <w:lang w:eastAsia="zh-CN"/>
              </w:rPr>
              <w:t>□</w:t>
            </w:r>
            <w:r>
              <w:rPr>
                <w:rFonts w:hint="eastAsia"/>
                <w:color w:val="auto"/>
              </w:rPr>
              <w:t xml:space="preserve"> </w:t>
            </w:r>
            <w:r>
              <w:rPr>
                <w:color w:val="auto"/>
              </w:rPr>
              <w:t>是：</w:t>
            </w:r>
            <w:r>
              <w:rPr>
                <w:color w:val="auto"/>
                <w:szCs w:val="21"/>
                <w:u w:val="single"/>
              </w:rPr>
              <w:t xml:space="preserve">     </w:t>
            </w:r>
          </w:p>
        </w:tc>
        <w:tc>
          <w:tcPr>
            <w:tcW w:w="1899" w:type="dxa"/>
            <w:vAlign w:val="center"/>
          </w:tcPr>
          <w:p w14:paraId="1C06E720">
            <w:pPr>
              <w:snapToGrid w:val="0"/>
              <w:spacing w:after="0"/>
              <w:jc w:val="center"/>
              <w:rPr>
                <w:color w:val="auto"/>
              </w:rPr>
            </w:pPr>
            <w:r>
              <w:rPr>
                <w:color w:val="auto"/>
              </w:rPr>
              <w:t>用地面积（m</w:t>
            </w:r>
            <w:r>
              <w:rPr>
                <w:color w:val="auto"/>
                <w:vertAlign w:val="superscript"/>
              </w:rPr>
              <w:t>2</w:t>
            </w:r>
            <w:r>
              <w:rPr>
                <w:color w:val="auto"/>
              </w:rPr>
              <w:t>）</w:t>
            </w:r>
          </w:p>
        </w:tc>
        <w:tc>
          <w:tcPr>
            <w:tcW w:w="3102" w:type="dxa"/>
            <w:gridSpan w:val="2"/>
            <w:vAlign w:val="center"/>
          </w:tcPr>
          <w:p w14:paraId="575C0609">
            <w:pPr>
              <w:spacing w:after="0"/>
              <w:jc w:val="center"/>
              <w:rPr>
                <w:rFonts w:hint="default" w:eastAsia="宋体"/>
                <w:color w:val="auto"/>
                <w:lang w:val="en-US" w:eastAsia="zh-CN"/>
              </w:rPr>
            </w:pPr>
            <w:r>
              <w:rPr>
                <w:rFonts w:hint="eastAsia"/>
                <w:color w:val="auto"/>
                <w:lang w:val="en-US" w:eastAsia="zh-CN"/>
              </w:rPr>
              <w:t>10000</w:t>
            </w:r>
          </w:p>
        </w:tc>
      </w:tr>
      <w:tr w14:paraId="327ADF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870" w:type="dxa"/>
            <w:vAlign w:val="center"/>
          </w:tcPr>
          <w:p w14:paraId="40F69A95">
            <w:pPr>
              <w:adjustRightInd w:val="0"/>
              <w:spacing w:after="0" w:line="400" w:lineRule="exact"/>
              <w:ind w:left="-72" w:leftChars="-30" w:right="-72" w:rightChars="-30"/>
              <w:jc w:val="center"/>
              <w:outlineLvl w:val="1"/>
              <w:rPr>
                <w:color w:val="auto"/>
              </w:rPr>
            </w:pPr>
            <w:r>
              <w:rPr>
                <w:color w:val="auto"/>
              </w:rPr>
              <w:t>专项评价设置情况</w:t>
            </w:r>
          </w:p>
        </w:tc>
        <w:tc>
          <w:tcPr>
            <w:tcW w:w="8207" w:type="dxa"/>
            <w:gridSpan w:val="5"/>
            <w:vAlign w:val="center"/>
          </w:tcPr>
          <w:p w14:paraId="2D1F91E0">
            <w:pPr>
              <w:pStyle w:val="181"/>
              <w:wordWrap/>
              <w:ind w:firstLine="480"/>
              <w:outlineLvl w:val="1"/>
              <w:rPr>
                <w:color w:val="auto"/>
              </w:rPr>
            </w:pPr>
            <w:r>
              <w:rPr>
                <w:color w:val="auto"/>
              </w:rPr>
              <w:t>专项评价设置情况：</w:t>
            </w:r>
            <w:r>
              <w:rPr>
                <w:rFonts w:hint="eastAsia"/>
                <w:color w:val="auto"/>
              </w:rPr>
              <w:t>无</w:t>
            </w:r>
            <w:r>
              <w:rPr>
                <w:color w:val="auto"/>
              </w:rPr>
              <w:t>。</w:t>
            </w:r>
          </w:p>
          <w:p w14:paraId="44F6AF59">
            <w:pPr>
              <w:pStyle w:val="181"/>
              <w:wordWrap/>
              <w:ind w:firstLine="480"/>
              <w:rPr>
                <w:color w:val="auto"/>
              </w:rPr>
            </w:pPr>
            <w:r>
              <w:rPr>
                <w:color w:val="auto"/>
              </w:rPr>
              <w:t>根据《建设项目环境影响报告表编制技术指南（污染影响类）》（试行），判定依据见下表：</w:t>
            </w:r>
          </w:p>
          <w:p w14:paraId="705C8466">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黑体"/>
                <w:color w:val="auto"/>
                <w:lang w:val="en-US" w:eastAsia="zh-CN"/>
              </w:rPr>
            </w:pPr>
            <w:r>
              <w:rPr>
                <w:color w:val="auto"/>
              </w:rPr>
              <w:t xml:space="preserve">表 </w:t>
            </w:r>
            <w:r>
              <w:rPr>
                <w:rFonts w:hint="eastAsia"/>
                <w:color w:val="auto"/>
                <w:lang w:val="en-US" w:eastAsia="zh-CN"/>
              </w:rPr>
              <w:t>1</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1</w:t>
            </w:r>
            <w:r>
              <w:rPr>
                <w:color w:val="auto"/>
              </w:rPr>
              <w:fldChar w:fldCharType="end"/>
            </w:r>
            <w:r>
              <w:rPr>
                <w:rFonts w:hint="eastAsia"/>
                <w:color w:val="auto"/>
                <w:lang w:val="en-US" w:eastAsia="zh-CN"/>
              </w:rPr>
              <w:t xml:space="preserve"> </w:t>
            </w:r>
            <w:r>
              <w:rPr>
                <w:b/>
                <w:bCs/>
                <w:color w:val="auto"/>
                <w:kern w:val="1"/>
                <w:sz w:val="21"/>
              </w:rPr>
              <w:t>本项目专项评价设置判定情况</w:t>
            </w:r>
          </w:p>
          <w:tbl>
            <w:tblPr>
              <w:tblStyle w:val="5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962"/>
              <w:gridCol w:w="3048"/>
              <w:gridCol w:w="3035"/>
              <w:gridCol w:w="925"/>
            </w:tblGrid>
            <w:tr w14:paraId="1C5B9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32" w:hRule="atLeast"/>
                <w:jc w:val="center"/>
              </w:trPr>
              <w:tc>
                <w:tcPr>
                  <w:tcW w:w="603" w:type="pct"/>
                  <w:vAlign w:val="center"/>
                </w:tcPr>
                <w:p w14:paraId="6DED7510">
                  <w:pPr>
                    <w:pStyle w:val="287"/>
                    <w:framePr w:hSpace="0" w:wrap="auto" w:vAnchor="margin" w:hAnchor="text" w:xAlign="left" w:yAlign="inline"/>
                    <w:rPr>
                      <w:color w:val="auto"/>
                    </w:rPr>
                  </w:pPr>
                  <w:r>
                    <w:rPr>
                      <w:color w:val="auto"/>
                    </w:rPr>
                    <w:t>专项评价的类别</w:t>
                  </w:r>
                </w:p>
              </w:tc>
              <w:tc>
                <w:tcPr>
                  <w:tcW w:w="1912" w:type="pct"/>
                  <w:vAlign w:val="center"/>
                </w:tcPr>
                <w:p w14:paraId="07CEFC2F">
                  <w:pPr>
                    <w:pStyle w:val="287"/>
                    <w:framePr w:hSpace="0" w:wrap="auto" w:vAnchor="margin" w:hAnchor="text" w:xAlign="left" w:yAlign="inline"/>
                    <w:rPr>
                      <w:color w:val="auto"/>
                    </w:rPr>
                  </w:pPr>
                  <w:r>
                    <w:rPr>
                      <w:color w:val="auto"/>
                    </w:rPr>
                    <w:t>设置原则</w:t>
                  </w:r>
                </w:p>
              </w:tc>
              <w:tc>
                <w:tcPr>
                  <w:tcW w:w="1903" w:type="pct"/>
                  <w:vAlign w:val="center"/>
                </w:tcPr>
                <w:p w14:paraId="16839E9F">
                  <w:pPr>
                    <w:pStyle w:val="287"/>
                    <w:framePr w:hSpace="0" w:wrap="auto" w:vAnchor="margin" w:hAnchor="text" w:xAlign="left" w:yAlign="inline"/>
                    <w:rPr>
                      <w:color w:val="auto"/>
                    </w:rPr>
                  </w:pPr>
                  <w:r>
                    <w:rPr>
                      <w:color w:val="auto"/>
                    </w:rPr>
                    <w:t>本项目情况</w:t>
                  </w:r>
                </w:p>
              </w:tc>
              <w:tc>
                <w:tcPr>
                  <w:tcW w:w="580" w:type="pct"/>
                  <w:vAlign w:val="center"/>
                </w:tcPr>
                <w:p w14:paraId="6C604CE1">
                  <w:pPr>
                    <w:pStyle w:val="287"/>
                    <w:framePr w:hSpace="0" w:wrap="auto" w:vAnchor="margin" w:hAnchor="text" w:xAlign="left" w:yAlign="inline"/>
                    <w:rPr>
                      <w:color w:val="auto"/>
                    </w:rPr>
                  </w:pPr>
                  <w:r>
                    <w:rPr>
                      <w:color w:val="auto"/>
                    </w:rPr>
                    <w:t>是否设置专项评价</w:t>
                  </w:r>
                </w:p>
              </w:tc>
            </w:tr>
            <w:tr w14:paraId="3A7F7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6" w:hRule="atLeast"/>
                <w:jc w:val="center"/>
              </w:trPr>
              <w:tc>
                <w:tcPr>
                  <w:tcW w:w="603" w:type="pct"/>
                  <w:vAlign w:val="center"/>
                </w:tcPr>
                <w:p w14:paraId="2C60282A">
                  <w:pPr>
                    <w:pStyle w:val="287"/>
                    <w:framePr w:hSpace="0" w:wrap="auto" w:vAnchor="margin" w:hAnchor="text" w:xAlign="left" w:yAlign="inline"/>
                    <w:rPr>
                      <w:color w:val="auto"/>
                    </w:rPr>
                  </w:pPr>
                  <w:r>
                    <w:rPr>
                      <w:color w:val="auto"/>
                    </w:rPr>
                    <w:t>大气</w:t>
                  </w:r>
                </w:p>
              </w:tc>
              <w:tc>
                <w:tcPr>
                  <w:tcW w:w="1912" w:type="pct"/>
                  <w:vAlign w:val="center"/>
                </w:tcPr>
                <w:p w14:paraId="53364E6E">
                  <w:pPr>
                    <w:pStyle w:val="287"/>
                    <w:framePr w:hSpace="0" w:wrap="auto" w:vAnchor="margin" w:hAnchor="text" w:xAlign="left" w:yAlign="inline"/>
                    <w:rPr>
                      <w:color w:val="auto"/>
                      <w:lang w:bidi="zh-CN"/>
                    </w:rPr>
                  </w:pPr>
                  <w:r>
                    <w:rPr>
                      <w:color w:val="auto"/>
                      <w:lang w:bidi="zh-CN"/>
                    </w:rPr>
                    <w:t>排放废气含有毒有害污染物、二噁英、苯并[a]芘、氰化物、氯气且厂界外500米范围内有环境空气保护目标的建设项目。</w:t>
                  </w:r>
                </w:p>
              </w:tc>
              <w:tc>
                <w:tcPr>
                  <w:tcW w:w="1903" w:type="pct"/>
                  <w:vAlign w:val="center"/>
                </w:tcPr>
                <w:p w14:paraId="512D4703">
                  <w:pPr>
                    <w:pStyle w:val="287"/>
                    <w:framePr w:hSpace="0" w:wrap="auto" w:vAnchor="margin" w:hAnchor="text" w:xAlign="left" w:yAlign="inline"/>
                    <w:rPr>
                      <w:color w:val="auto"/>
                      <w:lang w:bidi="zh-CN"/>
                    </w:rPr>
                  </w:pPr>
                  <w:r>
                    <w:rPr>
                      <w:color w:val="auto"/>
                      <w:lang w:bidi="zh-CN"/>
                    </w:rPr>
                    <w:t>本项目厂界外</w:t>
                  </w:r>
                  <w:r>
                    <w:rPr>
                      <w:rFonts w:hint="eastAsia"/>
                      <w:color w:val="auto"/>
                      <w:lang w:bidi="zh-CN"/>
                    </w:rPr>
                    <w:t>5</w:t>
                  </w:r>
                  <w:r>
                    <w:rPr>
                      <w:color w:val="auto"/>
                      <w:lang w:bidi="zh-CN"/>
                    </w:rPr>
                    <w:t>00米范围内有环境空气保护目标，排放的废气中不含排放废气含有毒有害污染物、二噁英、苯并[a]芘、氰化物、氯气</w:t>
                  </w:r>
                  <w:r>
                    <w:rPr>
                      <w:rFonts w:hint="eastAsia"/>
                      <w:color w:val="auto"/>
                      <w:lang w:bidi="zh-CN"/>
                    </w:rPr>
                    <w:t>，</w:t>
                  </w:r>
                  <w:r>
                    <w:rPr>
                      <w:color w:val="auto"/>
                      <w:lang w:bidi="zh-CN"/>
                    </w:rPr>
                    <w:t>无需设置大气专项评价。</w:t>
                  </w:r>
                </w:p>
              </w:tc>
              <w:tc>
                <w:tcPr>
                  <w:tcW w:w="580" w:type="pct"/>
                  <w:vAlign w:val="center"/>
                </w:tcPr>
                <w:p w14:paraId="0CE59163">
                  <w:pPr>
                    <w:pStyle w:val="287"/>
                    <w:framePr w:hSpace="0" w:wrap="auto" w:vAnchor="margin" w:hAnchor="text" w:xAlign="left" w:yAlign="inline"/>
                    <w:rPr>
                      <w:color w:val="auto"/>
                    </w:rPr>
                  </w:pPr>
                  <w:r>
                    <w:rPr>
                      <w:color w:val="auto"/>
                    </w:rPr>
                    <w:t>否</w:t>
                  </w:r>
                </w:p>
              </w:tc>
            </w:tr>
            <w:tr w14:paraId="25D89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3" w:hRule="atLeast"/>
                <w:jc w:val="center"/>
              </w:trPr>
              <w:tc>
                <w:tcPr>
                  <w:tcW w:w="603" w:type="pct"/>
                  <w:vAlign w:val="center"/>
                </w:tcPr>
                <w:p w14:paraId="0352113A">
                  <w:pPr>
                    <w:pStyle w:val="287"/>
                    <w:framePr w:hSpace="0" w:wrap="auto" w:vAnchor="margin" w:hAnchor="text" w:xAlign="left" w:yAlign="inline"/>
                    <w:rPr>
                      <w:color w:val="auto"/>
                    </w:rPr>
                  </w:pPr>
                  <w:r>
                    <w:rPr>
                      <w:color w:val="auto"/>
                    </w:rPr>
                    <w:t>地表水</w:t>
                  </w:r>
                </w:p>
              </w:tc>
              <w:tc>
                <w:tcPr>
                  <w:tcW w:w="1912" w:type="pct"/>
                  <w:vAlign w:val="center"/>
                </w:tcPr>
                <w:p w14:paraId="2EE32E64">
                  <w:pPr>
                    <w:pStyle w:val="287"/>
                    <w:framePr w:hSpace="0" w:wrap="auto" w:vAnchor="margin" w:hAnchor="text" w:xAlign="left" w:yAlign="inline"/>
                    <w:rPr>
                      <w:color w:val="auto"/>
                    </w:rPr>
                  </w:pPr>
                  <w:r>
                    <w:rPr>
                      <w:color w:val="auto"/>
                    </w:rPr>
                    <w:t>新增工业废水直排建设项目（槽罐车外送污水处理厂的除外）；新增废水直排的污水集中处理厂。</w:t>
                  </w:r>
                </w:p>
              </w:tc>
              <w:tc>
                <w:tcPr>
                  <w:tcW w:w="1903" w:type="pct"/>
                  <w:vAlign w:val="center"/>
                </w:tcPr>
                <w:p w14:paraId="381F1F98">
                  <w:pPr>
                    <w:pStyle w:val="287"/>
                    <w:framePr w:hSpace="0" w:wrap="auto" w:vAnchor="margin" w:hAnchor="text" w:xAlign="left" w:yAlign="inline"/>
                    <w:rPr>
                      <w:color w:val="auto"/>
                    </w:rPr>
                  </w:pPr>
                  <w:r>
                    <w:rPr>
                      <w:color w:val="auto"/>
                    </w:rPr>
                    <w:t>本项目废水</w:t>
                  </w:r>
                  <w:r>
                    <w:rPr>
                      <w:rFonts w:hint="eastAsia"/>
                      <w:color w:val="auto"/>
                      <w:lang w:val="en-US" w:eastAsia="zh-CN"/>
                    </w:rPr>
                    <w:t>经预处理达标后</w:t>
                  </w:r>
                  <w:r>
                    <w:rPr>
                      <w:color w:val="auto"/>
                    </w:rPr>
                    <w:t>纳入市政污水管网，不直接排放。</w:t>
                  </w:r>
                </w:p>
              </w:tc>
              <w:tc>
                <w:tcPr>
                  <w:tcW w:w="580" w:type="pct"/>
                  <w:vAlign w:val="center"/>
                </w:tcPr>
                <w:p w14:paraId="70E035A6">
                  <w:pPr>
                    <w:pStyle w:val="287"/>
                    <w:framePr w:hSpace="0" w:wrap="auto" w:vAnchor="margin" w:hAnchor="text" w:xAlign="left" w:yAlign="inline"/>
                    <w:rPr>
                      <w:color w:val="auto"/>
                    </w:rPr>
                  </w:pPr>
                  <w:r>
                    <w:rPr>
                      <w:color w:val="auto"/>
                    </w:rPr>
                    <w:t>否</w:t>
                  </w:r>
                </w:p>
              </w:tc>
            </w:tr>
            <w:tr w14:paraId="6A2A3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39" w:hRule="atLeast"/>
                <w:jc w:val="center"/>
              </w:trPr>
              <w:tc>
                <w:tcPr>
                  <w:tcW w:w="603" w:type="pct"/>
                  <w:vAlign w:val="center"/>
                </w:tcPr>
                <w:p w14:paraId="67E4D6ED">
                  <w:pPr>
                    <w:pStyle w:val="287"/>
                    <w:framePr w:hSpace="0" w:wrap="auto" w:vAnchor="margin" w:hAnchor="text" w:xAlign="left" w:yAlign="inline"/>
                    <w:rPr>
                      <w:color w:val="auto"/>
                    </w:rPr>
                  </w:pPr>
                  <w:r>
                    <w:rPr>
                      <w:color w:val="auto"/>
                    </w:rPr>
                    <w:t>环境风险</w:t>
                  </w:r>
                </w:p>
              </w:tc>
              <w:tc>
                <w:tcPr>
                  <w:tcW w:w="1912" w:type="pct"/>
                  <w:vAlign w:val="center"/>
                </w:tcPr>
                <w:p w14:paraId="570AB420">
                  <w:pPr>
                    <w:pStyle w:val="287"/>
                    <w:framePr w:hSpace="0" w:wrap="auto" w:vAnchor="margin" w:hAnchor="text" w:xAlign="left" w:yAlign="inline"/>
                    <w:rPr>
                      <w:color w:val="auto"/>
                    </w:rPr>
                  </w:pPr>
                  <w:r>
                    <w:rPr>
                      <w:color w:val="auto"/>
                    </w:rPr>
                    <w:t>有毒有害和易燃易爆危险物质存储量超过临界量。</w:t>
                  </w:r>
                </w:p>
              </w:tc>
              <w:tc>
                <w:tcPr>
                  <w:tcW w:w="1903" w:type="pct"/>
                  <w:vAlign w:val="center"/>
                </w:tcPr>
                <w:p w14:paraId="49A31BE8">
                  <w:pPr>
                    <w:pStyle w:val="287"/>
                    <w:framePr w:hSpace="0" w:wrap="auto" w:vAnchor="margin" w:hAnchor="text" w:xAlign="left" w:yAlign="inline"/>
                    <w:rPr>
                      <w:color w:val="auto"/>
                    </w:rPr>
                  </w:pPr>
                  <w:r>
                    <w:rPr>
                      <w:color w:val="auto"/>
                    </w:rPr>
                    <w:t>本项目</w:t>
                  </w:r>
                  <w:r>
                    <w:rPr>
                      <w:rFonts w:hint="eastAsia"/>
                      <w:color w:val="auto"/>
                      <w:lang w:val="en-US" w:eastAsia="zh-CN"/>
                    </w:rPr>
                    <w:t>不涉及</w:t>
                  </w:r>
                  <w:r>
                    <w:rPr>
                      <w:color w:val="auto"/>
                    </w:rPr>
                    <w:t>有毒有害和易燃易爆危险物质。</w:t>
                  </w:r>
                </w:p>
              </w:tc>
              <w:tc>
                <w:tcPr>
                  <w:tcW w:w="580" w:type="pct"/>
                  <w:vAlign w:val="center"/>
                </w:tcPr>
                <w:p w14:paraId="73F06A8E">
                  <w:pPr>
                    <w:pStyle w:val="287"/>
                    <w:framePr w:hSpace="0" w:wrap="auto" w:vAnchor="margin" w:hAnchor="text" w:xAlign="left" w:yAlign="inline"/>
                    <w:rPr>
                      <w:color w:val="auto"/>
                    </w:rPr>
                  </w:pPr>
                  <w:r>
                    <w:rPr>
                      <w:color w:val="auto"/>
                    </w:rPr>
                    <w:t>否</w:t>
                  </w:r>
                </w:p>
              </w:tc>
            </w:tr>
            <w:tr w14:paraId="0B193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0" w:hRule="atLeast"/>
                <w:jc w:val="center"/>
              </w:trPr>
              <w:tc>
                <w:tcPr>
                  <w:tcW w:w="603" w:type="pct"/>
                  <w:vAlign w:val="center"/>
                </w:tcPr>
                <w:p w14:paraId="0EDBB582">
                  <w:pPr>
                    <w:pStyle w:val="287"/>
                    <w:framePr w:hSpace="0" w:wrap="auto" w:vAnchor="margin" w:hAnchor="text" w:xAlign="left" w:yAlign="inline"/>
                    <w:rPr>
                      <w:color w:val="auto"/>
                    </w:rPr>
                  </w:pPr>
                  <w:r>
                    <w:rPr>
                      <w:color w:val="auto"/>
                    </w:rPr>
                    <w:t>生态</w:t>
                  </w:r>
                </w:p>
              </w:tc>
              <w:tc>
                <w:tcPr>
                  <w:tcW w:w="1912" w:type="pct"/>
                  <w:vAlign w:val="center"/>
                </w:tcPr>
                <w:p w14:paraId="35C05918">
                  <w:pPr>
                    <w:pStyle w:val="287"/>
                    <w:framePr w:hSpace="0" w:wrap="auto" w:vAnchor="margin" w:hAnchor="text" w:xAlign="left" w:yAlign="inline"/>
                    <w:rPr>
                      <w:color w:val="auto"/>
                    </w:rPr>
                  </w:pPr>
                  <w:r>
                    <w:rPr>
                      <w:color w:val="auto"/>
                    </w:rPr>
                    <w:t>取水口下游500米范围内有重要水生生物的自然产卵场、索饵场、越冬场和洄游通道的新增河道取水的污染类建设项目。</w:t>
                  </w:r>
                </w:p>
              </w:tc>
              <w:tc>
                <w:tcPr>
                  <w:tcW w:w="1903" w:type="pct"/>
                  <w:vAlign w:val="center"/>
                </w:tcPr>
                <w:p w14:paraId="66B26C5E">
                  <w:pPr>
                    <w:pStyle w:val="287"/>
                    <w:framePr w:hSpace="0" w:wrap="auto" w:vAnchor="margin" w:hAnchor="text" w:xAlign="left" w:yAlign="inline"/>
                    <w:rPr>
                      <w:color w:val="auto"/>
                    </w:rPr>
                  </w:pPr>
                  <w:r>
                    <w:rPr>
                      <w:color w:val="auto"/>
                    </w:rPr>
                    <w:t>本项目用水由市政给水系统提供，不在河道取水，不涉及取水口。</w:t>
                  </w:r>
                </w:p>
              </w:tc>
              <w:tc>
                <w:tcPr>
                  <w:tcW w:w="580" w:type="pct"/>
                  <w:vAlign w:val="center"/>
                </w:tcPr>
                <w:p w14:paraId="067E0F1A">
                  <w:pPr>
                    <w:pStyle w:val="287"/>
                    <w:framePr w:hSpace="0" w:wrap="auto" w:vAnchor="margin" w:hAnchor="text" w:xAlign="left" w:yAlign="inline"/>
                    <w:rPr>
                      <w:color w:val="auto"/>
                    </w:rPr>
                  </w:pPr>
                  <w:r>
                    <w:rPr>
                      <w:color w:val="auto"/>
                    </w:rPr>
                    <w:t>否</w:t>
                  </w:r>
                </w:p>
              </w:tc>
            </w:tr>
            <w:tr w14:paraId="2C17C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67" w:hRule="atLeast"/>
                <w:jc w:val="center"/>
              </w:trPr>
              <w:tc>
                <w:tcPr>
                  <w:tcW w:w="603" w:type="pct"/>
                  <w:vAlign w:val="center"/>
                </w:tcPr>
                <w:p w14:paraId="429E48EC">
                  <w:pPr>
                    <w:pStyle w:val="287"/>
                    <w:framePr w:hSpace="0" w:wrap="auto" w:vAnchor="margin" w:hAnchor="text" w:xAlign="left" w:yAlign="inline"/>
                    <w:rPr>
                      <w:color w:val="auto"/>
                    </w:rPr>
                  </w:pPr>
                  <w:r>
                    <w:rPr>
                      <w:color w:val="auto"/>
                    </w:rPr>
                    <w:t>海洋</w:t>
                  </w:r>
                </w:p>
              </w:tc>
              <w:tc>
                <w:tcPr>
                  <w:tcW w:w="1912" w:type="pct"/>
                  <w:vAlign w:val="center"/>
                </w:tcPr>
                <w:p w14:paraId="0A9109B1">
                  <w:pPr>
                    <w:pStyle w:val="287"/>
                    <w:framePr w:hSpace="0" w:wrap="auto" w:vAnchor="margin" w:hAnchor="text" w:xAlign="left" w:yAlign="inline"/>
                    <w:rPr>
                      <w:color w:val="auto"/>
                    </w:rPr>
                  </w:pPr>
                  <w:r>
                    <w:rPr>
                      <w:color w:val="auto"/>
                    </w:rPr>
                    <w:t>直接向海排放污染物的海洋工程建设项目。</w:t>
                  </w:r>
                </w:p>
              </w:tc>
              <w:tc>
                <w:tcPr>
                  <w:tcW w:w="1903" w:type="pct"/>
                  <w:vAlign w:val="center"/>
                </w:tcPr>
                <w:p w14:paraId="3896FA07">
                  <w:pPr>
                    <w:pStyle w:val="287"/>
                    <w:framePr w:hSpace="0" w:wrap="auto" w:vAnchor="margin" w:hAnchor="text" w:xAlign="left" w:yAlign="inline"/>
                    <w:rPr>
                      <w:color w:val="auto"/>
                    </w:rPr>
                  </w:pPr>
                  <w:r>
                    <w:rPr>
                      <w:color w:val="auto"/>
                    </w:rPr>
                    <w:t>本项目不属于海洋工程建设项目。</w:t>
                  </w:r>
                </w:p>
              </w:tc>
              <w:tc>
                <w:tcPr>
                  <w:tcW w:w="580" w:type="pct"/>
                  <w:vAlign w:val="center"/>
                </w:tcPr>
                <w:p w14:paraId="0C006CA0">
                  <w:pPr>
                    <w:pStyle w:val="287"/>
                    <w:framePr w:hSpace="0" w:wrap="auto" w:vAnchor="margin" w:hAnchor="text" w:xAlign="left" w:yAlign="inline"/>
                    <w:rPr>
                      <w:color w:val="auto"/>
                    </w:rPr>
                  </w:pPr>
                  <w:r>
                    <w:rPr>
                      <w:color w:val="auto"/>
                    </w:rPr>
                    <w:t>否</w:t>
                  </w:r>
                </w:p>
              </w:tc>
            </w:tr>
            <w:tr w14:paraId="2A1E7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67" w:hRule="atLeast"/>
                <w:jc w:val="center"/>
              </w:trPr>
              <w:tc>
                <w:tcPr>
                  <w:tcW w:w="5000" w:type="pct"/>
                  <w:gridSpan w:val="4"/>
                  <w:vAlign w:val="center"/>
                </w:tcPr>
                <w:p w14:paraId="7E0F7FA3">
                  <w:pPr>
                    <w:pStyle w:val="287"/>
                    <w:framePr w:hSpace="0" w:wrap="auto" w:vAnchor="margin" w:hAnchor="text" w:xAlign="left" w:yAlign="inline"/>
                    <w:rPr>
                      <w:color w:val="auto"/>
                      <w:kern w:val="1"/>
                    </w:rPr>
                  </w:pPr>
                  <w:r>
                    <w:rPr>
                      <w:color w:val="auto"/>
                    </w:rPr>
                    <w:t>注：1、废气中有毒有害污染物指纳入《有毒有害大气污染物名录》的污染物（不包括无排放标准的污染物）。2、环境空气保护目标指自然保护区、风景名胜区、居住区、文化区和农村地区中人群较集中的区域。3、临界量及其计算方法可参考《建设项目环境风险评价技术导则》（HJ169）附录B、附录C。</w:t>
                  </w:r>
                </w:p>
              </w:tc>
            </w:tr>
          </w:tbl>
          <w:p w14:paraId="01332AF1">
            <w:pPr>
              <w:widowControl/>
              <w:spacing w:after="0" w:line="276" w:lineRule="auto"/>
              <w:rPr>
                <w:color w:val="auto"/>
              </w:rPr>
            </w:pPr>
          </w:p>
        </w:tc>
      </w:tr>
      <w:tr w14:paraId="1A5391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54" w:hRule="atLeast"/>
        </w:trPr>
        <w:tc>
          <w:tcPr>
            <w:tcW w:w="870" w:type="dxa"/>
            <w:vAlign w:val="center"/>
          </w:tcPr>
          <w:p w14:paraId="229A197D">
            <w:pPr>
              <w:adjustRightInd w:val="0"/>
              <w:snapToGrid w:val="0"/>
              <w:spacing w:after="0"/>
              <w:jc w:val="center"/>
              <w:rPr>
                <w:color w:val="auto"/>
              </w:rPr>
            </w:pPr>
            <w:r>
              <w:rPr>
                <w:color w:val="auto"/>
              </w:rPr>
              <w:t>规划情况</w:t>
            </w:r>
          </w:p>
        </w:tc>
        <w:tc>
          <w:tcPr>
            <w:tcW w:w="8207" w:type="dxa"/>
            <w:gridSpan w:val="5"/>
            <w:vAlign w:val="center"/>
          </w:tcPr>
          <w:p w14:paraId="09ECA991">
            <w:pPr>
              <w:pStyle w:val="181"/>
              <w:keepNext w:val="0"/>
              <w:keepLines w:val="0"/>
              <w:pageBreakBefore w:val="0"/>
              <w:widowControl/>
              <w:kinsoku/>
              <w:wordWrap/>
              <w:overflowPunct/>
              <w:topLinePunct w:val="0"/>
              <w:autoSpaceDE/>
              <w:autoSpaceDN/>
              <w:bidi w:val="0"/>
              <w:adjustRightInd/>
              <w:snapToGrid/>
              <w:ind w:left="0" w:leftChars="0" w:firstLine="0" w:firstLineChars="0"/>
              <w:textAlignment w:val="auto"/>
              <w:outlineLvl w:val="9"/>
              <w:rPr>
                <w:rFonts w:ascii="Times New Roman" w:hAnsi="Times New Roman" w:eastAsia="宋体" w:cs="Times New Roman"/>
                <w:color w:val="auto"/>
              </w:rPr>
            </w:pPr>
            <w:r>
              <w:rPr>
                <w:rFonts w:ascii="Times New Roman" w:hAnsi="Times New Roman" w:eastAsia="宋体" w:cs="Times New Roman"/>
                <w:color w:val="auto"/>
              </w:rPr>
              <w:t>1、规划名称：</w:t>
            </w:r>
            <w:r>
              <w:rPr>
                <w:rFonts w:hint="eastAsia" w:ascii="Times New Roman" w:hAnsi="Times New Roman" w:eastAsia="宋体" w:cs="Times New Roman"/>
                <w:color w:val="auto"/>
              </w:rPr>
              <w:t>八公山风景名胜区总体规划（2016－2030年）</w:t>
            </w:r>
          </w:p>
          <w:p w14:paraId="7C5A2C8B">
            <w:pPr>
              <w:pStyle w:val="181"/>
              <w:keepNext w:val="0"/>
              <w:keepLines w:val="0"/>
              <w:pageBreakBefore w:val="0"/>
              <w:widowControl/>
              <w:kinsoku/>
              <w:wordWrap/>
              <w:overflowPunct/>
              <w:topLinePunct w:val="0"/>
              <w:autoSpaceDE/>
              <w:autoSpaceDN/>
              <w:bidi w:val="0"/>
              <w:adjustRightInd/>
              <w:snapToGrid/>
              <w:ind w:firstLine="480" w:firstLineChars="200"/>
              <w:textAlignment w:val="auto"/>
              <w:outlineLvl w:val="9"/>
              <w:rPr>
                <w:rFonts w:ascii="Times New Roman" w:hAnsi="Times New Roman" w:eastAsia="宋体" w:cs="Times New Roman"/>
                <w:color w:val="auto"/>
              </w:rPr>
            </w:pPr>
            <w:r>
              <w:rPr>
                <w:rFonts w:ascii="Times New Roman" w:hAnsi="Times New Roman" w:eastAsia="宋体" w:cs="Times New Roman"/>
                <w:color w:val="auto"/>
              </w:rPr>
              <w:t>审批机关：</w:t>
            </w:r>
            <w:r>
              <w:rPr>
                <w:rFonts w:hint="eastAsia" w:ascii="Times New Roman" w:hAnsi="Times New Roman" w:eastAsia="宋体" w:cs="Times New Roman"/>
                <w:color w:val="auto"/>
              </w:rPr>
              <w:t>安徽省人民政府</w:t>
            </w:r>
          </w:p>
          <w:p w14:paraId="47CCAC5D">
            <w:pPr>
              <w:pStyle w:val="181"/>
              <w:keepNext w:val="0"/>
              <w:keepLines w:val="0"/>
              <w:pageBreakBefore w:val="0"/>
              <w:widowControl/>
              <w:kinsoku/>
              <w:wordWrap/>
              <w:overflowPunct/>
              <w:topLinePunct w:val="0"/>
              <w:autoSpaceDE/>
              <w:autoSpaceDN/>
              <w:bidi w:val="0"/>
              <w:adjustRightInd/>
              <w:snapToGrid/>
              <w:ind w:firstLine="480" w:firstLineChars="200"/>
              <w:textAlignment w:val="auto"/>
              <w:outlineLvl w:val="9"/>
              <w:rPr>
                <w:rFonts w:ascii="Times New Roman" w:hAnsi="Times New Roman" w:eastAsia="宋体" w:cs="Times New Roman"/>
                <w:color w:val="auto"/>
              </w:rPr>
            </w:pPr>
            <w:r>
              <w:rPr>
                <w:rFonts w:ascii="Times New Roman" w:hAnsi="Times New Roman" w:eastAsia="宋体" w:cs="Times New Roman"/>
                <w:color w:val="auto"/>
              </w:rPr>
              <w:t>审批文件名称：</w:t>
            </w:r>
            <w:r>
              <w:rPr>
                <w:rFonts w:hint="eastAsia" w:ascii="Times New Roman" w:hAnsi="Times New Roman" w:eastAsia="宋体" w:cs="Times New Roman"/>
                <w:color w:val="auto"/>
              </w:rPr>
              <w:t>安徽省人民政府关于八公山风景名胜区总体规划（2016-2030年）的批复</w:t>
            </w:r>
          </w:p>
          <w:p w14:paraId="7D871DCD">
            <w:pPr>
              <w:pStyle w:val="181"/>
              <w:keepNext w:val="0"/>
              <w:keepLines w:val="0"/>
              <w:pageBreakBefore w:val="0"/>
              <w:widowControl/>
              <w:kinsoku/>
              <w:wordWrap/>
              <w:overflowPunct/>
              <w:topLinePunct w:val="0"/>
              <w:autoSpaceDE/>
              <w:autoSpaceDN/>
              <w:bidi w:val="0"/>
              <w:adjustRightInd/>
              <w:snapToGrid/>
              <w:ind w:firstLine="480" w:firstLineChars="200"/>
              <w:textAlignment w:val="auto"/>
              <w:outlineLvl w:val="9"/>
              <w:rPr>
                <w:rFonts w:hint="eastAsia" w:eastAsia="宋体"/>
                <w:color w:val="auto"/>
                <w:lang w:eastAsia="zh-CN"/>
              </w:rPr>
            </w:pPr>
            <w:r>
              <w:rPr>
                <w:rFonts w:ascii="Times New Roman" w:hAnsi="Times New Roman" w:eastAsia="宋体" w:cs="Times New Roman"/>
                <w:color w:val="auto"/>
              </w:rPr>
              <w:t>审批文号：</w:t>
            </w:r>
            <w:r>
              <w:rPr>
                <w:rFonts w:hint="eastAsia" w:ascii="Times New Roman" w:hAnsi="Times New Roman" w:eastAsia="宋体" w:cs="Times New Roman"/>
                <w:color w:val="auto"/>
              </w:rPr>
              <w:t>皖政秘〔</w:t>
            </w:r>
            <w:r>
              <w:rPr>
                <w:rFonts w:hint="eastAsia" w:ascii="Times New Roman" w:hAnsi="Times New Roman" w:eastAsia="宋体" w:cs="Times New Roman"/>
                <w:color w:val="auto"/>
                <w:lang w:val="en-US" w:eastAsia="zh-CN"/>
              </w:rPr>
              <w:t>2017</w:t>
            </w:r>
            <w:r>
              <w:rPr>
                <w:rFonts w:hint="eastAsia" w:ascii="Times New Roman" w:hAnsi="Times New Roman" w:eastAsia="宋体" w:cs="Times New Roman"/>
                <w:color w:val="auto"/>
              </w:rPr>
              <w:t>〕</w:t>
            </w:r>
            <w:r>
              <w:rPr>
                <w:rFonts w:hint="eastAsia" w:ascii="Times New Roman" w:hAnsi="Times New Roman" w:eastAsia="宋体" w:cs="Times New Roman"/>
                <w:color w:val="auto"/>
                <w:lang w:val="en-US" w:eastAsia="zh-CN"/>
              </w:rPr>
              <w:t>198</w:t>
            </w:r>
            <w:r>
              <w:rPr>
                <w:rFonts w:ascii="Times New Roman" w:hAnsi="Times New Roman" w:eastAsia="宋体" w:cs="Times New Roman"/>
                <w:color w:val="auto"/>
              </w:rPr>
              <w:t>号。</w:t>
            </w:r>
          </w:p>
        </w:tc>
      </w:tr>
      <w:tr w14:paraId="788CB9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870" w:type="dxa"/>
            <w:vAlign w:val="center"/>
          </w:tcPr>
          <w:p w14:paraId="7B2105A5">
            <w:pPr>
              <w:adjustRightInd w:val="0"/>
              <w:snapToGrid w:val="0"/>
              <w:spacing w:after="0"/>
              <w:jc w:val="center"/>
              <w:rPr>
                <w:color w:val="auto"/>
              </w:rPr>
            </w:pPr>
            <w:r>
              <w:rPr>
                <w:color w:val="auto"/>
              </w:rPr>
              <w:t>规划环境影响评价情况</w:t>
            </w:r>
          </w:p>
        </w:tc>
        <w:tc>
          <w:tcPr>
            <w:tcW w:w="8207" w:type="dxa"/>
            <w:gridSpan w:val="5"/>
            <w:vAlign w:val="center"/>
          </w:tcPr>
          <w:p w14:paraId="196F6098">
            <w:pPr>
              <w:pStyle w:val="669"/>
              <w:ind w:left="0" w:leftChars="0" w:firstLine="0" w:firstLineChars="0"/>
              <w:jc w:val="center"/>
              <w:rPr>
                <w:rFonts w:hint="eastAsia" w:eastAsia="宋体"/>
                <w:color w:val="auto"/>
                <w:lang w:eastAsia="zh-CN"/>
              </w:rPr>
            </w:pPr>
            <w:r>
              <w:rPr>
                <w:rFonts w:hint="eastAsia"/>
                <w:color w:val="auto"/>
                <w:lang w:val="en-US" w:eastAsia="zh-CN"/>
              </w:rPr>
              <w:t>/</w:t>
            </w:r>
          </w:p>
        </w:tc>
      </w:tr>
      <w:tr w14:paraId="02E756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790" w:hRule="atLeast"/>
        </w:trPr>
        <w:tc>
          <w:tcPr>
            <w:tcW w:w="870" w:type="dxa"/>
            <w:vAlign w:val="center"/>
          </w:tcPr>
          <w:p w14:paraId="439F69B5">
            <w:pPr>
              <w:adjustRightInd w:val="0"/>
              <w:snapToGrid w:val="0"/>
              <w:spacing w:after="0"/>
              <w:jc w:val="center"/>
              <w:rPr>
                <w:color w:val="auto"/>
              </w:rPr>
            </w:pPr>
            <w:r>
              <w:rPr>
                <w:color w:val="auto"/>
              </w:rPr>
              <w:t>规划及规划环境影响评价符合性分</w:t>
            </w:r>
            <w:r>
              <w:rPr>
                <w:color w:val="auto"/>
                <w:sz w:val="21"/>
              </w:rPr>
              <w:t>析</w:t>
            </w:r>
          </w:p>
        </w:tc>
        <w:tc>
          <w:tcPr>
            <w:tcW w:w="8207" w:type="dxa"/>
            <w:gridSpan w:val="5"/>
            <w:vAlign w:val="center"/>
          </w:tcPr>
          <w:p w14:paraId="17037531">
            <w:pPr>
              <w:spacing w:after="0" w:line="460" w:lineRule="exact"/>
              <w:outlineLvl w:val="1"/>
              <w:rPr>
                <w:b/>
                <w:bCs/>
                <w:color w:val="auto"/>
                <w:szCs w:val="24"/>
              </w:rPr>
            </w:pPr>
            <w:r>
              <w:rPr>
                <w:rFonts w:hint="eastAsia"/>
                <w:b/>
                <w:bCs/>
                <w:color w:val="auto"/>
                <w:szCs w:val="24"/>
              </w:rPr>
              <w:t>1</w:t>
            </w:r>
            <w:r>
              <w:rPr>
                <w:b/>
                <w:bCs/>
                <w:color w:val="auto"/>
                <w:szCs w:val="24"/>
              </w:rPr>
              <w:t>.1</w:t>
            </w:r>
            <w:r>
              <w:rPr>
                <w:rFonts w:hint="eastAsia"/>
                <w:b/>
                <w:bCs/>
                <w:color w:val="auto"/>
                <w:szCs w:val="24"/>
              </w:rPr>
              <w:t>规划符合性分析</w:t>
            </w:r>
          </w:p>
          <w:p w14:paraId="491AD7D9">
            <w:pPr>
              <w:spacing w:after="0" w:line="460" w:lineRule="exact"/>
              <w:ind w:firstLine="482" w:firstLineChars="200"/>
              <w:rPr>
                <w:rFonts w:hint="eastAsia"/>
                <w:color w:val="auto"/>
                <w:lang w:eastAsia="zh-CN"/>
              </w:rPr>
            </w:pPr>
            <w:r>
              <w:rPr>
                <w:rFonts w:hint="eastAsia"/>
                <w:b/>
                <w:bCs/>
                <w:color w:val="auto"/>
                <w:szCs w:val="24"/>
                <w:lang w:val="en-US" w:eastAsia="zh-CN"/>
              </w:rPr>
              <w:t>1.1.1与《</w:t>
            </w:r>
            <w:r>
              <w:rPr>
                <w:rFonts w:hint="eastAsia"/>
                <w:b/>
                <w:bCs/>
                <w:color w:val="auto"/>
              </w:rPr>
              <w:t>八公山风景名胜区总体规划</w:t>
            </w:r>
            <w:r>
              <w:rPr>
                <w:rFonts w:hint="eastAsia"/>
                <w:b/>
                <w:bCs/>
                <w:color w:val="auto"/>
                <w:szCs w:val="24"/>
                <w:lang w:val="en-US" w:eastAsia="zh-CN"/>
              </w:rPr>
              <w:t>》</w:t>
            </w:r>
            <w:r>
              <w:rPr>
                <w:rFonts w:hint="eastAsia"/>
                <w:b/>
                <w:bCs/>
                <w:color w:val="auto"/>
              </w:rPr>
              <w:t>（2016－2030年）</w:t>
            </w:r>
            <w:r>
              <w:rPr>
                <w:rFonts w:hint="eastAsia"/>
                <w:b/>
                <w:bCs/>
                <w:color w:val="auto"/>
                <w:lang w:eastAsia="zh-CN"/>
              </w:rPr>
              <w:t>符合性分析</w:t>
            </w:r>
          </w:p>
          <w:p w14:paraId="0A718F47">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rFonts w:hint="default"/>
                <w:color w:val="auto"/>
                <w:lang w:val="en-US" w:eastAsia="zh-CN"/>
              </w:rPr>
            </w:pPr>
            <w:r>
              <w:rPr>
                <w:rFonts w:hint="eastAsia"/>
                <w:color w:val="auto"/>
                <w:lang w:val="en-US" w:eastAsia="zh-CN"/>
              </w:rPr>
              <w:t>本项目与</w:t>
            </w:r>
            <w:r>
              <w:rPr>
                <w:rFonts w:hint="eastAsia"/>
                <w:color w:val="auto"/>
                <w:szCs w:val="24"/>
                <w:lang w:val="en-US" w:eastAsia="zh-CN"/>
              </w:rPr>
              <w:t>《</w:t>
            </w:r>
            <w:r>
              <w:rPr>
                <w:rFonts w:hint="eastAsia"/>
                <w:color w:val="auto"/>
              </w:rPr>
              <w:t>八公山风景名胜区总体规划</w:t>
            </w:r>
            <w:r>
              <w:rPr>
                <w:rFonts w:hint="eastAsia"/>
                <w:color w:val="auto"/>
                <w:szCs w:val="24"/>
                <w:lang w:val="en-US" w:eastAsia="zh-CN"/>
              </w:rPr>
              <w:t>》</w:t>
            </w:r>
            <w:r>
              <w:rPr>
                <w:rFonts w:hint="eastAsia"/>
                <w:color w:val="auto"/>
              </w:rPr>
              <w:t>（2016－2030年）</w:t>
            </w:r>
            <w:r>
              <w:rPr>
                <w:rFonts w:hint="eastAsia"/>
                <w:color w:val="auto"/>
                <w:lang w:eastAsia="zh-CN"/>
              </w:rPr>
              <w:t>的相符性分析见下表。项</w:t>
            </w:r>
            <w:r>
              <w:rPr>
                <w:rFonts w:hint="eastAsia" w:ascii="Times New Roman" w:hAnsi="Times New Roman" w:eastAsia="宋体" w:cs="Times New Roman"/>
                <w:color w:val="auto"/>
                <w:lang w:val="en-US" w:eastAsia="zh-CN"/>
              </w:rPr>
              <w:t>目与八公山风景名胜区总体规划图位置关系见图1-1，详见附图6-1，与八公山风景名胜区分级保护规划图见附图6-2。</w:t>
            </w:r>
          </w:p>
          <w:p w14:paraId="57F83350">
            <w:pPr>
              <w:pStyle w:val="15"/>
              <w:keepNext w:val="0"/>
              <w:keepLines w:val="0"/>
              <w:pageBreakBefore w:val="0"/>
              <w:widowControl w:val="0"/>
              <w:kinsoku/>
              <w:wordWrap/>
              <w:overflowPunct/>
              <w:topLinePunct w:val="0"/>
              <w:autoSpaceDE/>
              <w:autoSpaceDN/>
              <w:bidi w:val="0"/>
              <w:adjustRightInd/>
              <w:snapToGrid/>
              <w:spacing w:after="0"/>
              <w:textAlignment w:val="auto"/>
              <w:rPr>
                <w:rFonts w:hint="eastAsia" w:eastAsia="宋体"/>
                <w:lang w:val="en-US" w:eastAsia="zh-CN"/>
              </w:rPr>
            </w:pPr>
            <w:r>
              <w:t xml:space="preserve">表 </w:t>
            </w:r>
            <w:r>
              <w:rPr>
                <w:rFonts w:hint="eastAsia"/>
                <w:lang w:val="en-US" w:eastAsia="zh-CN"/>
              </w:rPr>
              <w:t>1</w:t>
            </w:r>
            <w:r>
              <w:rPr>
                <w:rFonts w:hint="eastAsia"/>
                <w:lang w:eastAsia="zh-CN"/>
              </w:rPr>
              <w:t>-</w:t>
            </w:r>
            <w:r>
              <w:fldChar w:fldCharType="begin"/>
            </w:r>
            <w:r>
              <w:instrText xml:space="preserve"> SEQ 表 \* ARABIC \s 1 </w:instrText>
            </w:r>
            <w:r>
              <w:fldChar w:fldCharType="separate"/>
            </w:r>
            <w:r>
              <w:t>2</w:t>
            </w:r>
            <w:r>
              <w:fldChar w:fldCharType="end"/>
            </w:r>
            <w:r>
              <w:rPr>
                <w:rFonts w:hint="eastAsia"/>
                <w:lang w:val="en-US" w:eastAsia="zh-CN"/>
              </w:rPr>
              <w:t xml:space="preserve"> </w:t>
            </w:r>
            <w:r>
              <w:rPr>
                <w:rFonts w:hint="eastAsia"/>
                <w:b/>
                <w:bCs/>
                <w:color w:val="auto"/>
                <w:szCs w:val="24"/>
                <w:lang w:val="en-US" w:eastAsia="zh-CN"/>
              </w:rPr>
              <w:t>与《</w:t>
            </w:r>
            <w:r>
              <w:rPr>
                <w:rFonts w:hint="eastAsia"/>
                <w:b/>
                <w:bCs/>
                <w:color w:val="auto"/>
              </w:rPr>
              <w:t>八公山风景名胜区总体规划</w:t>
            </w:r>
            <w:r>
              <w:rPr>
                <w:rFonts w:hint="eastAsia"/>
                <w:b/>
                <w:bCs/>
                <w:color w:val="auto"/>
                <w:szCs w:val="24"/>
                <w:lang w:val="en-US" w:eastAsia="zh-CN"/>
              </w:rPr>
              <w:t>》</w:t>
            </w:r>
            <w:r>
              <w:rPr>
                <w:rFonts w:hint="eastAsia"/>
                <w:b/>
                <w:bCs/>
                <w:color w:val="auto"/>
              </w:rPr>
              <w:t>（2016－2030年）</w:t>
            </w:r>
            <w:r>
              <w:rPr>
                <w:rFonts w:hint="eastAsia"/>
                <w:b/>
                <w:bCs/>
                <w:color w:val="auto"/>
                <w:lang w:eastAsia="zh-CN"/>
              </w:rPr>
              <w:t>符合性分析一览表</w:t>
            </w:r>
          </w:p>
          <w:tbl>
            <w:tblPr>
              <w:tblStyle w:val="54"/>
              <w:tblW w:w="79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5"/>
              <w:gridCol w:w="4774"/>
              <w:gridCol w:w="1875"/>
              <w:gridCol w:w="757"/>
            </w:tblGrid>
            <w:tr w14:paraId="4B4BC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tcPr>
                <w:p w14:paraId="49A2EC19">
                  <w:pPr>
                    <w:pStyle w:val="77"/>
                    <w:bidi w:val="0"/>
                    <w:rPr>
                      <w:rFonts w:hint="eastAsia"/>
                      <w:sz w:val="18"/>
                      <w:szCs w:val="18"/>
                      <w:lang w:val="en-US" w:eastAsia="zh-CN"/>
                    </w:rPr>
                  </w:pPr>
                  <w:r>
                    <w:rPr>
                      <w:rFonts w:hint="eastAsia"/>
                      <w:sz w:val="18"/>
                      <w:szCs w:val="18"/>
                      <w:lang w:val="en-US" w:eastAsia="zh-CN"/>
                    </w:rPr>
                    <w:t>序号</w:t>
                  </w:r>
                </w:p>
              </w:tc>
              <w:tc>
                <w:tcPr>
                  <w:tcW w:w="4774" w:type="dxa"/>
                </w:tcPr>
                <w:p w14:paraId="69E361B0">
                  <w:pPr>
                    <w:pStyle w:val="77"/>
                    <w:bidi w:val="0"/>
                    <w:rPr>
                      <w:rFonts w:hint="eastAsia"/>
                      <w:sz w:val="18"/>
                      <w:szCs w:val="18"/>
                      <w:lang w:val="en-US" w:eastAsia="zh-CN"/>
                    </w:rPr>
                  </w:pPr>
                  <w:r>
                    <w:rPr>
                      <w:rFonts w:hint="eastAsia"/>
                      <w:sz w:val="18"/>
                      <w:szCs w:val="18"/>
                      <w:lang w:val="en-US" w:eastAsia="zh-CN"/>
                    </w:rPr>
                    <w:t>规划要求</w:t>
                  </w:r>
                </w:p>
              </w:tc>
              <w:tc>
                <w:tcPr>
                  <w:tcW w:w="1875" w:type="dxa"/>
                </w:tcPr>
                <w:p w14:paraId="6DE23F2E">
                  <w:pPr>
                    <w:pStyle w:val="77"/>
                    <w:bidi w:val="0"/>
                    <w:rPr>
                      <w:rFonts w:hint="eastAsia"/>
                      <w:sz w:val="18"/>
                      <w:szCs w:val="18"/>
                      <w:lang w:val="en-US" w:eastAsia="zh-CN"/>
                    </w:rPr>
                  </w:pPr>
                  <w:r>
                    <w:rPr>
                      <w:rFonts w:hint="eastAsia"/>
                      <w:sz w:val="18"/>
                      <w:szCs w:val="18"/>
                      <w:lang w:val="en-US" w:eastAsia="zh-CN"/>
                    </w:rPr>
                    <w:t>本项目情况</w:t>
                  </w:r>
                </w:p>
              </w:tc>
              <w:tc>
                <w:tcPr>
                  <w:tcW w:w="757" w:type="dxa"/>
                </w:tcPr>
                <w:p w14:paraId="760675DD">
                  <w:pPr>
                    <w:pStyle w:val="77"/>
                    <w:bidi w:val="0"/>
                    <w:rPr>
                      <w:rFonts w:hint="eastAsia"/>
                      <w:sz w:val="18"/>
                      <w:szCs w:val="18"/>
                      <w:lang w:val="en-US" w:eastAsia="zh-CN"/>
                    </w:rPr>
                  </w:pPr>
                  <w:r>
                    <w:rPr>
                      <w:rFonts w:hint="eastAsia"/>
                      <w:sz w:val="18"/>
                      <w:szCs w:val="18"/>
                      <w:lang w:val="en-US" w:eastAsia="zh-CN"/>
                    </w:rPr>
                    <w:t>符合性</w:t>
                  </w:r>
                </w:p>
              </w:tc>
            </w:tr>
            <w:tr w14:paraId="4BC4A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vAlign w:val="center"/>
                </w:tcPr>
                <w:p w14:paraId="39869749">
                  <w:pPr>
                    <w:pStyle w:val="77"/>
                    <w:bidi w:val="0"/>
                    <w:jc w:val="center"/>
                    <w:rPr>
                      <w:rFonts w:hint="default"/>
                      <w:sz w:val="18"/>
                      <w:szCs w:val="18"/>
                      <w:lang w:val="en-US" w:eastAsia="zh-CN"/>
                    </w:rPr>
                  </w:pPr>
                  <w:r>
                    <w:rPr>
                      <w:rFonts w:hint="eastAsia"/>
                      <w:sz w:val="18"/>
                      <w:szCs w:val="18"/>
                      <w:lang w:val="en-US" w:eastAsia="zh-CN"/>
                    </w:rPr>
                    <w:t>1</w:t>
                  </w:r>
                </w:p>
              </w:tc>
              <w:tc>
                <w:tcPr>
                  <w:tcW w:w="4774" w:type="dxa"/>
                </w:tcPr>
                <w:p w14:paraId="6AF00463">
                  <w:pPr>
                    <w:pStyle w:val="77"/>
                    <w:bidi w:val="0"/>
                    <w:rPr>
                      <w:rFonts w:hint="eastAsia"/>
                      <w:sz w:val="18"/>
                      <w:szCs w:val="18"/>
                      <w:lang w:val="en-US" w:eastAsia="zh-CN"/>
                    </w:rPr>
                  </w:pPr>
                  <w:r>
                    <w:rPr>
                      <w:rFonts w:hint="eastAsia"/>
                      <w:sz w:val="18"/>
                      <w:szCs w:val="18"/>
                      <w:lang w:val="en-US" w:eastAsia="zh-CN"/>
                    </w:rPr>
                    <w:t>三级保护区范围是在一、二级保护区以外的区域，是风景名胜区重要的设施建设区或环境背景区，规划面积42.74平方公里。三级保护区严格禁止开山采石，加大封山育林和荒山绿化力度，逐渐消除裸露土层；加强</w:t>
                  </w:r>
                  <w:r>
                    <w:rPr>
                      <w:rFonts w:hint="default"/>
                      <w:sz w:val="18"/>
                      <w:szCs w:val="18"/>
                      <w:lang w:val="en-US" w:eastAsia="zh-CN"/>
                    </w:rPr>
                    <w:t>旅游服务点和农村居民点污水、污物的统一处理，达标后方可排放；在该区域内可以准许原有的土地利用方式与形态，安排同风景区性质和容量一致的各项旅游设施，并有序控制各项生产、经营与管理设施的建设及居民规模，不得建设发展产生各种污染或破坏环境的乡镇企业和项目，现有的对景观和环境有严重影响的工程设施实施搬迁或整治；游览设施和居民点建设必须严格履行风景名胜区和城乡规划建设的审批程序，严格控制建设范围、规模和建筑风貌，并与周边自然和文化景观风貌相协调</w:t>
                  </w:r>
                  <w:r>
                    <w:rPr>
                      <w:rFonts w:hint="eastAsia"/>
                      <w:sz w:val="18"/>
                      <w:szCs w:val="18"/>
                      <w:lang w:val="en-US" w:eastAsia="zh-CN"/>
                    </w:rPr>
                    <w:t>。</w:t>
                  </w:r>
                </w:p>
              </w:tc>
              <w:tc>
                <w:tcPr>
                  <w:tcW w:w="1875" w:type="dxa"/>
                </w:tcPr>
                <w:p w14:paraId="313E1297">
                  <w:pPr>
                    <w:pStyle w:val="77"/>
                    <w:bidi w:val="0"/>
                    <w:rPr>
                      <w:rFonts w:hint="eastAsia"/>
                      <w:sz w:val="18"/>
                      <w:szCs w:val="18"/>
                      <w:lang w:val="en-US" w:eastAsia="zh-CN"/>
                    </w:rPr>
                  </w:pPr>
                  <w:r>
                    <w:rPr>
                      <w:rFonts w:hint="eastAsia" w:ascii="Times New Roman" w:hAnsi="Times New Roman" w:cs="Times New Roman"/>
                      <w:bCs/>
                      <w:color w:val="auto"/>
                      <w:sz w:val="18"/>
                      <w:szCs w:val="18"/>
                      <w:lang w:val="en-US" w:eastAsia="zh-CN"/>
                    </w:rPr>
                    <w:t>项目租赁</w:t>
                  </w:r>
                  <w:r>
                    <w:rPr>
                      <w:rFonts w:hint="eastAsia"/>
                      <w:color w:val="auto"/>
                      <w:sz w:val="18"/>
                      <w:szCs w:val="18"/>
                      <w:lang w:eastAsia="zh-CN"/>
                    </w:rPr>
                    <w:t>淮南舜岳水泥有限责任公司厂区内现有闲置场地</w:t>
                  </w:r>
                  <w:r>
                    <w:rPr>
                      <w:rFonts w:hint="eastAsia" w:ascii="Times New Roman" w:hAnsi="Times New Roman" w:cs="Times New Roman"/>
                      <w:bCs/>
                      <w:color w:val="auto"/>
                      <w:sz w:val="18"/>
                      <w:szCs w:val="18"/>
                      <w:lang w:val="en-US" w:eastAsia="zh-CN"/>
                    </w:rPr>
                    <w:t>，</w:t>
                  </w:r>
                  <w:r>
                    <w:rPr>
                      <w:rFonts w:hint="eastAsia" w:cs="Times New Roman"/>
                      <w:color w:val="auto"/>
                      <w:kern w:val="2"/>
                      <w:sz w:val="18"/>
                      <w:szCs w:val="18"/>
                      <w:lang w:val="en-US" w:eastAsia="zh-CN" w:bidi="ar-SA"/>
                    </w:rPr>
                    <w:t>建设地点位于八公山风景名胜区场界外、外围保护线内，用地性质为工业用地，</w:t>
                  </w:r>
                  <w:r>
                    <w:rPr>
                      <w:rFonts w:hint="eastAsia" w:ascii="Times New Roman" w:hAnsi="Times New Roman" w:cs="Times New Roman"/>
                      <w:bCs/>
                      <w:color w:val="auto"/>
                      <w:sz w:val="18"/>
                      <w:szCs w:val="18"/>
                      <w:lang w:val="en-US" w:eastAsia="zh-CN"/>
                    </w:rPr>
                    <w:t>距离三级保护区约</w:t>
                  </w:r>
                  <w:r>
                    <w:rPr>
                      <w:rFonts w:hint="eastAsia" w:cs="Times New Roman"/>
                      <w:bCs/>
                      <w:color w:val="auto"/>
                      <w:sz w:val="18"/>
                      <w:szCs w:val="18"/>
                      <w:lang w:val="en-US" w:eastAsia="zh-CN"/>
                    </w:rPr>
                    <w:t>243</w:t>
                  </w:r>
                  <w:r>
                    <w:rPr>
                      <w:rFonts w:hint="eastAsia" w:ascii="Times New Roman" w:hAnsi="Times New Roman" w:cs="Times New Roman"/>
                      <w:bCs/>
                      <w:color w:val="auto"/>
                      <w:sz w:val="18"/>
                      <w:szCs w:val="18"/>
                      <w:lang w:val="en-US" w:eastAsia="zh-CN"/>
                    </w:rPr>
                    <w:t>m，项目建成后各污染物均可达标排放，项目的建设不会影响八公山风景名胜区</w:t>
                  </w:r>
                  <w:r>
                    <w:rPr>
                      <w:rFonts w:hint="eastAsia" w:ascii="Times New Roman" w:cs="Times New Roman"/>
                      <w:bCs/>
                      <w:color w:val="auto"/>
                      <w:sz w:val="18"/>
                      <w:szCs w:val="18"/>
                      <w:lang w:val="en-US" w:eastAsia="zh-CN"/>
                    </w:rPr>
                    <w:t>。</w:t>
                  </w:r>
                </w:p>
              </w:tc>
              <w:tc>
                <w:tcPr>
                  <w:tcW w:w="757" w:type="dxa"/>
                  <w:vAlign w:val="center"/>
                </w:tcPr>
                <w:p w14:paraId="73564F18">
                  <w:pPr>
                    <w:pStyle w:val="77"/>
                    <w:bidi w:val="0"/>
                    <w:jc w:val="center"/>
                    <w:rPr>
                      <w:rFonts w:hint="eastAsia"/>
                      <w:sz w:val="18"/>
                      <w:szCs w:val="18"/>
                      <w:lang w:val="en-US" w:eastAsia="zh-CN"/>
                    </w:rPr>
                  </w:pPr>
                  <w:r>
                    <w:rPr>
                      <w:rFonts w:hint="eastAsia"/>
                      <w:sz w:val="18"/>
                      <w:szCs w:val="18"/>
                      <w:lang w:val="en-US" w:eastAsia="zh-CN"/>
                    </w:rPr>
                    <w:t>符合</w:t>
                  </w:r>
                </w:p>
              </w:tc>
            </w:tr>
            <w:tr w14:paraId="47DAC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dxa"/>
                  <w:vAlign w:val="center"/>
                </w:tcPr>
                <w:p w14:paraId="2D47DA61">
                  <w:pPr>
                    <w:pStyle w:val="77"/>
                    <w:bidi w:val="0"/>
                    <w:jc w:val="center"/>
                    <w:rPr>
                      <w:rFonts w:hint="default"/>
                      <w:sz w:val="18"/>
                      <w:szCs w:val="18"/>
                      <w:lang w:val="en-US" w:eastAsia="zh-CN"/>
                    </w:rPr>
                  </w:pPr>
                  <w:r>
                    <w:rPr>
                      <w:rFonts w:hint="eastAsia"/>
                      <w:sz w:val="18"/>
                      <w:szCs w:val="18"/>
                      <w:lang w:val="en-US" w:eastAsia="zh-CN"/>
                    </w:rPr>
                    <w:t>2</w:t>
                  </w:r>
                </w:p>
              </w:tc>
              <w:tc>
                <w:tcPr>
                  <w:tcW w:w="4774" w:type="dxa"/>
                </w:tcPr>
                <w:p w14:paraId="5B775E8A">
                  <w:pPr>
                    <w:pStyle w:val="77"/>
                    <w:bidi w:val="0"/>
                    <w:rPr>
                      <w:rFonts w:hint="eastAsia"/>
                      <w:sz w:val="18"/>
                      <w:szCs w:val="18"/>
                      <w:lang w:val="en-US" w:eastAsia="zh-CN"/>
                    </w:rPr>
                  </w:pPr>
                  <w:r>
                    <w:rPr>
                      <w:rFonts w:hint="eastAsia"/>
                      <w:sz w:val="18"/>
                      <w:szCs w:val="18"/>
                      <w:lang w:val="en-US" w:eastAsia="zh-CN"/>
                    </w:rPr>
                    <w:t>落实《环境保护法》等相关规定，做好与生态环境保护相关规划的实施协调，加强生态环境保护，落实规划环评的相关措施和要求，相关建设项目应当履行环评手续。</w:t>
                  </w:r>
                </w:p>
              </w:tc>
              <w:tc>
                <w:tcPr>
                  <w:tcW w:w="1875" w:type="dxa"/>
                </w:tcPr>
                <w:p w14:paraId="19CFC16C">
                  <w:pPr>
                    <w:pStyle w:val="77"/>
                    <w:bidi w:val="0"/>
                    <w:rPr>
                      <w:rFonts w:hint="eastAsia"/>
                      <w:sz w:val="18"/>
                      <w:szCs w:val="18"/>
                      <w:lang w:val="en-US" w:eastAsia="zh-CN"/>
                    </w:rPr>
                  </w:pPr>
                  <w:r>
                    <w:rPr>
                      <w:rFonts w:hint="eastAsia"/>
                      <w:sz w:val="18"/>
                      <w:szCs w:val="18"/>
                      <w:lang w:val="en-US" w:eastAsia="zh-CN"/>
                    </w:rPr>
                    <w:t>本项目为煤炭洗选项目，目前正在积极履行环评手续。</w:t>
                  </w:r>
                </w:p>
              </w:tc>
              <w:tc>
                <w:tcPr>
                  <w:tcW w:w="757" w:type="dxa"/>
                  <w:vAlign w:val="center"/>
                </w:tcPr>
                <w:p w14:paraId="2DB484BE">
                  <w:pPr>
                    <w:pStyle w:val="77"/>
                    <w:bidi w:val="0"/>
                    <w:jc w:val="center"/>
                    <w:rPr>
                      <w:rFonts w:hint="eastAsia"/>
                      <w:sz w:val="18"/>
                      <w:szCs w:val="18"/>
                      <w:lang w:val="en-US" w:eastAsia="zh-CN"/>
                    </w:rPr>
                  </w:pPr>
                  <w:r>
                    <w:rPr>
                      <w:rFonts w:hint="eastAsia"/>
                      <w:sz w:val="18"/>
                      <w:szCs w:val="18"/>
                      <w:lang w:val="en-US" w:eastAsia="zh-CN"/>
                    </w:rPr>
                    <w:t>符合</w:t>
                  </w:r>
                </w:p>
              </w:tc>
            </w:tr>
          </w:tbl>
          <w:p w14:paraId="677F26CB">
            <w:pPr>
              <w:pStyle w:val="771"/>
              <w:bidi w:val="0"/>
              <w:ind w:left="0" w:leftChars="0" w:firstLine="0" w:firstLineChars="0"/>
              <w:jc w:val="both"/>
              <w:rPr>
                <w:rFonts w:hint="eastAsia" w:eastAsia="宋体"/>
                <w:b/>
                <w:bCs/>
                <w:color w:val="auto"/>
                <w:szCs w:val="24"/>
                <w:lang w:val="en-US" w:eastAsia="zh-CN"/>
              </w:rPr>
            </w:pPr>
          </w:p>
        </w:tc>
      </w:tr>
    </w:tbl>
    <w:p w14:paraId="5486529F">
      <w:pPr>
        <w:spacing w:after="0"/>
        <w:rPr>
          <w:color w:val="auto"/>
        </w:rPr>
        <w:sectPr>
          <w:headerReference r:id="rId11" w:type="default"/>
          <w:footerReference r:id="rId12" w:type="default"/>
          <w:pgSz w:w="11907" w:h="16840"/>
          <w:pgMar w:top="1440" w:right="1440" w:bottom="1440" w:left="1440" w:header="851" w:footer="851" w:gutter="0"/>
          <w:pgNumType w:fmt="decimal" w:start="1"/>
          <w:cols w:space="720" w:num="1"/>
          <w:docGrid w:linePitch="312" w:charSpace="0"/>
        </w:sectPr>
      </w:pPr>
    </w:p>
    <w:tbl>
      <w:tblPr>
        <w:tblStyle w:val="53"/>
        <w:tblW w:w="5012"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17"/>
        <w:gridCol w:w="8548"/>
      </w:tblGrid>
      <w:tr w14:paraId="7D3C2D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995" w:hRule="atLeast"/>
          <w:jc w:val="center"/>
        </w:trPr>
        <w:tc>
          <w:tcPr>
            <w:tcW w:w="717" w:type="dxa"/>
            <w:vMerge w:val="restart"/>
            <w:vAlign w:val="center"/>
          </w:tcPr>
          <w:p w14:paraId="47CCF7FC">
            <w:pPr>
              <w:adjustRightInd w:val="0"/>
              <w:snapToGrid w:val="0"/>
              <w:spacing w:after="0"/>
              <w:ind w:left="-72" w:leftChars="-30" w:right="-72" w:rightChars="-30"/>
              <w:jc w:val="center"/>
              <w:rPr>
                <w:color w:val="auto"/>
              </w:rPr>
            </w:pPr>
            <w:r>
              <w:rPr>
                <w:color w:val="auto"/>
              </w:rPr>
              <w:t>其他符合性分析</w:t>
            </w:r>
          </w:p>
        </w:tc>
        <w:tc>
          <w:tcPr>
            <w:tcW w:w="8550" w:type="dxa"/>
            <w:vAlign w:val="top"/>
          </w:tcPr>
          <w:p w14:paraId="5AB11744">
            <w:pPr>
              <w:spacing w:after="0" w:line="460" w:lineRule="exact"/>
              <w:ind w:firstLine="480" w:firstLineChars="200"/>
              <w:rPr>
                <w:rFonts w:hint="eastAsia"/>
                <w:color w:val="auto"/>
                <w:lang w:eastAsia="zh-CN"/>
              </w:rPr>
            </w:pPr>
            <w:r>
              <w:rPr>
                <w:rFonts w:hint="eastAsia"/>
                <w:color w:val="auto"/>
                <w:lang w:eastAsia="zh-CN"/>
              </w:rPr>
              <w:t>综上，项目建设符合</w:t>
            </w:r>
            <w:r>
              <w:rPr>
                <w:rFonts w:hint="eastAsia"/>
                <w:color w:val="auto"/>
                <w:szCs w:val="24"/>
                <w:lang w:val="en-US" w:eastAsia="zh-CN"/>
              </w:rPr>
              <w:t>《</w:t>
            </w:r>
            <w:r>
              <w:rPr>
                <w:rFonts w:hint="eastAsia"/>
                <w:color w:val="auto"/>
              </w:rPr>
              <w:t>八公山风景名胜区总体规划</w:t>
            </w:r>
            <w:r>
              <w:rPr>
                <w:rFonts w:hint="eastAsia"/>
                <w:color w:val="auto"/>
                <w:szCs w:val="24"/>
                <w:lang w:val="en-US" w:eastAsia="zh-CN"/>
              </w:rPr>
              <w:t>》</w:t>
            </w:r>
            <w:r>
              <w:rPr>
                <w:rFonts w:hint="eastAsia"/>
                <w:color w:val="auto"/>
              </w:rPr>
              <w:t>（2016－2030年）</w:t>
            </w:r>
            <w:r>
              <w:rPr>
                <w:rFonts w:hint="eastAsia"/>
                <w:color w:val="auto"/>
                <w:lang w:eastAsia="zh-CN"/>
              </w:rPr>
              <w:t>中相关要求。</w:t>
            </w:r>
          </w:p>
          <w:p w14:paraId="467B3881">
            <w:pPr>
              <w:spacing w:after="0" w:line="240" w:lineRule="auto"/>
            </w:pPr>
            <w:r>
              <w:drawing>
                <wp:inline distT="0" distB="0" distL="114300" distR="114300">
                  <wp:extent cx="5306695" cy="3768725"/>
                  <wp:effectExtent l="9525" t="9525" r="17780" b="1270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1"/>
                          <a:stretch>
                            <a:fillRect/>
                          </a:stretch>
                        </pic:blipFill>
                        <pic:spPr>
                          <a:xfrm>
                            <a:off x="0" y="0"/>
                            <a:ext cx="5306695" cy="3768725"/>
                          </a:xfrm>
                          <a:prstGeom prst="rect">
                            <a:avLst/>
                          </a:prstGeom>
                          <a:noFill/>
                          <a:ln>
                            <a:solidFill>
                              <a:schemeClr val="tx1"/>
                            </a:solidFill>
                          </a:ln>
                        </pic:spPr>
                      </pic:pic>
                    </a:graphicData>
                  </a:graphic>
                </wp:inline>
              </w:drawing>
            </w:r>
          </w:p>
          <w:p w14:paraId="69EEB9D6">
            <w:pPr>
              <w:pStyle w:val="15"/>
              <w:spacing w:after="0" w:line="240" w:lineRule="auto"/>
              <w:rPr>
                <w:rFonts w:hint="eastAsia" w:eastAsia="宋体"/>
                <w:lang w:val="en-US" w:eastAsia="zh-CN"/>
              </w:rPr>
            </w:pPr>
            <w:r>
              <w:t xml:space="preserve">图 </w:t>
            </w:r>
            <w:r>
              <w:rPr>
                <w:rFonts w:hint="eastAsia"/>
                <w:lang w:val="en-US" w:eastAsia="zh-CN"/>
              </w:rPr>
              <w:t>1</w:t>
            </w:r>
            <w:r>
              <w:rPr>
                <w:rFonts w:hint="eastAsia"/>
                <w:lang w:eastAsia="zh-CN"/>
              </w:rPr>
              <w:t>-</w:t>
            </w:r>
            <w:r>
              <w:fldChar w:fldCharType="begin"/>
            </w:r>
            <w:r>
              <w:instrText xml:space="preserve"> SEQ 图 \* ARABIC \s 1 </w:instrText>
            </w:r>
            <w:r>
              <w:fldChar w:fldCharType="separate"/>
            </w:r>
            <w:r>
              <w:t>1</w:t>
            </w:r>
            <w:r>
              <w:fldChar w:fldCharType="end"/>
            </w:r>
            <w:r>
              <w:rPr>
                <w:rFonts w:hint="eastAsia"/>
                <w:lang w:val="en-US" w:eastAsia="zh-CN"/>
              </w:rPr>
              <w:t xml:space="preserve"> </w:t>
            </w:r>
            <w:r>
              <w:rPr>
                <w:rFonts w:hint="eastAsia"/>
                <w:b/>
                <w:bCs/>
                <w:color w:val="auto"/>
                <w:sz w:val="21"/>
                <w:lang w:eastAsia="zh-CN"/>
              </w:rPr>
              <w:t>八公山风景名胜区</w:t>
            </w:r>
            <w:r>
              <w:rPr>
                <w:rFonts w:hint="eastAsia"/>
                <w:b/>
                <w:bCs/>
                <w:color w:val="auto"/>
                <w:sz w:val="21"/>
              </w:rPr>
              <w:t>总体</w:t>
            </w:r>
            <w:r>
              <w:rPr>
                <w:b/>
                <w:bCs/>
                <w:color w:val="auto"/>
                <w:sz w:val="21"/>
              </w:rPr>
              <w:t>规划图</w:t>
            </w:r>
            <w:r>
              <w:rPr>
                <w:rFonts w:hint="eastAsia"/>
                <w:b/>
                <w:bCs/>
                <w:color w:val="auto"/>
                <w:sz w:val="21"/>
                <w:lang w:eastAsia="zh-CN"/>
              </w:rPr>
              <w:t>（附图</w:t>
            </w:r>
            <w:r>
              <w:rPr>
                <w:rFonts w:hint="eastAsia"/>
                <w:b/>
                <w:bCs/>
                <w:color w:val="auto"/>
                <w:sz w:val="21"/>
                <w:lang w:val="en-US" w:eastAsia="zh-CN"/>
              </w:rPr>
              <w:t>6-1</w:t>
            </w:r>
            <w:r>
              <w:rPr>
                <w:rFonts w:hint="eastAsia"/>
                <w:b/>
                <w:bCs/>
                <w:color w:val="auto"/>
                <w:sz w:val="21"/>
                <w:lang w:eastAsia="zh-CN"/>
              </w:rPr>
              <w:t>）</w:t>
            </w:r>
          </w:p>
          <w:p w14:paraId="51D3D671">
            <w:pPr>
              <w:pStyle w:val="4"/>
              <w:bidi w:val="0"/>
              <w:rPr>
                <w:color w:val="auto"/>
              </w:rPr>
            </w:pPr>
            <w:r>
              <w:rPr>
                <w:color w:val="auto"/>
              </w:rPr>
              <w:t>1.</w:t>
            </w:r>
            <w:r>
              <w:rPr>
                <w:rFonts w:hint="eastAsia"/>
                <w:color w:val="auto"/>
                <w:lang w:val="en-US" w:eastAsia="zh-CN"/>
              </w:rPr>
              <w:t>2</w:t>
            </w:r>
            <w:r>
              <w:rPr>
                <w:color w:val="auto"/>
              </w:rPr>
              <w:t xml:space="preserve"> 产业政策相符性分析</w:t>
            </w:r>
          </w:p>
          <w:p w14:paraId="395A3910">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rFonts w:hint="eastAsia"/>
                <w:color w:val="auto"/>
                <w:lang w:eastAsia="zh-CN"/>
              </w:rPr>
            </w:pPr>
            <w:r>
              <w:rPr>
                <w:rFonts w:hint="eastAsia" w:ascii="Times New Roman" w:hAnsi="Times New Roman" w:eastAsia="宋体" w:cs="Times New Roman"/>
                <w:color w:val="auto"/>
              </w:rPr>
              <w:t>对照</w:t>
            </w:r>
            <w:r>
              <w:rPr>
                <w:rFonts w:hint="eastAsia"/>
                <w:color w:val="auto"/>
              </w:rPr>
              <w:t>《产业结构调整指导目录》（2024年本），</w:t>
            </w:r>
            <w:r>
              <w:rPr>
                <w:rFonts w:hint="eastAsia"/>
                <w:color w:val="auto"/>
                <w:lang w:eastAsia="zh-CN"/>
              </w:rPr>
              <w:t>对本项目产业政策进行分析，详见下表。</w:t>
            </w:r>
          </w:p>
          <w:p w14:paraId="208BEED1">
            <w:pPr>
              <w:pStyle w:val="15"/>
              <w:keepNext w:val="0"/>
              <w:keepLines w:val="0"/>
              <w:pageBreakBefore w:val="0"/>
              <w:widowControl w:val="0"/>
              <w:kinsoku/>
              <w:wordWrap/>
              <w:overflowPunct/>
              <w:topLinePunct w:val="0"/>
              <w:autoSpaceDE/>
              <w:autoSpaceDN/>
              <w:bidi w:val="0"/>
              <w:adjustRightInd/>
              <w:snapToGrid/>
              <w:spacing w:after="0"/>
              <w:textAlignment w:val="auto"/>
              <w:rPr>
                <w:rFonts w:hint="eastAsia" w:eastAsia="宋体"/>
                <w:color w:val="auto"/>
                <w:lang w:val="en-US" w:eastAsia="zh-CN"/>
              </w:rPr>
            </w:pPr>
            <w:r>
              <w:rPr>
                <w:color w:val="auto"/>
              </w:rPr>
              <w:t xml:space="preserve">表 </w:t>
            </w:r>
            <w:r>
              <w:rPr>
                <w:rFonts w:hint="eastAsia"/>
                <w:color w:val="auto"/>
                <w:lang w:val="en-US" w:eastAsia="zh-CN"/>
              </w:rPr>
              <w:t>1</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3</w:t>
            </w:r>
            <w:r>
              <w:rPr>
                <w:color w:val="auto"/>
              </w:rPr>
              <w:fldChar w:fldCharType="end"/>
            </w:r>
            <w:r>
              <w:rPr>
                <w:rFonts w:hint="eastAsia"/>
                <w:color w:val="auto"/>
                <w:lang w:val="en-US" w:eastAsia="zh-CN"/>
              </w:rPr>
              <w:t xml:space="preserve"> </w:t>
            </w:r>
            <w:r>
              <w:rPr>
                <w:rFonts w:hint="eastAsia"/>
                <w:color w:val="auto"/>
                <w:lang w:eastAsia="zh-CN"/>
              </w:rPr>
              <w:t>产业政策符合性分析一览表</w:t>
            </w:r>
          </w:p>
          <w:tbl>
            <w:tblPr>
              <w:tblStyle w:val="5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1"/>
              <w:gridCol w:w="585"/>
              <w:gridCol w:w="848"/>
              <w:gridCol w:w="350"/>
              <w:gridCol w:w="1982"/>
              <w:gridCol w:w="3225"/>
              <w:gridCol w:w="928"/>
            </w:tblGrid>
            <w:tr w14:paraId="58DB0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gridSpan w:val="2"/>
                  <w:vAlign w:val="center"/>
                </w:tcPr>
                <w:p w14:paraId="733A1EE1">
                  <w:pPr>
                    <w:pStyle w:val="77"/>
                    <w:bidi w:val="0"/>
                    <w:jc w:val="center"/>
                    <w:rPr>
                      <w:rFonts w:hint="default" w:ascii="Times New Roman" w:hAnsi="Times New Roman" w:cs="Times New Roman"/>
                      <w:color w:val="auto"/>
                      <w:lang w:eastAsia="zh-CN"/>
                    </w:rPr>
                  </w:pPr>
                  <w:r>
                    <w:rPr>
                      <w:rFonts w:hint="eastAsia" w:ascii="Times New Roman" w:cs="Times New Roman"/>
                      <w:color w:val="auto"/>
                      <w:lang w:eastAsia="zh-CN"/>
                    </w:rPr>
                    <w:t>类别</w:t>
                  </w:r>
                </w:p>
              </w:tc>
              <w:tc>
                <w:tcPr>
                  <w:tcW w:w="1911" w:type="pct"/>
                  <w:gridSpan w:val="3"/>
                  <w:vAlign w:val="center"/>
                </w:tcPr>
                <w:p w14:paraId="58DC8E7C">
                  <w:pPr>
                    <w:pStyle w:val="77"/>
                    <w:bidi w:val="0"/>
                    <w:jc w:val="center"/>
                    <w:rPr>
                      <w:rFonts w:hint="default" w:ascii="Times New Roman" w:hAnsi="Times New Roman" w:cs="Times New Roman"/>
                      <w:color w:val="auto"/>
                      <w:lang w:eastAsia="zh-CN"/>
                    </w:rPr>
                  </w:pPr>
                  <w:r>
                    <w:rPr>
                      <w:rFonts w:hint="default" w:ascii="Times New Roman" w:hAnsi="Times New Roman" w:cs="Times New Roman"/>
                      <w:color w:val="auto"/>
                      <w:lang w:eastAsia="zh-CN"/>
                    </w:rPr>
                    <w:t>要求</w:t>
                  </w:r>
                </w:p>
              </w:tc>
              <w:tc>
                <w:tcPr>
                  <w:tcW w:w="1938" w:type="pct"/>
                  <w:vAlign w:val="center"/>
                </w:tcPr>
                <w:p w14:paraId="7812306F">
                  <w:pPr>
                    <w:pStyle w:val="77"/>
                    <w:bidi w:val="0"/>
                    <w:jc w:val="center"/>
                    <w:rPr>
                      <w:rFonts w:hint="default" w:ascii="Times New Roman" w:hAnsi="Times New Roman" w:cs="Times New Roman"/>
                      <w:color w:val="auto"/>
                      <w:lang w:eastAsia="zh-CN"/>
                    </w:rPr>
                  </w:pPr>
                  <w:r>
                    <w:rPr>
                      <w:rFonts w:hint="default" w:ascii="Times New Roman" w:hAnsi="Times New Roman" w:cs="Times New Roman"/>
                      <w:color w:val="auto"/>
                      <w:lang w:eastAsia="zh-CN"/>
                    </w:rPr>
                    <w:t>本项目情况</w:t>
                  </w:r>
                </w:p>
              </w:tc>
              <w:tc>
                <w:tcPr>
                  <w:tcW w:w="557" w:type="pct"/>
                  <w:vAlign w:val="center"/>
                </w:tcPr>
                <w:p w14:paraId="34C717C2">
                  <w:pPr>
                    <w:pStyle w:val="77"/>
                    <w:bidi w:val="0"/>
                    <w:jc w:val="center"/>
                    <w:rPr>
                      <w:rFonts w:hint="default" w:ascii="Times New Roman" w:hAnsi="Times New Roman" w:cs="Times New Roman"/>
                      <w:color w:val="auto"/>
                      <w:lang w:eastAsia="zh-CN"/>
                    </w:rPr>
                  </w:pPr>
                  <w:r>
                    <w:rPr>
                      <w:rFonts w:hint="default" w:ascii="Times New Roman" w:hAnsi="Times New Roman" w:cs="Times New Roman"/>
                      <w:color w:val="auto"/>
                      <w:lang w:eastAsia="zh-CN"/>
                    </w:rPr>
                    <w:t>符合性</w:t>
                  </w:r>
                </w:p>
              </w:tc>
            </w:tr>
            <w:tr w14:paraId="59517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 w:type="pct"/>
                  <w:vMerge w:val="restart"/>
                  <w:vAlign w:val="center"/>
                </w:tcPr>
                <w:p w14:paraId="706FAC68">
                  <w:pPr>
                    <w:pStyle w:val="77"/>
                    <w:bidi w:val="0"/>
                    <w:jc w:val="center"/>
                    <w:rPr>
                      <w:rFonts w:hint="default" w:ascii="Times New Roman" w:hAnsi="Times New Roman" w:cs="Times New Roman"/>
                      <w:color w:val="auto"/>
                      <w:lang w:eastAsia="zh-CN"/>
                    </w:rPr>
                  </w:pPr>
                  <w:r>
                    <w:rPr>
                      <w:rFonts w:hint="default" w:ascii="Times New Roman" w:hAnsi="Times New Roman" w:cs="Times New Roman"/>
                      <w:color w:val="auto"/>
                      <w:lang w:eastAsia="zh-CN"/>
                    </w:rPr>
                    <w:t>淘汰类</w:t>
                  </w:r>
                </w:p>
              </w:tc>
              <w:tc>
                <w:tcPr>
                  <w:tcW w:w="351" w:type="pct"/>
                  <w:vMerge w:val="restart"/>
                  <w:vAlign w:val="center"/>
                </w:tcPr>
                <w:p w14:paraId="6C2A6AA1">
                  <w:pPr>
                    <w:keepNext w:val="0"/>
                    <w:keepLines w:val="0"/>
                    <w:widowControl/>
                    <w:suppressLineNumbers w:val="0"/>
                    <w:jc w:val="center"/>
                    <w:rPr>
                      <w:rFonts w:hint="default" w:ascii="Times New Roman" w:hAnsi="Times New Roman" w:cs="Times New Roman"/>
                      <w:color w:val="auto"/>
                      <w:lang w:val="en-US" w:eastAsia="zh-CN"/>
                    </w:rPr>
                  </w:pPr>
                  <w:r>
                    <w:rPr>
                      <w:rFonts w:hint="default" w:ascii="Times New Roman" w:hAnsi="Times New Roman" w:eastAsia="宋体" w:cs="Times New Roman"/>
                      <w:color w:val="auto"/>
                      <w:sz w:val="21"/>
                      <w:lang w:val="en-US" w:eastAsia="zh-CN" w:bidi="ar-SA"/>
                    </w:rPr>
                    <w:t>一、落后生产工艺装备</w:t>
                  </w:r>
                </w:p>
              </w:tc>
              <w:tc>
                <w:tcPr>
                  <w:tcW w:w="509" w:type="pct"/>
                  <w:vMerge w:val="restart"/>
                  <w:vAlign w:val="center"/>
                </w:tcPr>
                <w:p w14:paraId="5EEFEA09">
                  <w:pPr>
                    <w:pStyle w:val="77"/>
                    <w:bidi w:val="0"/>
                    <w:jc w:val="center"/>
                    <w:rPr>
                      <w:rFonts w:hint="default" w:ascii="Times New Roman" w:hAnsi="Times New Roman" w:cs="Times New Roman"/>
                      <w:color w:val="auto"/>
                      <w:lang w:eastAsia="zh-CN"/>
                    </w:rPr>
                  </w:pPr>
                  <w:r>
                    <w:rPr>
                      <w:rFonts w:hint="eastAsia" w:ascii="Times New Roman" w:cs="Times New Roman"/>
                      <w:color w:val="auto"/>
                      <w:lang w:eastAsia="zh-CN"/>
                    </w:rPr>
                    <w:t>（二）煤炭</w:t>
                  </w:r>
                </w:p>
              </w:tc>
              <w:tc>
                <w:tcPr>
                  <w:tcW w:w="210" w:type="pct"/>
                  <w:shd w:val="clear" w:color="auto" w:fill="auto"/>
                  <w:vAlign w:val="center"/>
                </w:tcPr>
                <w:p w14:paraId="43049070">
                  <w:pPr>
                    <w:pStyle w:val="77"/>
                    <w:bidi w:val="0"/>
                    <w:jc w:val="center"/>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4</w:t>
                  </w:r>
                </w:p>
              </w:tc>
              <w:tc>
                <w:tcPr>
                  <w:tcW w:w="1191" w:type="pct"/>
                  <w:shd w:val="clear" w:color="auto" w:fill="auto"/>
                  <w:vAlign w:val="center"/>
                </w:tcPr>
                <w:p w14:paraId="16CC7341">
                  <w:pPr>
                    <w:pStyle w:val="77"/>
                    <w:bidi w:val="0"/>
                    <w:jc w:val="center"/>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6AM、φM-2.5、PA-3型煤用浮选机</w:t>
                  </w:r>
                </w:p>
              </w:tc>
              <w:tc>
                <w:tcPr>
                  <w:tcW w:w="1938" w:type="pct"/>
                  <w:vAlign w:val="center"/>
                </w:tcPr>
                <w:p w14:paraId="0FFDCCE4">
                  <w:pPr>
                    <w:pStyle w:val="77"/>
                    <w:bidi w:val="0"/>
                    <w:jc w:val="center"/>
                    <w:rPr>
                      <w:rFonts w:hint="default" w:ascii="Times New Roman" w:hAnsi="Times New Roman" w:cs="Times New Roman"/>
                      <w:color w:val="auto"/>
                      <w:lang w:val="en-US" w:eastAsia="zh-CN"/>
                    </w:rPr>
                  </w:pPr>
                  <w:r>
                    <w:rPr>
                      <w:rFonts w:hint="eastAsia" w:ascii="Times New Roman" w:hAnsi="Times New Roman" w:eastAsia="宋体" w:cs="Times New Roman"/>
                      <w:color w:val="auto"/>
                      <w:lang w:val="en-US" w:eastAsia="zh-CN"/>
                    </w:rPr>
                    <w:t>本项目采用SKT系列数控跳汰机，不涉及</w:t>
                  </w:r>
                  <w:r>
                    <w:rPr>
                      <w:rFonts w:hint="default" w:ascii="Times New Roman" w:hAnsi="Times New Roman" w:eastAsia="宋体" w:cs="Times New Roman"/>
                      <w:color w:val="auto"/>
                      <w:lang w:val="en-US" w:eastAsia="zh-CN"/>
                    </w:rPr>
                    <w:t>6AM、φM-2.5、</w:t>
                  </w:r>
                  <w:r>
                    <w:rPr>
                      <w:rFonts w:hint="default" w:ascii="Times New Roman" w:hAnsi="Times New Roman" w:cs="Times New Roman"/>
                      <w:color w:val="auto"/>
                      <w:lang w:val="en-US" w:eastAsia="zh-CN"/>
                    </w:rPr>
                    <w:t>PA-3型煤用浮选机</w:t>
                  </w:r>
                </w:p>
              </w:tc>
              <w:tc>
                <w:tcPr>
                  <w:tcW w:w="557" w:type="pct"/>
                  <w:vAlign w:val="center"/>
                </w:tcPr>
                <w:p w14:paraId="2ACFB172">
                  <w:pPr>
                    <w:pStyle w:val="77"/>
                    <w:bidi w:val="0"/>
                    <w:jc w:val="center"/>
                    <w:rPr>
                      <w:rFonts w:hint="default" w:ascii="Times New Roman" w:hAnsi="Times New Roman" w:cs="Times New Roman"/>
                      <w:color w:val="auto"/>
                      <w:lang w:eastAsia="zh-CN"/>
                    </w:rPr>
                  </w:pPr>
                  <w:r>
                    <w:rPr>
                      <w:rFonts w:hint="eastAsia" w:ascii="Times New Roman" w:hAnsi="Times New Roman" w:cs="Times New Roman"/>
                      <w:color w:val="auto"/>
                      <w:lang w:eastAsia="zh-CN"/>
                    </w:rPr>
                    <w:t>符合</w:t>
                  </w:r>
                </w:p>
              </w:tc>
            </w:tr>
            <w:tr w14:paraId="2AC94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 w:type="pct"/>
                  <w:vMerge w:val="continue"/>
                  <w:vAlign w:val="center"/>
                </w:tcPr>
                <w:p w14:paraId="32948127">
                  <w:pPr>
                    <w:pStyle w:val="77"/>
                    <w:bidi w:val="0"/>
                    <w:jc w:val="center"/>
                    <w:rPr>
                      <w:rFonts w:hint="default" w:ascii="Times New Roman" w:hAnsi="Times New Roman" w:cs="Times New Roman"/>
                      <w:color w:val="auto"/>
                      <w:lang w:eastAsia="zh-CN"/>
                    </w:rPr>
                  </w:pPr>
                </w:p>
              </w:tc>
              <w:tc>
                <w:tcPr>
                  <w:tcW w:w="351" w:type="pct"/>
                  <w:vMerge w:val="continue"/>
                  <w:vAlign w:val="center"/>
                </w:tcPr>
                <w:p w14:paraId="3D1C455B">
                  <w:pPr>
                    <w:pStyle w:val="77"/>
                    <w:bidi w:val="0"/>
                    <w:jc w:val="center"/>
                    <w:rPr>
                      <w:rFonts w:hint="default" w:ascii="Times New Roman" w:hAnsi="Times New Roman" w:cs="Times New Roman"/>
                      <w:color w:val="auto"/>
                      <w:lang w:val="en-US" w:eastAsia="zh-CN"/>
                    </w:rPr>
                  </w:pPr>
                </w:p>
              </w:tc>
              <w:tc>
                <w:tcPr>
                  <w:tcW w:w="509" w:type="pct"/>
                  <w:vMerge w:val="continue"/>
                  <w:vAlign w:val="center"/>
                </w:tcPr>
                <w:p w14:paraId="5C73EBDE">
                  <w:pPr>
                    <w:pStyle w:val="77"/>
                    <w:bidi w:val="0"/>
                    <w:jc w:val="center"/>
                    <w:rPr>
                      <w:rFonts w:hint="default" w:ascii="Times New Roman" w:hAnsi="Times New Roman" w:cs="Times New Roman"/>
                      <w:color w:val="auto"/>
                      <w:lang w:eastAsia="zh-CN"/>
                    </w:rPr>
                  </w:pPr>
                </w:p>
              </w:tc>
              <w:tc>
                <w:tcPr>
                  <w:tcW w:w="210" w:type="pct"/>
                  <w:shd w:val="clear" w:color="auto" w:fill="auto"/>
                  <w:vAlign w:val="center"/>
                </w:tcPr>
                <w:p w14:paraId="7D50ED86">
                  <w:pPr>
                    <w:pStyle w:val="77"/>
                    <w:bidi w:val="0"/>
                    <w:jc w:val="center"/>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6</w:t>
                  </w:r>
                </w:p>
              </w:tc>
              <w:tc>
                <w:tcPr>
                  <w:tcW w:w="1191" w:type="pct"/>
                  <w:shd w:val="clear" w:color="auto" w:fill="auto"/>
                  <w:vAlign w:val="center"/>
                </w:tcPr>
                <w:p w14:paraId="5A3F444A">
                  <w:pPr>
                    <w:pStyle w:val="77"/>
                    <w:bidi w:val="0"/>
                    <w:jc w:val="center"/>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PG-27 型真空过滤机</w:t>
                  </w:r>
                </w:p>
              </w:tc>
              <w:tc>
                <w:tcPr>
                  <w:tcW w:w="1938" w:type="pct"/>
                  <w:vAlign w:val="center"/>
                </w:tcPr>
                <w:p w14:paraId="3A8D29E1">
                  <w:pPr>
                    <w:pStyle w:val="77"/>
                    <w:bidi w:val="0"/>
                    <w:jc w:val="center"/>
                    <w:rPr>
                      <w:rFonts w:hint="default" w:ascii="Times New Roman" w:hAnsi="Times New Roman" w:cs="Times New Roman"/>
                      <w:color w:val="auto"/>
                      <w:lang w:eastAsia="zh-CN"/>
                    </w:rPr>
                  </w:pPr>
                  <w:r>
                    <w:rPr>
                      <w:rFonts w:hint="eastAsia" w:ascii="Times New Roman" w:hAnsi="Times New Roman" w:cs="Times New Roman"/>
                      <w:color w:val="auto"/>
                      <w:lang w:eastAsia="zh-CN"/>
                    </w:rPr>
                    <w:t>本项目不涉及</w:t>
                  </w:r>
                  <w:r>
                    <w:rPr>
                      <w:rFonts w:hint="default" w:ascii="Times New Roman" w:hAnsi="Times New Roman" w:cs="Times New Roman"/>
                      <w:color w:val="auto"/>
                      <w:lang w:val="en-US" w:eastAsia="zh-CN"/>
                    </w:rPr>
                    <w:t>PG-27 型真空过滤机</w:t>
                  </w:r>
                </w:p>
              </w:tc>
              <w:tc>
                <w:tcPr>
                  <w:tcW w:w="557" w:type="pct"/>
                  <w:vAlign w:val="center"/>
                </w:tcPr>
                <w:p w14:paraId="68754F50">
                  <w:pPr>
                    <w:pStyle w:val="77"/>
                    <w:bidi w:val="0"/>
                    <w:jc w:val="center"/>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eastAsia="zh-CN"/>
                    </w:rPr>
                    <w:t>符合</w:t>
                  </w:r>
                </w:p>
              </w:tc>
            </w:tr>
            <w:tr w14:paraId="0CA38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 w:type="pct"/>
                  <w:vMerge w:val="continue"/>
                  <w:vAlign w:val="center"/>
                </w:tcPr>
                <w:p w14:paraId="36F9FEA2">
                  <w:pPr>
                    <w:pStyle w:val="77"/>
                    <w:bidi w:val="0"/>
                    <w:jc w:val="center"/>
                    <w:rPr>
                      <w:rFonts w:hint="default" w:ascii="Times New Roman" w:hAnsi="Times New Roman" w:cs="Times New Roman"/>
                      <w:color w:val="auto"/>
                      <w:lang w:eastAsia="zh-CN"/>
                    </w:rPr>
                  </w:pPr>
                </w:p>
              </w:tc>
              <w:tc>
                <w:tcPr>
                  <w:tcW w:w="351" w:type="pct"/>
                  <w:vMerge w:val="continue"/>
                  <w:vAlign w:val="center"/>
                </w:tcPr>
                <w:p w14:paraId="467F099C">
                  <w:pPr>
                    <w:pStyle w:val="77"/>
                    <w:bidi w:val="0"/>
                    <w:jc w:val="center"/>
                    <w:rPr>
                      <w:rFonts w:hint="default" w:ascii="Times New Roman" w:hAnsi="Times New Roman" w:cs="Times New Roman"/>
                      <w:color w:val="auto"/>
                      <w:lang w:val="en-US" w:eastAsia="zh-CN"/>
                    </w:rPr>
                  </w:pPr>
                </w:p>
              </w:tc>
              <w:tc>
                <w:tcPr>
                  <w:tcW w:w="509" w:type="pct"/>
                  <w:vMerge w:val="continue"/>
                  <w:vAlign w:val="center"/>
                </w:tcPr>
                <w:p w14:paraId="2EC5F9F9">
                  <w:pPr>
                    <w:pStyle w:val="77"/>
                    <w:bidi w:val="0"/>
                    <w:jc w:val="center"/>
                    <w:rPr>
                      <w:rFonts w:hint="default" w:ascii="Times New Roman" w:hAnsi="Times New Roman" w:cs="Times New Roman"/>
                      <w:color w:val="auto"/>
                      <w:lang w:eastAsia="zh-CN"/>
                    </w:rPr>
                  </w:pPr>
                </w:p>
              </w:tc>
              <w:tc>
                <w:tcPr>
                  <w:tcW w:w="210" w:type="pct"/>
                  <w:shd w:val="clear" w:color="auto" w:fill="auto"/>
                  <w:vAlign w:val="center"/>
                </w:tcPr>
                <w:p w14:paraId="6CF69DC0">
                  <w:pPr>
                    <w:pStyle w:val="77"/>
                    <w:bidi w:val="0"/>
                    <w:jc w:val="center"/>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7</w:t>
                  </w:r>
                </w:p>
              </w:tc>
              <w:tc>
                <w:tcPr>
                  <w:tcW w:w="1191" w:type="pct"/>
                  <w:shd w:val="clear" w:color="auto" w:fill="auto"/>
                  <w:vAlign w:val="center"/>
                </w:tcPr>
                <w:p w14:paraId="48CAA1F5">
                  <w:pPr>
                    <w:pStyle w:val="77"/>
                    <w:bidi w:val="0"/>
                    <w:jc w:val="center"/>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X-1 型箱式压滤机</w:t>
                  </w:r>
                </w:p>
              </w:tc>
              <w:tc>
                <w:tcPr>
                  <w:tcW w:w="1938" w:type="pct"/>
                  <w:vAlign w:val="center"/>
                </w:tcPr>
                <w:p w14:paraId="72422571">
                  <w:pPr>
                    <w:pStyle w:val="77"/>
                    <w:bidi w:val="0"/>
                    <w:jc w:val="center"/>
                    <w:rPr>
                      <w:rFonts w:hint="default" w:ascii="Times New Roman" w:hAnsi="Times New Roman" w:cs="Times New Roman"/>
                      <w:color w:val="auto"/>
                      <w:lang w:eastAsia="zh-CN"/>
                    </w:rPr>
                  </w:pPr>
                  <w:r>
                    <w:rPr>
                      <w:rFonts w:hint="eastAsia" w:ascii="Times New Roman" w:hAnsi="Times New Roman" w:cs="Times New Roman"/>
                      <w:color w:val="auto"/>
                      <w:lang w:eastAsia="zh-CN"/>
                    </w:rPr>
                    <w:t>本项目采用</w:t>
                  </w:r>
                  <w:r>
                    <w:rPr>
                      <w:rFonts w:hint="eastAsia" w:ascii="Times New Roman" w:cs="Times New Roman"/>
                      <w:color w:val="auto"/>
                      <w:lang w:val="en-US" w:eastAsia="zh-CN"/>
                    </w:rPr>
                    <w:t>1250/250型</w:t>
                  </w:r>
                  <w:r>
                    <w:rPr>
                      <w:rFonts w:hint="eastAsia" w:ascii="Times New Roman" w:hAnsi="Times New Roman" w:cs="Times New Roman"/>
                      <w:color w:val="auto"/>
                      <w:lang w:val="en-US" w:eastAsia="zh-CN"/>
                    </w:rPr>
                    <w:t>压滤机，不涉及</w:t>
                  </w:r>
                  <w:r>
                    <w:rPr>
                      <w:rFonts w:hint="default" w:ascii="Times New Roman" w:hAnsi="Times New Roman" w:cs="Times New Roman"/>
                      <w:color w:val="auto"/>
                      <w:lang w:val="en-US" w:eastAsia="zh-CN"/>
                    </w:rPr>
                    <w:t>X-1型箱式压滤机</w:t>
                  </w:r>
                </w:p>
              </w:tc>
              <w:tc>
                <w:tcPr>
                  <w:tcW w:w="557" w:type="pct"/>
                  <w:vAlign w:val="center"/>
                </w:tcPr>
                <w:p w14:paraId="30AA80E3">
                  <w:pPr>
                    <w:pStyle w:val="77"/>
                    <w:bidi w:val="0"/>
                    <w:jc w:val="center"/>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eastAsia="zh-CN"/>
                    </w:rPr>
                    <w:t>符合</w:t>
                  </w:r>
                </w:p>
              </w:tc>
            </w:tr>
            <w:tr w14:paraId="244EE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1" w:type="pct"/>
                  <w:vMerge w:val="continue"/>
                  <w:vAlign w:val="center"/>
                </w:tcPr>
                <w:p w14:paraId="68F6CCE4">
                  <w:pPr>
                    <w:pStyle w:val="77"/>
                    <w:bidi w:val="0"/>
                    <w:jc w:val="center"/>
                    <w:rPr>
                      <w:rFonts w:hint="default" w:ascii="Times New Roman" w:hAnsi="Times New Roman" w:cs="Times New Roman"/>
                      <w:color w:val="auto"/>
                      <w:lang w:eastAsia="zh-CN"/>
                    </w:rPr>
                  </w:pPr>
                </w:p>
              </w:tc>
              <w:tc>
                <w:tcPr>
                  <w:tcW w:w="351" w:type="pct"/>
                  <w:vMerge w:val="continue"/>
                  <w:vAlign w:val="center"/>
                </w:tcPr>
                <w:p w14:paraId="0AAB5BDA">
                  <w:pPr>
                    <w:pStyle w:val="77"/>
                    <w:bidi w:val="0"/>
                    <w:jc w:val="center"/>
                    <w:rPr>
                      <w:rFonts w:hint="default" w:ascii="Times New Roman" w:hAnsi="Times New Roman" w:cs="Times New Roman"/>
                      <w:color w:val="auto"/>
                      <w:lang w:val="en-US" w:eastAsia="zh-CN"/>
                    </w:rPr>
                  </w:pPr>
                </w:p>
              </w:tc>
              <w:tc>
                <w:tcPr>
                  <w:tcW w:w="509" w:type="pct"/>
                  <w:vMerge w:val="continue"/>
                  <w:vAlign w:val="center"/>
                </w:tcPr>
                <w:p w14:paraId="793678FD">
                  <w:pPr>
                    <w:pStyle w:val="77"/>
                    <w:bidi w:val="0"/>
                    <w:jc w:val="center"/>
                    <w:rPr>
                      <w:rFonts w:hint="default" w:ascii="Times New Roman" w:hAnsi="Times New Roman" w:cs="Times New Roman"/>
                      <w:color w:val="auto"/>
                      <w:sz w:val="21"/>
                      <w:szCs w:val="21"/>
                      <w:lang w:eastAsia="zh-CN"/>
                    </w:rPr>
                  </w:pPr>
                </w:p>
              </w:tc>
              <w:tc>
                <w:tcPr>
                  <w:tcW w:w="210" w:type="pct"/>
                  <w:shd w:val="clear" w:color="auto" w:fill="auto"/>
                  <w:vAlign w:val="center"/>
                </w:tcPr>
                <w:p w14:paraId="2579CF2E">
                  <w:pPr>
                    <w:pStyle w:val="77"/>
                    <w:bidi w:val="0"/>
                    <w:jc w:val="center"/>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9</w:t>
                  </w:r>
                </w:p>
              </w:tc>
              <w:tc>
                <w:tcPr>
                  <w:tcW w:w="1191" w:type="pct"/>
                  <w:shd w:val="clear" w:color="auto" w:fill="auto"/>
                  <w:vAlign w:val="center"/>
                </w:tcPr>
                <w:p w14:paraId="735352E6">
                  <w:pPr>
                    <w:pStyle w:val="77"/>
                    <w:bidi w:val="0"/>
                    <w:jc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val="en-US" w:eastAsia="zh-CN"/>
                    </w:rPr>
                    <w:t>不能实现洗煤废水闭路循环的选煤工艺、不能实现粉尘达标排放的干法选煤设备</w:t>
                  </w:r>
                </w:p>
              </w:tc>
              <w:tc>
                <w:tcPr>
                  <w:tcW w:w="1938" w:type="pct"/>
                  <w:vAlign w:val="center"/>
                </w:tcPr>
                <w:p w14:paraId="222F212A">
                  <w:pPr>
                    <w:pStyle w:val="77"/>
                    <w:bidi w:val="0"/>
                    <w:jc w:val="center"/>
                    <w:rPr>
                      <w:rFonts w:hint="default" w:ascii="Times New Roman" w:hAnsi="Times New Roman" w:cs="Times New Roman"/>
                      <w:color w:val="auto"/>
                      <w:sz w:val="21"/>
                      <w:szCs w:val="21"/>
                      <w:lang w:eastAsia="zh-CN"/>
                    </w:rPr>
                  </w:pPr>
                  <w:r>
                    <w:rPr>
                      <w:rFonts w:hint="eastAsia" w:ascii="Times New Roman" w:hAnsi="Times New Roman" w:cs="Times New Roman"/>
                      <w:color w:val="auto"/>
                      <w:sz w:val="21"/>
                      <w:szCs w:val="21"/>
                      <w:lang w:eastAsia="zh-CN"/>
                    </w:rPr>
                    <w:t>本项目煤泥</w:t>
                  </w:r>
                  <w:r>
                    <w:rPr>
                      <w:rFonts w:hint="eastAsia" w:ascii="宋体" w:hAnsi="宋体" w:eastAsia="宋体" w:cs="宋体"/>
                      <w:color w:val="auto"/>
                      <w:kern w:val="0"/>
                      <w:sz w:val="21"/>
                      <w:szCs w:val="21"/>
                      <w:lang w:val="en-US" w:eastAsia="zh-CN" w:bidi="ar"/>
                    </w:rPr>
                    <w:t>水进浓缩机浓缩后经压滤机脱水回收，洗水闭路循环；厂内跑、冒、滴、漏等进入集中水池，再由集中水池转排泵排入浓缩机，重新返回煤泥水系统。</w:t>
                  </w:r>
                  <w:r>
                    <w:rPr>
                      <w:rFonts w:hint="eastAsia" w:hAnsi="宋体" w:cs="宋体"/>
                      <w:color w:val="auto"/>
                      <w:kern w:val="0"/>
                      <w:sz w:val="21"/>
                      <w:szCs w:val="21"/>
                      <w:lang w:val="en-US" w:eastAsia="zh-CN" w:bidi="ar"/>
                    </w:rPr>
                    <w:t>本项目属于湿法选煤，产品</w:t>
                  </w:r>
                  <w:r>
                    <w:rPr>
                      <w:rFonts w:hint="eastAsia" w:ascii="宋体" w:hAnsi="宋体" w:eastAsia="宋体" w:cs="宋体"/>
                      <w:color w:val="auto"/>
                      <w:kern w:val="0"/>
                      <w:sz w:val="21"/>
                      <w:szCs w:val="21"/>
                      <w:lang w:val="en-US" w:eastAsia="zh-CN" w:bidi="ar"/>
                    </w:rPr>
                    <w:t>存储采用全封闭库，对大气环境影响较</w:t>
                  </w:r>
                  <w:r>
                    <w:rPr>
                      <w:rFonts w:hint="eastAsia" w:hAnsi="宋体" w:cs="宋体"/>
                      <w:color w:val="auto"/>
                      <w:kern w:val="0"/>
                      <w:sz w:val="21"/>
                      <w:szCs w:val="21"/>
                      <w:lang w:val="en-US" w:eastAsia="zh-CN" w:bidi="ar"/>
                    </w:rPr>
                    <w:t>小</w:t>
                  </w:r>
                  <w:r>
                    <w:rPr>
                      <w:rFonts w:hint="eastAsia" w:ascii="宋体" w:hAnsi="宋体" w:eastAsia="宋体" w:cs="宋体"/>
                      <w:color w:val="auto"/>
                      <w:kern w:val="0"/>
                      <w:sz w:val="21"/>
                      <w:szCs w:val="21"/>
                      <w:lang w:val="en-US" w:eastAsia="zh-CN" w:bidi="ar"/>
                    </w:rPr>
                    <w:t>。</w:t>
                  </w:r>
                </w:p>
              </w:tc>
              <w:tc>
                <w:tcPr>
                  <w:tcW w:w="557" w:type="pct"/>
                  <w:vAlign w:val="center"/>
                </w:tcPr>
                <w:p w14:paraId="1B00A10D">
                  <w:pPr>
                    <w:pStyle w:val="77"/>
                    <w:bidi w:val="0"/>
                    <w:jc w:val="center"/>
                    <w:rPr>
                      <w:rFonts w:hint="default" w:ascii="Times New Roman" w:hAnsi="Times New Roman" w:eastAsia="宋体" w:cs="Times New Roman"/>
                      <w:color w:val="auto"/>
                      <w:lang w:eastAsia="zh-CN"/>
                    </w:rPr>
                  </w:pPr>
                  <w:r>
                    <w:rPr>
                      <w:rFonts w:hint="eastAsia" w:ascii="Times New Roman" w:hAnsi="Times New Roman" w:eastAsia="宋体" w:cs="Times New Roman"/>
                      <w:color w:val="auto"/>
                      <w:lang w:eastAsia="zh-CN"/>
                    </w:rPr>
                    <w:t>符合</w:t>
                  </w:r>
                </w:p>
              </w:tc>
            </w:tr>
            <w:tr w14:paraId="3A9A8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gridSpan w:val="2"/>
                  <w:vAlign w:val="center"/>
                </w:tcPr>
                <w:p w14:paraId="678E2CC2">
                  <w:pPr>
                    <w:pStyle w:val="77"/>
                    <w:bidi w:val="0"/>
                    <w:jc w:val="center"/>
                    <w:rPr>
                      <w:rFonts w:hint="default" w:ascii="Times New Roman" w:hAnsi="Times New Roman" w:cs="Times New Roman"/>
                      <w:color w:val="auto"/>
                      <w:lang w:val="en-US" w:eastAsia="zh-CN"/>
                    </w:rPr>
                  </w:pPr>
                  <w:r>
                    <w:rPr>
                      <w:rFonts w:hint="eastAsia" w:ascii="Times New Roman" w:cs="Times New Roman"/>
                      <w:color w:val="auto"/>
                      <w:lang w:eastAsia="zh-CN"/>
                    </w:rPr>
                    <w:t>限制类</w:t>
                  </w:r>
                </w:p>
              </w:tc>
              <w:tc>
                <w:tcPr>
                  <w:tcW w:w="509" w:type="pct"/>
                  <w:vAlign w:val="center"/>
                </w:tcPr>
                <w:p w14:paraId="397D3577">
                  <w:pPr>
                    <w:pStyle w:val="77"/>
                    <w:bidi w:val="0"/>
                    <w:jc w:val="center"/>
                    <w:rPr>
                      <w:rFonts w:hint="default" w:ascii="Times New Roman" w:hAnsi="Times New Roman" w:cs="Times New Roman"/>
                      <w:color w:val="auto"/>
                      <w:sz w:val="21"/>
                      <w:szCs w:val="21"/>
                      <w:lang w:eastAsia="zh-CN"/>
                    </w:rPr>
                  </w:pPr>
                  <w:r>
                    <w:rPr>
                      <w:rFonts w:hint="eastAsia" w:ascii="Times New Roman" w:cs="Times New Roman"/>
                      <w:color w:val="auto"/>
                      <w:lang w:eastAsia="zh-CN"/>
                    </w:rPr>
                    <w:t>（二）煤炭</w:t>
                  </w:r>
                </w:p>
              </w:tc>
              <w:tc>
                <w:tcPr>
                  <w:tcW w:w="210" w:type="pct"/>
                  <w:shd w:val="clear" w:color="auto" w:fill="auto"/>
                  <w:vAlign w:val="center"/>
                </w:tcPr>
                <w:p w14:paraId="60C3BCE4">
                  <w:pPr>
                    <w:pStyle w:val="77"/>
                    <w:bidi w:val="0"/>
                    <w:jc w:val="center"/>
                    <w:rPr>
                      <w:rFonts w:hint="default" w:ascii="Times New Roman" w:hAnsi="Times New Roman" w:cs="Times New Roman"/>
                      <w:color w:val="auto"/>
                      <w:lang w:val="en-US" w:eastAsia="zh-CN"/>
                    </w:rPr>
                  </w:pPr>
                  <w:r>
                    <w:rPr>
                      <w:rFonts w:hint="eastAsia" w:ascii="Times New Roman" w:cs="Times New Roman"/>
                      <w:color w:val="auto"/>
                      <w:lang w:val="en-US" w:eastAsia="zh-CN"/>
                    </w:rPr>
                    <w:t>2</w:t>
                  </w:r>
                </w:p>
              </w:tc>
              <w:tc>
                <w:tcPr>
                  <w:tcW w:w="1191" w:type="pct"/>
                  <w:shd w:val="clear" w:color="auto" w:fill="auto"/>
                  <w:vAlign w:val="center"/>
                </w:tcPr>
                <w:p w14:paraId="5E0F7823">
                  <w:pPr>
                    <w:pStyle w:val="77"/>
                    <w:bidi w:val="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采用非机械化开采工艺的煤矿项目</w:t>
                  </w:r>
                </w:p>
              </w:tc>
              <w:tc>
                <w:tcPr>
                  <w:tcW w:w="1938" w:type="pct"/>
                  <w:vAlign w:val="center"/>
                </w:tcPr>
                <w:p w14:paraId="700DF95A">
                  <w:pPr>
                    <w:pStyle w:val="77"/>
                    <w:bidi w:val="0"/>
                    <w:jc w:val="center"/>
                    <w:rPr>
                      <w:rFonts w:hint="eastAsia" w:ascii="Times New Roman" w:hAnsi="Times New Roman" w:cs="Times New Roman"/>
                      <w:color w:val="auto"/>
                      <w:sz w:val="21"/>
                      <w:szCs w:val="21"/>
                      <w:lang w:val="en-US" w:eastAsia="zh-CN"/>
                    </w:rPr>
                  </w:pPr>
                  <w:r>
                    <w:rPr>
                      <w:rFonts w:hint="eastAsia" w:ascii="Times New Roman" w:cs="Times New Roman"/>
                      <w:color w:val="auto"/>
                      <w:sz w:val="21"/>
                      <w:szCs w:val="21"/>
                      <w:lang w:val="en-US" w:eastAsia="zh-CN"/>
                    </w:rPr>
                    <w:t>本项目原煤来自淮南舜岳水泥有限责任公司外购的破碎后原煤，不涉及采矿。</w:t>
                  </w:r>
                </w:p>
              </w:tc>
              <w:tc>
                <w:tcPr>
                  <w:tcW w:w="557" w:type="pct"/>
                  <w:vAlign w:val="center"/>
                </w:tcPr>
                <w:p w14:paraId="7273E797">
                  <w:pPr>
                    <w:pStyle w:val="77"/>
                    <w:bidi w:val="0"/>
                    <w:jc w:val="center"/>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eastAsia="zh-CN"/>
                    </w:rPr>
                    <w:t>符合</w:t>
                  </w:r>
                </w:p>
              </w:tc>
            </w:tr>
          </w:tbl>
          <w:p w14:paraId="2DF24FEC">
            <w:pPr>
              <w:spacing w:after="0" w:line="460" w:lineRule="exact"/>
              <w:ind w:firstLine="480" w:firstLineChars="200"/>
              <w:jc w:val="both"/>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经分析，本项目不涉及《产业结构调整指导目录》（2024年本）中的淘汰类及限制类，项目建设</w:t>
            </w:r>
            <w:r>
              <w:rPr>
                <w:rFonts w:hint="eastAsia" w:ascii="Times New Roman" w:hAnsi="Times New Roman" w:eastAsia="宋体" w:cs="Times New Roman"/>
                <w:color w:val="auto"/>
                <w:lang w:val="zh-CN" w:eastAsia="zh-CN"/>
              </w:rPr>
              <w:t>与国家及地方的产业政策的要求</w:t>
            </w:r>
            <w:r>
              <w:rPr>
                <w:rFonts w:hint="eastAsia" w:ascii="Times New Roman" w:hAnsi="Times New Roman" w:eastAsia="宋体" w:cs="Times New Roman"/>
                <w:color w:val="auto"/>
                <w:lang w:val="en-US" w:eastAsia="zh-CN"/>
              </w:rPr>
              <w:t>不冲突，基本</w:t>
            </w:r>
            <w:r>
              <w:rPr>
                <w:rFonts w:hint="eastAsia" w:ascii="Times New Roman" w:hAnsi="Times New Roman" w:eastAsia="宋体" w:cs="Times New Roman"/>
                <w:color w:val="auto"/>
                <w:lang w:val="zh-CN" w:eastAsia="zh-CN"/>
              </w:rPr>
              <w:t>符合国家及地方的产业政策的要求</w:t>
            </w:r>
            <w:r>
              <w:rPr>
                <w:rFonts w:hint="eastAsia" w:ascii="Times New Roman" w:hAnsi="Times New Roman" w:eastAsia="宋体" w:cs="Times New Roman"/>
                <w:color w:val="auto"/>
                <w:lang w:val="en-US" w:eastAsia="zh-CN"/>
              </w:rPr>
              <w:t>。</w:t>
            </w:r>
          </w:p>
          <w:p w14:paraId="691E101E">
            <w:pPr>
              <w:spacing w:after="0" w:line="460" w:lineRule="exact"/>
              <w:ind w:firstLine="480" w:firstLineChars="200"/>
              <w:jc w:val="both"/>
              <w:rPr>
                <w:color w:val="auto"/>
              </w:rPr>
            </w:pPr>
            <w:r>
              <w:rPr>
                <w:rFonts w:hint="eastAsia"/>
                <w:color w:val="auto"/>
                <w:lang w:val="en-US" w:eastAsia="zh-CN"/>
              </w:rPr>
              <w:t>2025</w:t>
            </w:r>
            <w:r>
              <w:rPr>
                <w:color w:val="auto"/>
              </w:rPr>
              <w:t>年</w:t>
            </w:r>
            <w:r>
              <w:rPr>
                <w:rFonts w:hint="eastAsia"/>
                <w:color w:val="auto"/>
                <w:lang w:val="en-US" w:eastAsia="zh-CN"/>
              </w:rPr>
              <w:t>12</w:t>
            </w:r>
            <w:r>
              <w:rPr>
                <w:color w:val="auto"/>
              </w:rPr>
              <w:t>月</w:t>
            </w:r>
            <w:r>
              <w:rPr>
                <w:rFonts w:hint="eastAsia"/>
                <w:color w:val="auto"/>
                <w:lang w:val="en-US" w:eastAsia="zh-CN"/>
              </w:rPr>
              <w:t>11</w:t>
            </w:r>
            <w:r>
              <w:rPr>
                <w:color w:val="auto"/>
              </w:rPr>
              <w:t>日</w:t>
            </w:r>
            <w:r>
              <w:rPr>
                <w:rFonts w:hint="eastAsia"/>
                <w:color w:val="auto"/>
              </w:rPr>
              <w:t>，本项目</w:t>
            </w:r>
            <w:r>
              <w:rPr>
                <w:color w:val="auto"/>
              </w:rPr>
              <w:t>已由</w:t>
            </w:r>
            <w:r>
              <w:rPr>
                <w:rFonts w:hint="eastAsia"/>
                <w:color w:val="auto"/>
                <w:lang w:eastAsia="zh-CN"/>
              </w:rPr>
              <w:t>淮南市八公山区发展和改革委员会</w:t>
            </w:r>
            <w:r>
              <w:rPr>
                <w:color w:val="auto"/>
              </w:rPr>
              <w:t>同意</w:t>
            </w:r>
            <w:r>
              <w:rPr>
                <w:color w:val="auto"/>
                <w:lang w:val="zh-CN"/>
              </w:rPr>
              <w:t>备案，项目备案号为</w:t>
            </w:r>
            <w:r>
              <w:rPr>
                <w:rFonts w:hint="eastAsia"/>
                <w:color w:val="auto"/>
                <w:lang w:val="en-US" w:eastAsia="zh-CN"/>
              </w:rPr>
              <w:t>2512-340405-04-05-211695</w:t>
            </w:r>
            <w:r>
              <w:rPr>
                <w:color w:val="auto"/>
                <w:lang w:val="zh-CN"/>
              </w:rPr>
              <w:t>。</w:t>
            </w:r>
          </w:p>
          <w:p w14:paraId="46E6D62C">
            <w:pPr>
              <w:snapToGrid w:val="0"/>
              <w:spacing w:after="0" w:line="460" w:lineRule="exact"/>
              <w:jc w:val="both"/>
              <w:rPr>
                <w:b/>
                <w:color w:val="auto"/>
              </w:rPr>
            </w:pPr>
            <w:r>
              <w:rPr>
                <w:b/>
                <w:color w:val="auto"/>
              </w:rPr>
              <w:t>1.</w:t>
            </w:r>
            <w:r>
              <w:rPr>
                <w:rFonts w:hint="eastAsia"/>
                <w:b/>
                <w:color w:val="auto"/>
                <w:lang w:val="en-US" w:eastAsia="zh-CN"/>
              </w:rPr>
              <w:t>3</w:t>
            </w:r>
            <w:r>
              <w:rPr>
                <w:rFonts w:hint="eastAsia"/>
                <w:b/>
                <w:color w:val="auto"/>
              </w:rPr>
              <w:t xml:space="preserve"> </w:t>
            </w:r>
            <w:r>
              <w:rPr>
                <w:b/>
                <w:bCs/>
                <w:color w:val="auto"/>
              </w:rPr>
              <w:t>与</w:t>
            </w:r>
            <w:r>
              <w:rPr>
                <w:b/>
                <w:color w:val="auto"/>
              </w:rPr>
              <w:t>淮南市</w:t>
            </w:r>
            <w:r>
              <w:rPr>
                <w:rFonts w:hint="eastAsia"/>
                <w:b/>
                <w:iCs/>
                <w:color w:val="auto"/>
                <w:lang w:eastAsia="zh-CN"/>
              </w:rPr>
              <w:t>“</w:t>
            </w:r>
            <w:r>
              <w:rPr>
                <w:b/>
                <w:iCs/>
                <w:color w:val="auto"/>
              </w:rPr>
              <w:t>三区三线</w:t>
            </w:r>
            <w:r>
              <w:rPr>
                <w:rFonts w:hint="eastAsia"/>
                <w:b/>
                <w:iCs/>
                <w:color w:val="auto"/>
                <w:lang w:eastAsia="zh-CN"/>
              </w:rPr>
              <w:t>”</w:t>
            </w:r>
            <w:r>
              <w:rPr>
                <w:b/>
                <w:iCs/>
                <w:color w:val="auto"/>
              </w:rPr>
              <w:t>相符性分析</w:t>
            </w:r>
          </w:p>
          <w:p w14:paraId="753BE34B">
            <w:pPr>
              <w:pStyle w:val="181"/>
              <w:wordWrap/>
              <w:ind w:firstLine="480"/>
              <w:jc w:val="both"/>
              <w:rPr>
                <w:color w:val="auto"/>
              </w:rPr>
            </w:pPr>
            <w:r>
              <w:rPr>
                <w:color w:val="auto"/>
              </w:rPr>
              <w:t>本项目位于</w:t>
            </w:r>
            <w:r>
              <w:rPr>
                <w:rFonts w:hint="eastAsia" w:ascii="Times New Roman" w:hAnsi="Times New Roman" w:eastAsia="宋体" w:cs="Times New Roman"/>
                <w:color w:val="auto"/>
                <w:sz w:val="24"/>
                <w:szCs w:val="24"/>
                <w:lang w:val="en-US" w:eastAsia="zh-CN" w:bidi="ar-SA"/>
              </w:rPr>
              <w:t>淮南市八公山区</w:t>
            </w:r>
            <w:r>
              <w:rPr>
                <w:rFonts w:hint="eastAsia" w:cs="Times New Roman"/>
                <w:bCs/>
                <w:color w:val="auto"/>
                <w:lang w:val="en-US" w:eastAsia="zh-CN"/>
              </w:rPr>
              <w:t>淮南</w:t>
            </w:r>
            <w:r>
              <w:rPr>
                <w:rFonts w:hint="eastAsia"/>
                <w:color w:val="auto"/>
                <w:lang w:eastAsia="zh-CN"/>
              </w:rPr>
              <w:t>舜岳水泥有限责任公司</w:t>
            </w:r>
            <w:r>
              <w:rPr>
                <w:rFonts w:hint="eastAsia" w:ascii="Times New Roman" w:hAnsi="Times New Roman" w:eastAsia="宋体" w:cs="Times New Roman"/>
                <w:color w:val="auto"/>
                <w:sz w:val="24"/>
                <w:szCs w:val="24"/>
                <w:lang w:val="en-US" w:eastAsia="zh-CN" w:bidi="ar-SA"/>
              </w:rPr>
              <w:t>厂区内</w:t>
            </w:r>
            <w:r>
              <w:rPr>
                <w:color w:val="auto"/>
              </w:rPr>
              <w:t>，用地性质为工业用地，根据《淮南市</w:t>
            </w:r>
            <w:r>
              <w:rPr>
                <w:rFonts w:hint="eastAsia"/>
                <w:color w:val="auto"/>
                <w:lang w:eastAsia="zh-CN"/>
              </w:rPr>
              <w:t>“</w:t>
            </w:r>
            <w:r>
              <w:rPr>
                <w:color w:val="auto"/>
              </w:rPr>
              <w:t>三区三线</w:t>
            </w:r>
            <w:r>
              <w:rPr>
                <w:rFonts w:hint="eastAsia"/>
                <w:color w:val="auto"/>
                <w:lang w:eastAsia="zh-CN"/>
              </w:rPr>
              <w:t>”</w:t>
            </w:r>
            <w:r>
              <w:rPr>
                <w:color w:val="auto"/>
              </w:rPr>
              <w:t>划定方案》</w:t>
            </w:r>
            <w:r>
              <w:rPr>
                <w:rFonts w:hint="eastAsia"/>
                <w:color w:val="auto"/>
              </w:rPr>
              <w:t>（2022年11月）</w:t>
            </w:r>
            <w:r>
              <w:rPr>
                <w:color w:val="auto"/>
              </w:rPr>
              <w:t>，</w:t>
            </w:r>
            <w:r>
              <w:rPr>
                <w:rFonts w:hint="default" w:ascii="Times New Roman" w:hAnsi="Times New Roman" w:cs="Times New Roman"/>
                <w:color w:val="auto"/>
                <w:highlight w:val="none"/>
                <w:lang w:eastAsia="zh-CN"/>
              </w:rPr>
              <w:t>项目建设区域</w:t>
            </w:r>
            <w:r>
              <w:rPr>
                <w:rFonts w:hint="eastAsia" w:cs="Times New Roman"/>
                <w:color w:val="auto"/>
                <w:highlight w:val="none"/>
                <w:lang w:eastAsia="zh-CN"/>
              </w:rPr>
              <w:t>在城镇开发边界内，</w:t>
            </w:r>
            <w:r>
              <w:rPr>
                <w:rFonts w:hint="default" w:ascii="Times New Roman" w:hAnsi="Times New Roman" w:cs="Times New Roman"/>
                <w:color w:val="auto"/>
                <w:highlight w:val="none"/>
                <w:lang w:eastAsia="zh-CN"/>
              </w:rPr>
              <w:t>不在划定的</w:t>
            </w:r>
            <w:r>
              <w:rPr>
                <w:rFonts w:hint="eastAsia" w:cs="Times New Roman"/>
                <w:color w:val="auto"/>
                <w:highlight w:val="none"/>
                <w:lang w:val="en-US" w:eastAsia="zh-CN"/>
              </w:rPr>
              <w:t>淮南市</w:t>
            </w:r>
            <w:r>
              <w:rPr>
                <w:rFonts w:hint="default" w:ascii="Times New Roman" w:hAnsi="Times New Roman" w:cs="Times New Roman"/>
                <w:color w:val="auto"/>
                <w:highlight w:val="none"/>
                <w:lang w:eastAsia="zh-CN"/>
              </w:rPr>
              <w:t>生态保护红线区域</w:t>
            </w:r>
            <w:r>
              <w:rPr>
                <w:rFonts w:hint="eastAsia" w:cs="Times New Roman"/>
                <w:color w:val="auto"/>
                <w:highlight w:val="none"/>
                <w:lang w:eastAsia="zh-CN"/>
              </w:rPr>
              <w:t>内</w:t>
            </w:r>
            <w:r>
              <w:rPr>
                <w:color w:val="auto"/>
              </w:rPr>
              <w:t>。因此</w:t>
            </w:r>
            <w:r>
              <w:rPr>
                <w:rFonts w:hint="eastAsia"/>
                <w:color w:val="auto"/>
              </w:rPr>
              <w:t>，</w:t>
            </w:r>
            <w:r>
              <w:rPr>
                <w:color w:val="auto"/>
              </w:rPr>
              <w:t>本项目的建设不违背生态红线区域保护规划的要求。</w:t>
            </w:r>
          </w:p>
          <w:p w14:paraId="6975F78D">
            <w:pPr>
              <w:pStyle w:val="181"/>
              <w:wordWrap/>
              <w:ind w:firstLine="480"/>
              <w:jc w:val="both"/>
              <w:rPr>
                <w:color w:val="auto"/>
              </w:rPr>
            </w:pPr>
            <w:r>
              <w:rPr>
                <w:color w:val="auto"/>
              </w:rPr>
              <w:t>本项目所在淮南市</w:t>
            </w:r>
            <w:r>
              <w:rPr>
                <w:rFonts w:hint="eastAsia"/>
                <w:color w:val="auto"/>
                <w:lang w:eastAsia="zh-CN"/>
              </w:rPr>
              <w:t>“</w:t>
            </w:r>
            <w:r>
              <w:rPr>
                <w:color w:val="auto"/>
              </w:rPr>
              <w:t>三区三线</w:t>
            </w:r>
            <w:r>
              <w:rPr>
                <w:rFonts w:hint="eastAsia"/>
                <w:color w:val="auto"/>
                <w:lang w:eastAsia="zh-CN"/>
              </w:rPr>
              <w:t>”</w:t>
            </w:r>
            <w:r>
              <w:rPr>
                <w:color w:val="auto"/>
              </w:rPr>
              <w:t>划</w:t>
            </w:r>
            <w:r>
              <w:rPr>
                <w:rFonts w:hint="eastAsia"/>
                <w:color w:val="auto"/>
              </w:rPr>
              <w:t>定</w:t>
            </w:r>
            <w:r>
              <w:rPr>
                <w:color w:val="auto"/>
              </w:rPr>
              <w:t>图</w:t>
            </w:r>
            <w:r>
              <w:rPr>
                <w:rFonts w:hint="eastAsia"/>
                <w:color w:val="auto"/>
              </w:rPr>
              <w:t>如下所示：</w:t>
            </w:r>
          </w:p>
          <w:p w14:paraId="7A87D29B">
            <w:pPr>
              <w:spacing w:after="0" w:line="360" w:lineRule="auto"/>
              <w:jc w:val="both"/>
              <w:rPr>
                <w:rFonts w:hint="eastAsia" w:eastAsia="宋体"/>
                <w:color w:val="auto"/>
                <w:lang w:eastAsia="zh-CN"/>
              </w:rPr>
            </w:pPr>
            <w:r>
              <w:drawing>
                <wp:inline distT="0" distB="0" distL="114300" distR="114300">
                  <wp:extent cx="5257800" cy="7086600"/>
                  <wp:effectExtent l="9525" t="9525" r="9525" b="952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22"/>
                          <a:stretch>
                            <a:fillRect/>
                          </a:stretch>
                        </pic:blipFill>
                        <pic:spPr>
                          <a:xfrm>
                            <a:off x="0" y="0"/>
                            <a:ext cx="5257800" cy="7086600"/>
                          </a:xfrm>
                          <a:prstGeom prst="rect">
                            <a:avLst/>
                          </a:prstGeom>
                          <a:noFill/>
                          <a:ln>
                            <a:solidFill>
                              <a:schemeClr val="tx1"/>
                            </a:solidFill>
                          </a:ln>
                        </pic:spPr>
                      </pic:pic>
                    </a:graphicData>
                  </a:graphic>
                </wp:inline>
              </w:drawing>
            </w:r>
          </w:p>
          <w:p w14:paraId="7479B2BC">
            <w:pPr>
              <w:pStyle w:val="15"/>
              <w:keepNext w:val="0"/>
              <w:keepLines w:val="0"/>
              <w:pageBreakBefore w:val="0"/>
              <w:kinsoku/>
              <w:wordWrap/>
              <w:overflowPunct/>
              <w:topLinePunct w:val="0"/>
              <w:autoSpaceDE/>
              <w:autoSpaceDN/>
              <w:bidi w:val="0"/>
              <w:adjustRightInd w:val="0"/>
              <w:snapToGrid w:val="0"/>
              <w:spacing w:after="0" w:line="240" w:lineRule="auto"/>
              <w:jc w:val="center"/>
              <w:textAlignment w:val="auto"/>
              <w:rPr>
                <w:color w:val="auto"/>
              </w:rPr>
            </w:pPr>
            <w:r>
              <w:rPr>
                <w:color w:val="auto"/>
              </w:rPr>
              <w:t xml:space="preserve">图 </w:t>
            </w:r>
            <w:r>
              <w:rPr>
                <w:rFonts w:hint="eastAsia"/>
                <w:color w:val="auto"/>
                <w:lang w:val="en-US" w:eastAsia="zh-CN"/>
              </w:rPr>
              <w:t>1</w:t>
            </w:r>
            <w:r>
              <w:rPr>
                <w:rFonts w:hint="eastAsia"/>
                <w:color w:val="auto"/>
                <w:lang w:eastAsia="zh-CN"/>
              </w:rPr>
              <w:t>-</w:t>
            </w:r>
            <w:r>
              <w:rPr>
                <w:color w:val="auto"/>
              </w:rPr>
              <w:fldChar w:fldCharType="begin"/>
            </w:r>
            <w:r>
              <w:rPr>
                <w:color w:val="auto"/>
              </w:rPr>
              <w:instrText xml:space="preserve"> SEQ 图 \* ARABIC \s 1 </w:instrText>
            </w:r>
            <w:r>
              <w:rPr>
                <w:color w:val="auto"/>
              </w:rPr>
              <w:fldChar w:fldCharType="separate"/>
            </w:r>
            <w:r>
              <w:rPr>
                <w:color w:val="auto"/>
              </w:rPr>
              <w:t>2</w:t>
            </w:r>
            <w:r>
              <w:rPr>
                <w:color w:val="auto"/>
              </w:rPr>
              <w:fldChar w:fldCharType="end"/>
            </w:r>
            <w:r>
              <w:rPr>
                <w:color w:val="auto"/>
              </w:rPr>
              <w:t xml:space="preserve"> 淮南市</w:t>
            </w:r>
            <w:r>
              <w:rPr>
                <w:rFonts w:hint="eastAsia"/>
                <w:color w:val="auto"/>
                <w:lang w:eastAsia="zh-CN"/>
              </w:rPr>
              <w:t>“</w:t>
            </w:r>
            <w:r>
              <w:rPr>
                <w:color w:val="auto"/>
              </w:rPr>
              <w:t>三区三线</w:t>
            </w:r>
            <w:r>
              <w:rPr>
                <w:rFonts w:hint="eastAsia"/>
                <w:color w:val="auto"/>
                <w:lang w:eastAsia="zh-CN"/>
              </w:rPr>
              <w:t>”</w:t>
            </w:r>
            <w:r>
              <w:rPr>
                <w:color w:val="auto"/>
              </w:rPr>
              <w:t>划</w:t>
            </w:r>
            <w:r>
              <w:rPr>
                <w:rFonts w:hint="eastAsia"/>
                <w:color w:val="auto"/>
              </w:rPr>
              <w:t>定</w:t>
            </w:r>
            <w:r>
              <w:rPr>
                <w:color w:val="auto"/>
                <w:highlight w:val="none"/>
              </w:rPr>
              <w:t>图（详见附图</w:t>
            </w:r>
            <w:r>
              <w:rPr>
                <w:rFonts w:hint="eastAsia"/>
                <w:color w:val="auto"/>
                <w:highlight w:val="none"/>
                <w:lang w:val="en-US" w:eastAsia="zh-CN"/>
              </w:rPr>
              <w:t>7</w:t>
            </w:r>
            <w:r>
              <w:rPr>
                <w:color w:val="auto"/>
                <w:highlight w:val="none"/>
              </w:rPr>
              <w:t>）</w:t>
            </w:r>
          </w:p>
        </w:tc>
      </w:tr>
      <w:tr w14:paraId="51E3A4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016" w:hRule="atLeast"/>
          <w:jc w:val="center"/>
        </w:trPr>
        <w:tc>
          <w:tcPr>
            <w:tcW w:w="717" w:type="dxa"/>
            <w:vMerge w:val="continue"/>
            <w:vAlign w:val="center"/>
          </w:tcPr>
          <w:p w14:paraId="74574895">
            <w:pPr>
              <w:adjustRightInd w:val="0"/>
              <w:snapToGrid w:val="0"/>
              <w:spacing w:after="0"/>
              <w:ind w:left="-72" w:leftChars="-30" w:right="-72" w:rightChars="-30"/>
              <w:jc w:val="center"/>
              <w:rPr>
                <w:color w:val="auto"/>
              </w:rPr>
            </w:pPr>
          </w:p>
        </w:tc>
        <w:tc>
          <w:tcPr>
            <w:tcW w:w="8550" w:type="dxa"/>
            <w:vAlign w:val="center"/>
          </w:tcPr>
          <w:p w14:paraId="7E4C3CA8">
            <w:pPr>
              <w:pStyle w:val="598"/>
              <w:rPr>
                <w:color w:val="auto"/>
              </w:rPr>
            </w:pPr>
            <w:r>
              <w:rPr>
                <w:color w:val="auto"/>
              </w:rPr>
              <w:t>1.</w:t>
            </w:r>
            <w:r>
              <w:rPr>
                <w:rFonts w:hint="eastAsia"/>
                <w:color w:val="auto"/>
                <w:lang w:val="en-US" w:eastAsia="zh-CN"/>
              </w:rPr>
              <w:t>4</w:t>
            </w:r>
            <w:r>
              <w:rPr>
                <w:color w:val="auto"/>
              </w:rPr>
              <w:t xml:space="preserve"> 与</w:t>
            </w:r>
            <w:r>
              <w:rPr>
                <w:rFonts w:hint="eastAsia"/>
                <w:color w:val="auto"/>
              </w:rPr>
              <w:t>淮南市</w:t>
            </w:r>
            <w:r>
              <w:rPr>
                <w:rFonts w:hint="eastAsia"/>
                <w:b/>
                <w:bCs/>
                <w:color w:val="auto"/>
                <w:lang w:eastAsia="zh-CN"/>
              </w:rPr>
              <w:t>“</w:t>
            </w:r>
            <w:r>
              <w:rPr>
                <w:b/>
                <w:bCs/>
                <w:color w:val="auto"/>
              </w:rPr>
              <w:t>三线一单</w:t>
            </w:r>
            <w:r>
              <w:rPr>
                <w:rFonts w:hint="eastAsia"/>
                <w:b/>
                <w:bCs/>
                <w:color w:val="auto"/>
                <w:lang w:eastAsia="zh-CN"/>
              </w:rPr>
              <w:t>”</w:t>
            </w:r>
            <w:r>
              <w:rPr>
                <w:rFonts w:hint="eastAsia"/>
                <w:b/>
                <w:bCs/>
                <w:color w:val="auto"/>
              </w:rPr>
              <w:t>符合性分析</w:t>
            </w:r>
          </w:p>
          <w:p w14:paraId="1C902AA2">
            <w:pPr>
              <w:pStyle w:val="181"/>
              <w:wordWrap/>
              <w:ind w:firstLine="480"/>
              <w:rPr>
                <w:rFonts w:ascii="Times New Roman" w:hAnsi="Times New Roman" w:eastAsia="宋体" w:cs="Times New Roman"/>
                <w:color w:val="auto"/>
              </w:rPr>
            </w:pPr>
            <w:r>
              <w:rPr>
                <w:color w:val="auto"/>
              </w:rPr>
              <w:t>根据环境保护部环评[2016]150号《关于以改善环境质量为核心加强环境影响评价管理的通知》要求：为适应以改善环境质量为核心的环境管理要求，切实加强环境影响评价（以下简称环评）管理，落实</w:t>
            </w:r>
            <w:r>
              <w:rPr>
                <w:rFonts w:hint="eastAsia"/>
                <w:color w:val="auto"/>
                <w:lang w:eastAsia="zh-CN"/>
              </w:rPr>
              <w:t>“</w:t>
            </w:r>
            <w:r>
              <w:rPr>
                <w:color w:val="auto"/>
              </w:rPr>
              <w:t>生态保护红线、环境质量底线、资源利用上线和</w:t>
            </w:r>
            <w:r>
              <w:rPr>
                <w:rFonts w:hint="eastAsia"/>
                <w:color w:val="auto"/>
              </w:rPr>
              <w:t>生态环境准入清单</w:t>
            </w:r>
            <w:r>
              <w:rPr>
                <w:rFonts w:hint="eastAsia"/>
                <w:color w:val="auto"/>
                <w:lang w:eastAsia="zh-CN"/>
              </w:rPr>
              <w:t>”</w:t>
            </w:r>
            <w:r>
              <w:rPr>
                <w:color w:val="auto"/>
              </w:rPr>
              <w:t>（以下简称</w:t>
            </w:r>
            <w:r>
              <w:rPr>
                <w:rFonts w:hint="eastAsia"/>
                <w:color w:val="auto"/>
                <w:lang w:eastAsia="zh-CN"/>
              </w:rPr>
              <w:t>“</w:t>
            </w:r>
            <w:r>
              <w:rPr>
                <w:color w:val="auto"/>
              </w:rPr>
              <w:t>三线一单</w:t>
            </w:r>
            <w:r>
              <w:rPr>
                <w:rFonts w:hint="eastAsia"/>
                <w:color w:val="auto"/>
                <w:lang w:eastAsia="zh-CN"/>
              </w:rPr>
              <w:t>”</w:t>
            </w:r>
            <w:r>
              <w:rPr>
                <w:color w:val="auto"/>
              </w:rPr>
              <w:t>）约束，建立项目环评审批与规划环评、现有项目环境管理、区域环境质量联动机制，更好地发挥环评制度从源头防范环境污染和生态破坏的作用，加快推进改善环境质量</w:t>
            </w:r>
            <w:r>
              <w:rPr>
                <w:rFonts w:ascii="Times New Roman" w:hAnsi="Times New Roman" w:eastAsia="宋体" w:cs="Times New Roman"/>
                <w:color w:val="auto"/>
              </w:rPr>
              <w:t>。</w:t>
            </w:r>
          </w:p>
          <w:p w14:paraId="65AEF401">
            <w:pPr>
              <w:pStyle w:val="181"/>
              <w:wordWrap/>
              <w:ind w:firstLine="480"/>
              <w:rPr>
                <w:rFonts w:ascii="Times New Roman" w:hAnsi="Times New Roman" w:eastAsia="宋体" w:cs="Times New Roman"/>
                <w:color w:val="auto"/>
              </w:rPr>
            </w:pPr>
            <w:r>
              <w:rPr>
                <w:rFonts w:ascii="Times New Roman" w:hAnsi="Times New Roman" w:eastAsia="宋体" w:cs="Times New Roman"/>
                <w:color w:val="auto"/>
              </w:rPr>
              <w:t>本项目</w:t>
            </w:r>
            <w:r>
              <w:rPr>
                <w:rFonts w:hint="eastAsia" w:ascii="Times New Roman" w:hAnsi="Times New Roman" w:eastAsia="宋体" w:cs="Times New Roman"/>
                <w:color w:val="auto"/>
              </w:rPr>
              <w:t>与淮南市</w:t>
            </w:r>
            <w:r>
              <w:rPr>
                <w:rFonts w:hint="eastAsia" w:cs="Times New Roman"/>
                <w:color w:val="auto"/>
                <w:lang w:eastAsia="zh-CN"/>
              </w:rPr>
              <w:t>“</w:t>
            </w:r>
            <w:r>
              <w:rPr>
                <w:rFonts w:hint="eastAsia" w:ascii="Times New Roman" w:hAnsi="Times New Roman" w:eastAsia="宋体" w:cs="Times New Roman"/>
                <w:color w:val="auto"/>
              </w:rPr>
              <w:t>三线一单</w:t>
            </w:r>
            <w:r>
              <w:rPr>
                <w:rFonts w:hint="eastAsia" w:cs="Times New Roman"/>
                <w:color w:val="auto"/>
                <w:lang w:eastAsia="zh-CN"/>
              </w:rPr>
              <w:t>”</w:t>
            </w:r>
            <w:r>
              <w:rPr>
                <w:rFonts w:hint="eastAsia" w:ascii="Times New Roman" w:hAnsi="Times New Roman" w:eastAsia="宋体" w:cs="Times New Roman"/>
                <w:color w:val="auto"/>
              </w:rPr>
              <w:t>符合性分析如下：</w:t>
            </w:r>
          </w:p>
          <w:p w14:paraId="548455D3">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表 </w:t>
            </w:r>
            <w:r>
              <w:rPr>
                <w:rFonts w:hint="eastAsia"/>
                <w:color w:val="auto"/>
                <w:lang w:val="en-US" w:eastAsia="zh-CN"/>
              </w:rPr>
              <w:t>1</w:t>
            </w:r>
            <w:r>
              <w:rPr>
                <w:rFonts w:hint="eastAsia"/>
                <w:color w:val="auto"/>
                <w:lang w:eastAsia="zh-CN"/>
              </w:rPr>
              <w:t>-</w:t>
            </w:r>
            <w:r>
              <w:rPr>
                <w:rFonts w:hint="eastAsia"/>
                <w:color w:val="auto"/>
                <w:lang w:val="en-US" w:eastAsia="zh-CN"/>
              </w:rPr>
              <w:t xml:space="preserve"> </w:t>
            </w:r>
            <w:r>
              <w:rPr>
                <w:color w:val="auto"/>
              </w:rPr>
              <w:fldChar w:fldCharType="begin"/>
            </w:r>
            <w:r>
              <w:rPr>
                <w:color w:val="auto"/>
              </w:rPr>
              <w:instrText xml:space="preserve"> SEQ 表 \* ARABIC \s 1 </w:instrText>
            </w:r>
            <w:r>
              <w:rPr>
                <w:color w:val="auto"/>
              </w:rPr>
              <w:fldChar w:fldCharType="separate"/>
            </w:r>
            <w:r>
              <w:rPr>
                <w:color w:val="auto"/>
              </w:rPr>
              <w:t>4</w:t>
            </w:r>
            <w:r>
              <w:rPr>
                <w:color w:val="auto"/>
              </w:rPr>
              <w:fldChar w:fldCharType="end"/>
            </w:r>
            <w:r>
              <w:rPr>
                <w:rFonts w:hint="eastAsia"/>
                <w:color w:val="auto"/>
                <w:lang w:val="en-US" w:eastAsia="zh-CN"/>
              </w:rPr>
              <w:t xml:space="preserve"> </w:t>
            </w:r>
            <w:r>
              <w:rPr>
                <w:rFonts w:hint="eastAsia"/>
                <w:color w:val="auto"/>
              </w:rPr>
              <w:t xml:space="preserve"> </w:t>
            </w:r>
            <w:r>
              <w:rPr>
                <w:color w:val="auto"/>
              </w:rPr>
              <w:t>本项目</w:t>
            </w:r>
            <w:r>
              <w:rPr>
                <w:rFonts w:hint="eastAsia"/>
                <w:color w:val="auto"/>
              </w:rPr>
              <w:t>与淮南市</w:t>
            </w:r>
            <w:r>
              <w:rPr>
                <w:rFonts w:hint="eastAsia"/>
                <w:color w:val="auto"/>
                <w:lang w:eastAsia="zh-CN"/>
              </w:rPr>
              <w:t>“</w:t>
            </w:r>
            <w:r>
              <w:rPr>
                <w:color w:val="auto"/>
              </w:rPr>
              <w:t>三线一单</w:t>
            </w:r>
            <w:r>
              <w:rPr>
                <w:rFonts w:hint="eastAsia"/>
                <w:color w:val="auto"/>
                <w:lang w:eastAsia="zh-CN"/>
              </w:rPr>
              <w:t>”</w:t>
            </w:r>
            <w:r>
              <w:rPr>
                <w:color w:val="auto"/>
              </w:rPr>
              <w:t>符合性分析一览表</w:t>
            </w:r>
          </w:p>
          <w:tbl>
            <w:tblPr>
              <w:tblStyle w:val="53"/>
              <w:tblpPr w:leftFromText="180" w:rightFromText="180" w:vertAnchor="text" w:tblpXSpec="center" w:tblpY="1"/>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06"/>
              <w:gridCol w:w="3278"/>
              <w:gridCol w:w="3726"/>
              <w:gridCol w:w="712"/>
            </w:tblGrid>
            <w:tr w14:paraId="189FC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77" w:type="dxa"/>
                  <w:vAlign w:val="center"/>
                </w:tcPr>
                <w:p w14:paraId="7E543AC5">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内容</w:t>
                  </w:r>
                </w:p>
              </w:tc>
              <w:tc>
                <w:tcPr>
                  <w:tcW w:w="3118" w:type="dxa"/>
                  <w:vAlign w:val="center"/>
                </w:tcPr>
                <w:p w14:paraId="3FE21EE6">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文件要求</w:t>
                  </w:r>
                </w:p>
              </w:tc>
              <w:tc>
                <w:tcPr>
                  <w:tcW w:w="3544" w:type="dxa"/>
                  <w:vAlign w:val="center"/>
                </w:tcPr>
                <w:p w14:paraId="5561F701">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本项目情况对照简析</w:t>
                  </w:r>
                </w:p>
              </w:tc>
              <w:tc>
                <w:tcPr>
                  <w:tcW w:w="677" w:type="dxa"/>
                  <w:vAlign w:val="center"/>
                </w:tcPr>
                <w:p w14:paraId="17F0E986">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符合性分析</w:t>
                  </w:r>
                </w:p>
              </w:tc>
            </w:tr>
            <w:tr w14:paraId="68E26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77" w:type="dxa"/>
                  <w:vAlign w:val="center"/>
                </w:tcPr>
                <w:p w14:paraId="7B36F047">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生态保护红线</w:t>
                  </w:r>
                </w:p>
              </w:tc>
              <w:tc>
                <w:tcPr>
                  <w:tcW w:w="3118" w:type="dxa"/>
                  <w:vAlign w:val="center"/>
                </w:tcPr>
                <w:p w14:paraId="61870AC7">
                  <w:pPr>
                    <w:pStyle w:val="287"/>
                    <w:framePr w:hSpace="0" w:wrap="auto" w:vAnchor="margin" w:hAnchor="text" w:xAlign="left" w:yAlign="inline"/>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生态保护红线是生态空间范围内具有特殊重要生态功能必须实行强制性严格保护的区域。在生态保护红线范围内，严控各类开发建设活动，依法不予审批新建工业项目和矿产开发。</w:t>
                  </w:r>
                </w:p>
              </w:tc>
              <w:tc>
                <w:tcPr>
                  <w:tcW w:w="3544" w:type="dxa"/>
                  <w:vAlign w:val="center"/>
                </w:tcPr>
                <w:p w14:paraId="2BB90E1D">
                  <w:pPr>
                    <w:pStyle w:val="287"/>
                    <w:framePr w:hSpace="0" w:wrap="auto" w:vAnchor="margin" w:hAnchor="text" w:xAlign="left" w:yAlign="inline"/>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本项目位于</w:t>
                  </w:r>
                  <w:r>
                    <w:rPr>
                      <w:rFonts w:hint="default" w:ascii="Times New Roman" w:hAnsi="Times New Roman" w:eastAsia="宋体" w:cs="Times New Roman"/>
                      <w:color w:val="auto"/>
                      <w:sz w:val="18"/>
                      <w:szCs w:val="18"/>
                      <w:lang w:eastAsia="zh-CN"/>
                    </w:rPr>
                    <w:t>淮南市八公山区</w:t>
                  </w:r>
                  <w:r>
                    <w:rPr>
                      <w:rFonts w:hint="default" w:ascii="Times New Roman" w:hAnsi="Times New Roman" w:eastAsia="宋体" w:cs="Times New Roman"/>
                      <w:bCs/>
                      <w:color w:val="auto"/>
                      <w:sz w:val="18"/>
                      <w:szCs w:val="18"/>
                      <w:lang w:val="en-US" w:eastAsia="zh-CN"/>
                    </w:rPr>
                    <w:t>淮南</w:t>
                  </w:r>
                  <w:r>
                    <w:rPr>
                      <w:rFonts w:hint="default" w:ascii="Times New Roman" w:hAnsi="Times New Roman" w:eastAsia="宋体" w:cs="Times New Roman"/>
                      <w:color w:val="auto"/>
                      <w:sz w:val="18"/>
                      <w:szCs w:val="18"/>
                      <w:lang w:eastAsia="zh-CN"/>
                    </w:rPr>
                    <w:t>舜岳水泥有限责任公司厂区内</w:t>
                  </w:r>
                  <w:r>
                    <w:rPr>
                      <w:rFonts w:hint="default" w:ascii="Times New Roman" w:hAnsi="Times New Roman" w:eastAsia="宋体" w:cs="Times New Roman"/>
                      <w:color w:val="auto"/>
                      <w:sz w:val="18"/>
                      <w:szCs w:val="18"/>
                    </w:rPr>
                    <w:t>，用地性质为工业用地，根据《淮南市</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三区三线</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划定方案》（2022年11月），本项目不在淮南市生态红线范围内。</w:t>
                  </w:r>
                </w:p>
              </w:tc>
              <w:tc>
                <w:tcPr>
                  <w:tcW w:w="677" w:type="dxa"/>
                  <w:vAlign w:val="center"/>
                </w:tcPr>
                <w:p w14:paraId="2847003B">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符合</w:t>
                  </w:r>
                </w:p>
              </w:tc>
            </w:tr>
            <w:tr w14:paraId="4EA36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77" w:type="dxa"/>
                  <w:vAlign w:val="center"/>
                </w:tcPr>
                <w:p w14:paraId="46CF5E07">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环境质量底线</w:t>
                  </w:r>
                </w:p>
              </w:tc>
              <w:tc>
                <w:tcPr>
                  <w:tcW w:w="3118" w:type="dxa"/>
                  <w:vAlign w:val="center"/>
                </w:tcPr>
                <w:p w14:paraId="72A1D84C">
                  <w:pPr>
                    <w:pStyle w:val="287"/>
                    <w:framePr w:hSpace="0" w:wrap="auto" w:vAnchor="margin" w:hAnchor="text" w:xAlign="left" w:yAlign="inline"/>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环境质量现状超标地区以及未达到环境质量目标考核要求的地区上新项目将受到限制；对环境质量现状超标的地区，项目拟采取的措施不能满足区域环境质量改善目标管理要求的，依法不予审批其环评文件。</w:t>
                  </w:r>
                </w:p>
              </w:tc>
              <w:tc>
                <w:tcPr>
                  <w:tcW w:w="3544" w:type="dxa"/>
                  <w:vAlign w:val="center"/>
                </w:tcPr>
                <w:p w14:paraId="24E4BD6C">
                  <w:pPr>
                    <w:pStyle w:val="287"/>
                    <w:framePr w:hSpace="0" w:wrap="auto" w:vAnchor="margin" w:hAnchor="text" w:xAlign="left" w:yAlign="inline"/>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zh-CN"/>
                    </w:rPr>
                    <w:t>根据《</w:t>
                  </w:r>
                  <w:r>
                    <w:rPr>
                      <w:rFonts w:hint="default" w:ascii="Times New Roman" w:hAnsi="Times New Roman" w:eastAsia="宋体" w:cs="Times New Roman"/>
                      <w:color w:val="auto"/>
                      <w:sz w:val="18"/>
                      <w:szCs w:val="18"/>
                    </w:rPr>
                    <w:t>2024年淮南市生态环境质量状况公报</w:t>
                  </w:r>
                  <w:r>
                    <w:rPr>
                      <w:rFonts w:hint="default" w:ascii="Times New Roman" w:hAnsi="Times New Roman" w:eastAsia="宋体" w:cs="Times New Roman"/>
                      <w:color w:val="auto"/>
                      <w:sz w:val="18"/>
                      <w:szCs w:val="18"/>
                      <w:lang w:val="zh-CN"/>
                    </w:rPr>
                    <w:t>》，本项目所在区域为大气环境</w:t>
                  </w:r>
                  <w:r>
                    <w:rPr>
                      <w:rFonts w:hint="default" w:ascii="Times New Roman" w:hAnsi="Times New Roman" w:eastAsia="宋体" w:cs="Times New Roman"/>
                      <w:color w:val="auto"/>
                      <w:sz w:val="18"/>
                      <w:szCs w:val="18"/>
                    </w:rPr>
                    <w:t>PM</w:t>
                  </w:r>
                  <w:r>
                    <w:rPr>
                      <w:rFonts w:hint="default" w:ascii="Times New Roman" w:hAnsi="Times New Roman" w:eastAsia="宋体" w:cs="Times New Roman"/>
                      <w:color w:val="auto"/>
                      <w:sz w:val="18"/>
                      <w:szCs w:val="18"/>
                      <w:vertAlign w:val="subscript"/>
                    </w:rPr>
                    <w:t>2.5</w:t>
                  </w:r>
                  <w:r>
                    <w:rPr>
                      <w:rFonts w:hint="default" w:ascii="Times New Roman" w:hAnsi="Times New Roman" w:eastAsia="宋体" w:cs="Times New Roman"/>
                      <w:color w:val="auto"/>
                      <w:sz w:val="18"/>
                      <w:szCs w:val="18"/>
                      <w:lang w:val="zh-CN"/>
                    </w:rPr>
                    <w:t>不达标区，</w:t>
                  </w:r>
                  <w:r>
                    <w:rPr>
                      <w:rFonts w:hint="default" w:ascii="Times New Roman" w:hAnsi="Times New Roman" w:eastAsia="宋体" w:cs="Times New Roman"/>
                      <w:color w:val="auto"/>
                      <w:sz w:val="18"/>
                      <w:szCs w:val="18"/>
                    </w:rPr>
                    <w:t>为进一步缓解大气不达标情况，改善淮南市环境空气质量，淮南市通过集中专项整治</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小散乱污</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企业、企业清洁生产技术改造、小锅炉升级改造、燃煤机组超低排放改造，整治散装物料堆场，督促企业完成挥发性有机物整改任务等措施改善环境空气质量；根据《</w:t>
                  </w:r>
                  <w:r>
                    <w:rPr>
                      <w:rFonts w:hint="default" w:ascii="Times New Roman" w:hAnsi="Times New Roman" w:eastAsia="宋体" w:cs="Times New Roman"/>
                      <w:color w:val="auto"/>
                      <w:sz w:val="18"/>
                      <w:szCs w:val="18"/>
                      <w:lang w:val="en-US" w:eastAsia="zh-CN"/>
                    </w:rPr>
                    <w:t>2025年5</w:t>
                  </w:r>
                  <w:r>
                    <w:rPr>
                      <w:rFonts w:hint="default" w:ascii="Times New Roman" w:hAnsi="Times New Roman" w:eastAsia="宋体" w:cs="Times New Roman"/>
                      <w:color w:val="auto"/>
                      <w:sz w:val="18"/>
                      <w:szCs w:val="18"/>
                    </w:rPr>
                    <w:t>月淮南市环境质量月报》地表水总体状况，</w:t>
                  </w:r>
                  <w:r>
                    <w:rPr>
                      <w:rFonts w:hint="default" w:ascii="Times New Roman" w:hAnsi="Times New Roman" w:eastAsia="宋体" w:cs="Times New Roman"/>
                      <w:color w:val="auto"/>
                      <w:sz w:val="18"/>
                      <w:szCs w:val="18"/>
                      <w:lang w:val="zh-CN"/>
                    </w:rPr>
                    <w:t>区域地表水淮河各监测断面水质保持稳定；</w:t>
                  </w:r>
                  <w:r>
                    <w:rPr>
                      <w:rFonts w:hint="eastAsia" w:cs="Times New Roman"/>
                      <w:color w:val="auto"/>
                      <w:sz w:val="18"/>
                      <w:szCs w:val="18"/>
                      <w:lang w:val="zh-CN"/>
                    </w:rPr>
                    <w:t>本项目</w:t>
                  </w:r>
                  <w:r>
                    <w:rPr>
                      <w:rFonts w:hint="default" w:ascii="Times New Roman" w:hAnsi="Times New Roman" w:eastAsia="宋体" w:cs="Times New Roman"/>
                      <w:color w:val="auto"/>
                      <w:sz w:val="18"/>
                      <w:szCs w:val="18"/>
                      <w:lang w:eastAsia="zh-CN"/>
                    </w:rPr>
                    <w:t>生产废水循环利用，不外排。</w:t>
                  </w:r>
                  <w:r>
                    <w:rPr>
                      <w:rFonts w:hint="default" w:ascii="Times New Roman" w:hAnsi="Times New Roman" w:eastAsia="宋体" w:cs="Times New Roman"/>
                      <w:color w:val="auto"/>
                      <w:sz w:val="18"/>
                      <w:szCs w:val="18"/>
                    </w:rPr>
                    <w:t>该项目运营过程中产生的污染物经环保措施处理后可达标排放，对周围环境造成的影响较小，不会降低当地环境质量，不会触碰区域环境质量底线。</w:t>
                  </w:r>
                </w:p>
              </w:tc>
              <w:tc>
                <w:tcPr>
                  <w:tcW w:w="677" w:type="dxa"/>
                  <w:vAlign w:val="center"/>
                </w:tcPr>
                <w:p w14:paraId="3FCD7CE9">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符合</w:t>
                  </w:r>
                </w:p>
              </w:tc>
            </w:tr>
            <w:tr w14:paraId="47898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77" w:type="dxa"/>
                  <w:vAlign w:val="center"/>
                </w:tcPr>
                <w:p w14:paraId="3DD2C71B">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资源利用上线</w:t>
                  </w:r>
                </w:p>
              </w:tc>
              <w:tc>
                <w:tcPr>
                  <w:tcW w:w="3118" w:type="dxa"/>
                  <w:vAlign w:val="center"/>
                </w:tcPr>
                <w:p w14:paraId="6823C13A">
                  <w:pPr>
                    <w:pStyle w:val="287"/>
                    <w:framePr w:hSpace="0" w:wrap="auto" w:vAnchor="margin" w:hAnchor="text" w:xAlign="left" w:yAlign="inline"/>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依据有关资源利用</w:t>
                  </w:r>
                  <w:r>
                    <w:rPr>
                      <w:rFonts w:hint="eastAsia" w:cs="Times New Roman"/>
                      <w:color w:val="auto"/>
                      <w:sz w:val="18"/>
                      <w:szCs w:val="18"/>
                      <w:lang w:eastAsia="zh-CN"/>
                    </w:rPr>
                    <w:t>上限</w:t>
                  </w:r>
                  <w:r>
                    <w:rPr>
                      <w:rFonts w:hint="default" w:ascii="Times New Roman" w:hAnsi="Times New Roman" w:eastAsia="宋体" w:cs="Times New Roman"/>
                      <w:color w:val="auto"/>
                      <w:sz w:val="18"/>
                      <w:szCs w:val="18"/>
                    </w:rPr>
                    <w:t>要求，即各地区能源、水、土地等资源消耗是不得突破的</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天花板</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w:t>
                  </w:r>
                </w:p>
              </w:tc>
              <w:tc>
                <w:tcPr>
                  <w:tcW w:w="3544" w:type="dxa"/>
                  <w:vAlign w:val="center"/>
                </w:tcPr>
                <w:p w14:paraId="68DB6599">
                  <w:pPr>
                    <w:pStyle w:val="287"/>
                    <w:framePr w:hSpace="0" w:wrap="auto" w:vAnchor="margin" w:hAnchor="text" w:xAlign="left" w:yAlign="inline"/>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本项目运营过程主要资源消耗为</w:t>
                  </w:r>
                  <w:r>
                    <w:rPr>
                      <w:rFonts w:hint="default" w:ascii="Times New Roman" w:hAnsi="Times New Roman" w:eastAsia="宋体" w:cs="Times New Roman"/>
                      <w:color w:val="auto"/>
                      <w:sz w:val="18"/>
                      <w:szCs w:val="18"/>
                      <w:lang w:eastAsia="zh-CN"/>
                    </w:rPr>
                    <w:t>水、电</w:t>
                  </w:r>
                  <w:r>
                    <w:rPr>
                      <w:rFonts w:hint="default" w:ascii="Times New Roman" w:hAnsi="Times New Roman" w:eastAsia="宋体" w:cs="Times New Roman"/>
                      <w:color w:val="auto"/>
                      <w:sz w:val="18"/>
                      <w:szCs w:val="18"/>
                    </w:rPr>
                    <w:t>，依托</w:t>
                  </w:r>
                  <w:r>
                    <w:rPr>
                      <w:rFonts w:hint="default" w:ascii="Times New Roman" w:hAnsi="Times New Roman" w:eastAsia="宋体" w:cs="Times New Roman"/>
                      <w:color w:val="auto"/>
                      <w:sz w:val="18"/>
                      <w:szCs w:val="18"/>
                      <w:lang w:eastAsia="zh-CN"/>
                    </w:rPr>
                    <w:t>八公山区</w:t>
                  </w:r>
                  <w:r>
                    <w:rPr>
                      <w:rFonts w:hint="default" w:ascii="Times New Roman" w:hAnsi="Times New Roman" w:eastAsia="宋体" w:cs="Times New Roman"/>
                      <w:color w:val="auto"/>
                      <w:sz w:val="18"/>
                      <w:szCs w:val="18"/>
                    </w:rPr>
                    <w:t>市政</w:t>
                  </w:r>
                  <w:r>
                    <w:rPr>
                      <w:rFonts w:hint="default" w:ascii="Times New Roman" w:hAnsi="Times New Roman" w:eastAsia="宋体" w:cs="Times New Roman"/>
                      <w:color w:val="auto"/>
                      <w:sz w:val="18"/>
                      <w:szCs w:val="18"/>
                      <w:lang w:eastAsia="zh-CN"/>
                    </w:rPr>
                    <w:t>供水</w:t>
                  </w:r>
                  <w:r>
                    <w:rPr>
                      <w:rFonts w:hint="default" w:ascii="Times New Roman" w:hAnsi="Times New Roman" w:eastAsia="宋体" w:cs="Times New Roman"/>
                      <w:color w:val="auto"/>
                      <w:sz w:val="18"/>
                      <w:szCs w:val="18"/>
                    </w:rPr>
                    <w:t>供电，对当地能源、水、土地资源影响较小，不会超出当地资源利用上线。</w:t>
                  </w:r>
                </w:p>
              </w:tc>
              <w:tc>
                <w:tcPr>
                  <w:tcW w:w="677" w:type="dxa"/>
                  <w:vAlign w:val="center"/>
                </w:tcPr>
                <w:p w14:paraId="40C3BAEC">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符合</w:t>
                  </w:r>
                </w:p>
              </w:tc>
            </w:tr>
            <w:tr w14:paraId="30ACF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77" w:type="dxa"/>
                  <w:vAlign w:val="center"/>
                </w:tcPr>
                <w:p w14:paraId="2B0FF881">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生态环境准入清单</w:t>
                  </w:r>
                </w:p>
              </w:tc>
              <w:tc>
                <w:tcPr>
                  <w:tcW w:w="3118" w:type="dxa"/>
                  <w:vAlign w:val="center"/>
                </w:tcPr>
                <w:p w14:paraId="58BF042D">
                  <w:pPr>
                    <w:pStyle w:val="287"/>
                    <w:framePr w:hSpace="0" w:wrap="auto" w:vAnchor="margin" w:hAnchor="text" w:xAlign="left" w:yAlign="inline"/>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生态环境准入负面清单是基于生态保护红线、环境质量底线和资源利用上线，以清单方式列出的禁止、限制等差别化环境准入条件和要求。要在规划环评清单式管理试点的基础上，从布局选址、资源利用效率、资源配置方式等方面入手，制定环境准入负面清单，充分发挥负面清单对产业发展和项目准入的指导和约束作用。</w:t>
                  </w:r>
                </w:p>
              </w:tc>
              <w:tc>
                <w:tcPr>
                  <w:tcW w:w="3544" w:type="dxa"/>
                  <w:vAlign w:val="center"/>
                </w:tcPr>
                <w:p w14:paraId="792754B6">
                  <w:pPr>
                    <w:pStyle w:val="287"/>
                    <w:framePr w:hSpace="0" w:wrap="auto" w:vAnchor="margin" w:hAnchor="text" w:xAlign="left" w:yAlign="inline"/>
                    <w:jc w:val="both"/>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本项目为</w:t>
                  </w:r>
                  <w:r>
                    <w:rPr>
                      <w:rFonts w:hint="default" w:ascii="Times New Roman" w:hAnsi="Times New Roman" w:eastAsia="宋体" w:cs="Times New Roman"/>
                      <w:color w:val="auto"/>
                      <w:sz w:val="18"/>
                      <w:szCs w:val="18"/>
                      <w:lang w:val="en-US" w:eastAsia="zh-CN"/>
                    </w:rPr>
                    <w:t>B0690其他煤炭采选</w:t>
                  </w:r>
                  <w:r>
                    <w:rPr>
                      <w:rFonts w:hint="default" w:ascii="Times New Roman" w:hAnsi="Times New Roman" w:eastAsia="宋体" w:cs="Times New Roman"/>
                      <w:color w:val="auto"/>
                      <w:sz w:val="18"/>
                      <w:szCs w:val="18"/>
                    </w:rPr>
                    <w:t>，对照《安徽省</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两高</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项目管理目录》</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2022年试行</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，本项目不在安徽省两高目录范围内，不属于高耗能高污染项目；对照《产业结构调整指导目录》（2024年本），本项目不属于</w:t>
                  </w:r>
                  <w:r>
                    <w:rPr>
                      <w:rFonts w:hint="eastAsia" w:cs="Times New Roman"/>
                      <w:color w:val="auto"/>
                      <w:sz w:val="18"/>
                      <w:szCs w:val="18"/>
                      <w:lang w:eastAsia="zh-CN"/>
                    </w:rPr>
                    <w:t>淘汰</w:t>
                  </w:r>
                  <w:r>
                    <w:rPr>
                      <w:rFonts w:hint="default" w:ascii="Times New Roman" w:hAnsi="Times New Roman" w:eastAsia="宋体" w:cs="Times New Roman"/>
                      <w:color w:val="auto"/>
                      <w:sz w:val="18"/>
                      <w:szCs w:val="18"/>
                    </w:rPr>
                    <w:t>类、限制类产业，可视为允许类。</w:t>
                  </w:r>
                </w:p>
              </w:tc>
              <w:tc>
                <w:tcPr>
                  <w:tcW w:w="677" w:type="dxa"/>
                  <w:vAlign w:val="center"/>
                </w:tcPr>
                <w:p w14:paraId="68DE1761">
                  <w:pPr>
                    <w:pStyle w:val="287"/>
                    <w:framePr w:hSpace="0" w:wrap="auto" w:vAnchor="margin" w:hAnchor="text" w:xAlign="left" w:yAlign="inline"/>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符合</w:t>
                  </w:r>
                </w:p>
              </w:tc>
            </w:tr>
          </w:tbl>
          <w:p w14:paraId="6F147510">
            <w:pPr>
              <w:pStyle w:val="598"/>
              <w:rPr>
                <w:color w:val="auto"/>
              </w:rPr>
            </w:pPr>
            <w:r>
              <w:rPr>
                <w:color w:val="auto"/>
              </w:rPr>
              <w:t>1.</w:t>
            </w:r>
            <w:r>
              <w:rPr>
                <w:rFonts w:hint="eastAsia"/>
                <w:color w:val="auto"/>
                <w:lang w:val="en-US" w:eastAsia="zh-CN"/>
              </w:rPr>
              <w:t>5</w:t>
            </w:r>
            <w:r>
              <w:rPr>
                <w:color w:val="auto"/>
              </w:rPr>
              <w:t xml:space="preserve"> 与淮南市</w:t>
            </w:r>
            <w:r>
              <w:rPr>
                <w:rFonts w:hint="eastAsia"/>
                <w:color w:val="auto"/>
                <w:lang w:eastAsia="zh-CN"/>
              </w:rPr>
              <w:t>“</w:t>
            </w:r>
            <w:r>
              <w:rPr>
                <w:color w:val="auto"/>
              </w:rPr>
              <w:t>三线一单</w:t>
            </w:r>
            <w:r>
              <w:rPr>
                <w:rFonts w:hint="eastAsia"/>
                <w:color w:val="auto"/>
                <w:lang w:eastAsia="zh-CN"/>
              </w:rPr>
              <w:t>”</w:t>
            </w:r>
            <w:r>
              <w:rPr>
                <w:color w:val="auto"/>
              </w:rPr>
              <w:t>生态管控单元符合性分析</w:t>
            </w:r>
          </w:p>
          <w:p w14:paraId="0205854F">
            <w:pPr>
              <w:pStyle w:val="181"/>
              <w:wordWrap/>
              <w:ind w:firstLine="480"/>
              <w:rPr>
                <w:color w:val="auto"/>
                <w:lang w:val="zh-CN"/>
              </w:rPr>
            </w:pPr>
            <w:r>
              <w:rPr>
                <w:rFonts w:hint="eastAsia"/>
                <w:color w:val="auto"/>
              </w:rPr>
              <w:t>本项目位于</w:t>
            </w:r>
            <w:r>
              <w:rPr>
                <w:rFonts w:hint="eastAsia"/>
                <w:color w:val="auto"/>
                <w:lang w:eastAsia="zh-CN"/>
              </w:rPr>
              <w:t>淮南市八公山区</w:t>
            </w:r>
            <w:r>
              <w:rPr>
                <w:rFonts w:hint="eastAsia" w:cs="Times New Roman"/>
                <w:bCs/>
                <w:color w:val="auto"/>
                <w:lang w:val="en-US" w:eastAsia="zh-CN"/>
              </w:rPr>
              <w:t>淮南</w:t>
            </w:r>
            <w:r>
              <w:rPr>
                <w:rFonts w:hint="eastAsia"/>
                <w:color w:val="auto"/>
                <w:lang w:eastAsia="zh-CN"/>
              </w:rPr>
              <w:t>舜岳水泥有限责任公司厂区内</w:t>
            </w:r>
            <w:r>
              <w:rPr>
                <w:rFonts w:hint="eastAsia"/>
                <w:color w:val="auto"/>
              </w:rPr>
              <w:t>，经查阅</w:t>
            </w:r>
            <w:r>
              <w:rPr>
                <w:rFonts w:hint="eastAsia"/>
                <w:color w:val="auto"/>
                <w:lang w:eastAsia="zh-CN"/>
              </w:rPr>
              <w:t>“</w:t>
            </w:r>
            <w:r>
              <w:rPr>
                <w:rFonts w:hint="eastAsia"/>
                <w:color w:val="auto"/>
              </w:rPr>
              <w:t>安徽省三线一单公众服务平台</w:t>
            </w:r>
            <w:r>
              <w:rPr>
                <w:rFonts w:hint="eastAsia"/>
                <w:color w:val="auto"/>
                <w:lang w:eastAsia="zh-CN"/>
              </w:rPr>
              <w:t>”</w:t>
            </w:r>
            <w:r>
              <w:rPr>
                <w:rFonts w:hint="eastAsia"/>
                <w:color w:val="auto"/>
              </w:rPr>
              <w:t>（</w:t>
            </w:r>
            <w:r>
              <w:rPr>
                <w:color w:val="auto"/>
              </w:rPr>
              <w:t>http</w:t>
            </w:r>
            <w:r>
              <w:rPr>
                <w:rFonts w:hint="eastAsia"/>
                <w:color w:val="auto"/>
                <w:lang w:eastAsia="zh-CN"/>
              </w:rPr>
              <w:t>:</w:t>
            </w:r>
            <w:r>
              <w:rPr>
                <w:color w:val="auto"/>
              </w:rPr>
              <w:t>//39.145.8.156</w:t>
            </w:r>
            <w:r>
              <w:rPr>
                <w:rFonts w:hint="eastAsia"/>
                <w:color w:val="auto"/>
                <w:lang w:eastAsia="zh-CN"/>
              </w:rPr>
              <w:t>：</w:t>
            </w:r>
            <w:r>
              <w:rPr>
                <w:color w:val="auto"/>
              </w:rPr>
              <w:t>1509/ah/public/#/home</w:t>
            </w:r>
            <w:r>
              <w:rPr>
                <w:rFonts w:hint="eastAsia"/>
                <w:color w:val="auto"/>
              </w:rPr>
              <w:t>），本项目所在区域管控单元分类</w:t>
            </w:r>
            <w:r>
              <w:rPr>
                <w:rFonts w:hint="eastAsia"/>
                <w:color w:val="auto"/>
                <w:lang w:eastAsia="zh-CN"/>
              </w:rPr>
              <w:t>名称</w:t>
            </w:r>
            <w:r>
              <w:rPr>
                <w:rFonts w:hint="eastAsia"/>
                <w:color w:val="auto"/>
              </w:rPr>
              <w:t>属于</w:t>
            </w:r>
            <w:r>
              <w:rPr>
                <w:rFonts w:hint="eastAsia"/>
                <w:color w:val="auto"/>
                <w:lang w:eastAsia="zh-CN"/>
              </w:rPr>
              <w:t>“优先保护</w:t>
            </w:r>
            <w:r>
              <w:rPr>
                <w:rFonts w:hint="eastAsia"/>
                <w:color w:val="auto"/>
              </w:rPr>
              <w:t>单元</w:t>
            </w:r>
            <w:r>
              <w:rPr>
                <w:rFonts w:hint="eastAsia"/>
                <w:color w:val="auto"/>
                <w:lang w:val="en-US" w:eastAsia="zh-CN"/>
              </w:rPr>
              <w:t>30</w:t>
            </w:r>
            <w:r>
              <w:rPr>
                <w:rFonts w:hint="eastAsia"/>
                <w:color w:val="auto"/>
                <w:lang w:eastAsia="zh-CN"/>
              </w:rPr>
              <w:t>”</w:t>
            </w:r>
            <w:r>
              <w:rPr>
                <w:rFonts w:hint="eastAsia"/>
                <w:color w:val="auto"/>
              </w:rPr>
              <w:t>，</w:t>
            </w:r>
            <w:r>
              <w:rPr>
                <w:rFonts w:cs="Times New Roman"/>
                <w:color w:val="auto"/>
                <w:szCs w:val="24"/>
                <w:highlight w:val="none"/>
              </w:rPr>
              <w:t>环境管控单元编码ZH340</w:t>
            </w:r>
            <w:r>
              <w:rPr>
                <w:rFonts w:hint="eastAsia" w:cs="Times New Roman"/>
                <w:color w:val="auto"/>
                <w:szCs w:val="24"/>
                <w:highlight w:val="none"/>
                <w:lang w:val="en-US" w:eastAsia="zh-CN"/>
              </w:rPr>
              <w:t>40510001，所在区域为沿淮绿色生态廊道区-优先管控单元11</w:t>
            </w:r>
            <w:r>
              <w:rPr>
                <w:rFonts w:hint="eastAsia"/>
                <w:color w:val="auto"/>
              </w:rPr>
              <w:t>。本项目</w:t>
            </w:r>
            <w:r>
              <w:rPr>
                <w:color w:val="auto"/>
              </w:rPr>
              <w:t>生态管控单元查询</w:t>
            </w:r>
            <w:r>
              <w:rPr>
                <w:rFonts w:hint="eastAsia"/>
                <w:color w:val="auto"/>
              </w:rPr>
              <w:t>情况（截选）如下图</w:t>
            </w:r>
            <w:r>
              <w:rPr>
                <w:rFonts w:hint="eastAsia"/>
                <w:snapToGrid w:val="0"/>
                <w:color w:val="auto"/>
                <w:lang w:eastAsia="zh-CN"/>
              </w:rPr>
              <w:t>所示</w:t>
            </w:r>
            <w:r>
              <w:rPr>
                <w:color w:val="auto"/>
              </w:rPr>
              <w:t>。</w:t>
            </w:r>
          </w:p>
          <w:p w14:paraId="6BC63261">
            <w:pPr>
              <w:spacing w:after="0"/>
              <w:jc w:val="center"/>
              <w:rPr>
                <w:color w:val="auto"/>
              </w:rPr>
            </w:pPr>
            <w:r>
              <w:rPr>
                <w:color w:val="auto"/>
              </w:rPr>
              <w:drawing>
                <wp:inline distT="0" distB="0" distL="114300" distR="114300">
                  <wp:extent cx="5287645" cy="2765425"/>
                  <wp:effectExtent l="9525" t="9525" r="17780" b="2540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23"/>
                          <a:stretch>
                            <a:fillRect/>
                          </a:stretch>
                        </pic:blipFill>
                        <pic:spPr>
                          <a:xfrm>
                            <a:off x="0" y="0"/>
                            <a:ext cx="5287645" cy="2765425"/>
                          </a:xfrm>
                          <a:prstGeom prst="rect">
                            <a:avLst/>
                          </a:prstGeom>
                          <a:noFill/>
                          <a:ln>
                            <a:solidFill>
                              <a:schemeClr val="tx1"/>
                            </a:solidFill>
                          </a:ln>
                        </pic:spPr>
                      </pic:pic>
                    </a:graphicData>
                  </a:graphic>
                </wp:inline>
              </w:drawing>
            </w:r>
          </w:p>
          <w:p w14:paraId="0148B7B3">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图 </w:t>
            </w:r>
            <w:r>
              <w:rPr>
                <w:rFonts w:hint="eastAsia"/>
                <w:color w:val="auto"/>
                <w:lang w:val="en-US" w:eastAsia="zh-CN"/>
              </w:rPr>
              <w:t>1</w:t>
            </w:r>
            <w:r>
              <w:rPr>
                <w:rFonts w:hint="eastAsia"/>
                <w:color w:val="auto"/>
                <w:lang w:eastAsia="zh-CN"/>
              </w:rPr>
              <w:t>-</w:t>
            </w:r>
            <w:r>
              <w:rPr>
                <w:color w:val="auto"/>
              </w:rPr>
              <w:fldChar w:fldCharType="begin"/>
            </w:r>
            <w:r>
              <w:rPr>
                <w:color w:val="auto"/>
              </w:rPr>
              <w:instrText xml:space="preserve"> SEQ 图 \* ARABIC \s 1 </w:instrText>
            </w:r>
            <w:r>
              <w:rPr>
                <w:color w:val="auto"/>
              </w:rPr>
              <w:fldChar w:fldCharType="separate"/>
            </w:r>
            <w:r>
              <w:rPr>
                <w:color w:val="auto"/>
              </w:rPr>
              <w:t>3</w:t>
            </w:r>
            <w:r>
              <w:rPr>
                <w:color w:val="auto"/>
              </w:rPr>
              <w:fldChar w:fldCharType="end"/>
            </w:r>
            <w:r>
              <w:rPr>
                <w:rFonts w:hint="eastAsia"/>
                <w:color w:val="auto"/>
                <w:lang w:val="en-US" w:eastAsia="zh-CN"/>
              </w:rPr>
              <w:t xml:space="preserve"> </w:t>
            </w:r>
            <w:r>
              <w:rPr>
                <w:rFonts w:hint="eastAsia"/>
                <w:snapToGrid w:val="0"/>
                <w:color w:val="auto"/>
              </w:rPr>
              <w:t>本项目</w:t>
            </w:r>
            <w:r>
              <w:rPr>
                <w:snapToGrid w:val="0"/>
                <w:color w:val="auto"/>
              </w:rPr>
              <w:t>生态管控单元</w:t>
            </w:r>
            <w:r>
              <w:rPr>
                <w:rFonts w:hint="eastAsia"/>
                <w:snapToGrid w:val="0"/>
                <w:color w:val="auto"/>
              </w:rPr>
              <w:t>情况（截选）</w:t>
            </w:r>
          </w:p>
          <w:p w14:paraId="220AAA0E">
            <w:pPr>
              <w:pStyle w:val="181"/>
              <w:wordWrap/>
              <w:ind w:firstLine="480"/>
              <w:rPr>
                <w:snapToGrid w:val="0"/>
                <w:color w:val="auto"/>
                <w:sz w:val="20"/>
                <w:szCs w:val="28"/>
              </w:rPr>
            </w:pPr>
            <w:r>
              <w:rPr>
                <w:color w:val="auto"/>
              </w:rPr>
              <w:t>本项目与</w:t>
            </w:r>
            <w:r>
              <w:rPr>
                <w:rFonts w:hint="eastAsia"/>
                <w:color w:val="auto"/>
                <w:lang w:eastAsia="zh-CN"/>
              </w:rPr>
              <w:t>生态</w:t>
            </w:r>
            <w:r>
              <w:rPr>
                <w:color w:val="auto"/>
              </w:rPr>
              <w:t>管控单元的符合性分析见下表。</w:t>
            </w:r>
          </w:p>
          <w:p w14:paraId="529C737A">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1</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5</w:t>
            </w:r>
            <w:r>
              <w:rPr>
                <w:color w:val="auto"/>
              </w:rPr>
              <w:fldChar w:fldCharType="end"/>
            </w:r>
            <w:r>
              <w:rPr>
                <w:color w:val="auto"/>
              </w:rPr>
              <w:t xml:space="preserve"> 本项目与生态管控单元的符合性分析</w:t>
            </w:r>
          </w:p>
          <w:tbl>
            <w:tblPr>
              <w:tblStyle w:val="53"/>
              <w:tblpPr w:leftFromText="180" w:rightFromText="180" w:vertAnchor="text" w:tblpY="1"/>
              <w:tblOverlap w:val="never"/>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31"/>
              <w:gridCol w:w="925"/>
              <w:gridCol w:w="3735"/>
              <w:gridCol w:w="2299"/>
              <w:gridCol w:w="724"/>
            </w:tblGrid>
            <w:tr w14:paraId="0631F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935" w:type="pct"/>
                  <w:gridSpan w:val="2"/>
                  <w:vAlign w:val="center"/>
                </w:tcPr>
                <w:p w14:paraId="75E8D00A">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eastAsia="zh-CN"/>
                    </w:rPr>
                  </w:pPr>
                  <w:r>
                    <w:rPr>
                      <w:rFonts w:hint="default" w:ascii="Times New Roman" w:hAnsi="Times New Roman" w:eastAsia="宋体" w:cs="Times New Roman"/>
                      <w:b/>
                      <w:bCs/>
                      <w:color w:val="auto"/>
                      <w:sz w:val="18"/>
                      <w:szCs w:val="18"/>
                    </w:rPr>
                    <w:t>管控</w:t>
                  </w:r>
                  <w:r>
                    <w:rPr>
                      <w:rFonts w:hint="default" w:ascii="Times New Roman" w:hAnsi="Times New Roman" w:eastAsia="宋体" w:cs="Times New Roman"/>
                      <w:b/>
                      <w:bCs/>
                      <w:color w:val="auto"/>
                      <w:sz w:val="18"/>
                      <w:szCs w:val="18"/>
                      <w:lang w:eastAsia="zh-CN"/>
                    </w:rPr>
                    <w:t>类别</w:t>
                  </w:r>
                </w:p>
              </w:tc>
              <w:tc>
                <w:tcPr>
                  <w:tcW w:w="2246" w:type="pct"/>
                  <w:vAlign w:val="center"/>
                </w:tcPr>
                <w:p w14:paraId="6FB16334">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环境管控要求</w:t>
                  </w:r>
                </w:p>
              </w:tc>
              <w:tc>
                <w:tcPr>
                  <w:tcW w:w="1382" w:type="pct"/>
                  <w:vAlign w:val="center"/>
                </w:tcPr>
                <w:p w14:paraId="7160FB38">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协调性分析</w:t>
                  </w:r>
                </w:p>
              </w:tc>
              <w:tc>
                <w:tcPr>
                  <w:tcW w:w="435" w:type="pct"/>
                  <w:vAlign w:val="center"/>
                </w:tcPr>
                <w:p w14:paraId="2BD57FFE">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rPr>
                  </w:pPr>
                  <w:r>
                    <w:rPr>
                      <w:rFonts w:hint="default" w:ascii="Times New Roman" w:hAnsi="Times New Roman" w:eastAsia="宋体" w:cs="Times New Roman"/>
                      <w:b/>
                      <w:bCs/>
                      <w:color w:val="auto"/>
                      <w:sz w:val="18"/>
                      <w:szCs w:val="18"/>
                    </w:rPr>
                    <w:t>符合性</w:t>
                  </w:r>
                </w:p>
              </w:tc>
            </w:tr>
            <w:tr w14:paraId="60FF6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79" w:type="pct"/>
                  <w:vMerge w:val="restart"/>
                  <w:vAlign w:val="center"/>
                </w:tcPr>
                <w:p w14:paraId="1ABA2AAC">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b/>
                      <w:bCs/>
                      <w:color w:val="auto"/>
                      <w:sz w:val="18"/>
                      <w:szCs w:val="18"/>
                      <w:lang w:eastAsia="zh-CN"/>
                    </w:rPr>
                  </w:pPr>
                  <w:r>
                    <w:rPr>
                      <w:rFonts w:hint="eastAsia" w:cs="Times New Roman"/>
                      <w:b/>
                      <w:bCs/>
                      <w:color w:val="auto"/>
                      <w:sz w:val="18"/>
                      <w:szCs w:val="18"/>
                      <w:lang w:eastAsia="zh-CN"/>
                    </w:rPr>
                    <w:t>环境管控单元管控要求</w:t>
                  </w:r>
                </w:p>
              </w:tc>
              <w:tc>
                <w:tcPr>
                  <w:tcW w:w="556" w:type="pct"/>
                  <w:shd w:val="clear" w:color="auto" w:fill="auto"/>
                  <w:vAlign w:val="center"/>
                </w:tcPr>
                <w:p w14:paraId="157FF65D">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val="en-US" w:eastAsia="zh-CN" w:bidi="ar-SA"/>
                    </w:rPr>
                  </w:pPr>
                  <w:r>
                    <w:rPr>
                      <w:rFonts w:hint="default" w:ascii="Times New Roman" w:hAnsi="Times New Roman" w:eastAsia="宋体" w:cs="Times New Roman"/>
                      <w:b/>
                      <w:bCs/>
                      <w:color w:val="auto"/>
                      <w:sz w:val="18"/>
                      <w:szCs w:val="18"/>
                      <w:lang w:val="en-US" w:eastAsia="zh-CN"/>
                    </w:rPr>
                    <w:t>空间布局约束</w:t>
                  </w:r>
                </w:p>
              </w:tc>
              <w:tc>
                <w:tcPr>
                  <w:tcW w:w="2246" w:type="pct"/>
                  <w:shd w:val="clear" w:color="auto" w:fill="auto"/>
                  <w:vAlign w:val="center"/>
                </w:tcPr>
                <w:p w14:paraId="479B7E0E">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both"/>
                    <w:textAlignment w:val="auto"/>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kern w:val="2"/>
                      <w:sz w:val="18"/>
                      <w:szCs w:val="18"/>
                      <w:lang w:val="zh-CN" w:eastAsia="zh-CN" w:bidi="ar-SA"/>
                    </w:rPr>
                    <w:t>任何单位和个人不得在保护区内及可能对地质遗迹造成影响的一定范围内进行采石、取土、开矿、放牧、砍伐以及其它对保护对象有损害的活动。未经管理机构批准，不得在保护区范围内采集标本和化石。 不得在保护区内修建与地质遗迹保护无关的厂房或其他建筑设施。 经设立该级地质遗迹保护区的人民政府地质矿产行政主管部门批准，可有组织地进行科研、教学、学术交流及适当的旅游活动。 对国际或国内具有极为罕见和重要科学价值的地质遗迹实施一级保护，非经批准不得入内。经设立该级地质遗迹保护区的人民政府自然资源行政主管部门批准，可组织进行参观、科研或国际间交往。 经设立该级地质遗迹保护区的人民政府自然资源行政主管部门批准，可组织开展旅游活动。 管理机构可根据地质遗迹的保护程度，批准单位或个人在保护工区范围内从事科研、教学及旅游活动。 对已建成并可能对地质遗迹造成污染或破坏的设施，应限期治理或停业外迁。</w:t>
                  </w:r>
                </w:p>
              </w:tc>
              <w:tc>
                <w:tcPr>
                  <w:tcW w:w="1382" w:type="pct"/>
                  <w:vAlign w:val="center"/>
                </w:tcPr>
                <w:p w14:paraId="4C575111">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both"/>
                    <w:textAlignment w:val="auto"/>
                    <w:rPr>
                      <w:rFonts w:hint="default" w:ascii="Times New Roman" w:hAnsi="Times New Roman" w:eastAsia="宋体" w:cs="Times New Roman"/>
                      <w:color w:val="auto"/>
                      <w:sz w:val="18"/>
                      <w:szCs w:val="18"/>
                      <w:vertAlign w:val="baseline"/>
                      <w:lang w:val="en-US" w:eastAsia="zh-CN"/>
                    </w:rPr>
                  </w:pPr>
                  <w:r>
                    <w:rPr>
                      <w:rFonts w:hint="default" w:ascii="Times New Roman" w:hAnsi="Times New Roman" w:eastAsia="宋体" w:cs="Times New Roman"/>
                      <w:color w:val="auto"/>
                      <w:kern w:val="2"/>
                      <w:sz w:val="18"/>
                      <w:szCs w:val="18"/>
                      <w:lang w:val="zh-CN" w:eastAsia="zh-CN" w:bidi="ar-SA"/>
                    </w:rPr>
                    <w:t>本项目</w:t>
                  </w:r>
                  <w:r>
                    <w:rPr>
                      <w:rFonts w:hint="eastAsia" w:ascii="Times New Roman" w:hAnsi="Times New Roman" w:eastAsia="宋体" w:cs="Times New Roman"/>
                      <w:color w:val="auto"/>
                      <w:kern w:val="2"/>
                      <w:sz w:val="18"/>
                      <w:szCs w:val="18"/>
                      <w:lang w:val="zh-CN" w:eastAsia="zh-CN" w:bidi="ar-SA"/>
                    </w:rPr>
                    <w:t>为煤炭洗选行业，租用淮南市八公山区</w:t>
                  </w:r>
                  <w:r>
                    <w:rPr>
                      <w:rFonts w:hint="eastAsia" w:ascii="Times New Roman" w:hAnsi="Times New Roman" w:eastAsia="宋体" w:cs="Times New Roman"/>
                      <w:color w:val="auto"/>
                      <w:kern w:val="2"/>
                      <w:sz w:val="18"/>
                      <w:szCs w:val="18"/>
                      <w:lang w:val="en-US" w:eastAsia="zh-CN" w:bidi="ar-SA"/>
                    </w:rPr>
                    <w:t>淮南</w:t>
                  </w:r>
                  <w:r>
                    <w:rPr>
                      <w:rFonts w:hint="eastAsia" w:ascii="Times New Roman" w:hAnsi="Times New Roman" w:eastAsia="宋体" w:cs="Times New Roman"/>
                      <w:color w:val="auto"/>
                      <w:kern w:val="2"/>
                      <w:sz w:val="18"/>
                      <w:szCs w:val="18"/>
                      <w:lang w:val="zh-CN" w:eastAsia="zh-CN" w:bidi="ar-SA"/>
                    </w:rPr>
                    <w:t>舜岳水泥有限责任公司厂区内现有闲置厂房</w:t>
                  </w:r>
                  <w:r>
                    <w:rPr>
                      <w:rFonts w:hint="default" w:ascii="Times New Roman" w:hAnsi="Times New Roman" w:eastAsia="宋体" w:cs="Times New Roman"/>
                      <w:color w:val="auto"/>
                      <w:kern w:val="2"/>
                      <w:sz w:val="18"/>
                      <w:szCs w:val="18"/>
                      <w:lang w:val="zh-CN" w:eastAsia="zh-CN" w:bidi="ar-SA"/>
                    </w:rPr>
                    <w:t>，</w:t>
                  </w:r>
                  <w:r>
                    <w:rPr>
                      <w:rFonts w:hint="eastAsia" w:ascii="Times New Roman" w:hAnsi="Times New Roman" w:eastAsia="宋体" w:cs="Times New Roman"/>
                      <w:color w:val="auto"/>
                      <w:kern w:val="2"/>
                      <w:sz w:val="18"/>
                      <w:szCs w:val="18"/>
                      <w:lang w:val="zh-CN" w:eastAsia="zh-CN" w:bidi="ar-SA"/>
                    </w:rPr>
                    <w:t>不涉及保护区内</w:t>
                  </w:r>
                  <w:r>
                    <w:rPr>
                      <w:rFonts w:hint="default" w:ascii="Times New Roman" w:hAnsi="Times New Roman" w:eastAsia="宋体" w:cs="Times New Roman"/>
                      <w:color w:val="auto"/>
                      <w:kern w:val="2"/>
                      <w:sz w:val="18"/>
                      <w:szCs w:val="18"/>
                      <w:lang w:val="zh-CN" w:eastAsia="zh-CN" w:bidi="ar-SA"/>
                    </w:rPr>
                    <w:t>采石、取土、开矿、放牧、砍伐以及其它对保护对象有损害的活动</w:t>
                  </w:r>
                  <w:r>
                    <w:rPr>
                      <w:rFonts w:hint="eastAsia" w:cs="Times New Roman"/>
                      <w:color w:val="auto"/>
                      <w:kern w:val="2"/>
                      <w:sz w:val="18"/>
                      <w:szCs w:val="18"/>
                      <w:lang w:val="zh-CN" w:eastAsia="zh-CN" w:bidi="ar-SA"/>
                    </w:rPr>
                    <w:t>，项目区域不在</w:t>
                  </w:r>
                  <w:r>
                    <w:rPr>
                      <w:rFonts w:hint="default" w:ascii="Times New Roman" w:hAnsi="Times New Roman" w:eastAsia="宋体" w:cs="Times New Roman"/>
                      <w:color w:val="auto"/>
                      <w:kern w:val="2"/>
                      <w:sz w:val="18"/>
                      <w:szCs w:val="18"/>
                      <w:lang w:val="zh-CN" w:eastAsia="zh-CN" w:bidi="ar-SA"/>
                    </w:rPr>
                    <w:t>地质遗迹保护区</w:t>
                  </w:r>
                  <w:r>
                    <w:rPr>
                      <w:rFonts w:hint="eastAsia" w:cs="Times New Roman"/>
                      <w:color w:val="auto"/>
                      <w:kern w:val="2"/>
                      <w:sz w:val="18"/>
                      <w:szCs w:val="18"/>
                      <w:lang w:val="zh-CN" w:eastAsia="zh-CN" w:bidi="ar-SA"/>
                    </w:rPr>
                    <w:t>范围内</w:t>
                  </w:r>
                  <w:r>
                    <w:rPr>
                      <w:rFonts w:hint="default" w:ascii="Times New Roman" w:hAnsi="Times New Roman" w:eastAsia="宋体" w:cs="Times New Roman"/>
                      <w:color w:val="auto"/>
                      <w:kern w:val="2"/>
                      <w:sz w:val="18"/>
                      <w:szCs w:val="18"/>
                      <w:lang w:val="zh-CN" w:eastAsia="zh-CN" w:bidi="ar-SA"/>
                    </w:rPr>
                    <w:t>。</w:t>
                  </w:r>
                  <w:r>
                    <w:rPr>
                      <w:rFonts w:hint="eastAsia" w:cs="Times New Roman"/>
                      <w:color w:val="auto"/>
                      <w:kern w:val="2"/>
                      <w:sz w:val="18"/>
                      <w:szCs w:val="18"/>
                      <w:lang w:val="zh-CN" w:eastAsia="zh-CN" w:bidi="ar-SA"/>
                    </w:rPr>
                    <w:t>污染物</w:t>
                  </w:r>
                  <w:r>
                    <w:rPr>
                      <w:rFonts w:hint="default" w:ascii="Times New Roman" w:hAnsi="Times New Roman" w:eastAsia="宋体" w:cs="Times New Roman"/>
                      <w:color w:val="auto"/>
                      <w:kern w:val="2"/>
                      <w:sz w:val="18"/>
                      <w:szCs w:val="18"/>
                      <w:lang w:val="en-US" w:eastAsia="zh-CN" w:bidi="ar-SA"/>
                    </w:rPr>
                    <w:t>经环保措施处理后，对周围环境造成的影响较小，</w:t>
                  </w:r>
                  <w:r>
                    <w:rPr>
                      <w:rFonts w:hint="eastAsia" w:ascii="Times New Roman" w:hAnsi="Times New Roman" w:eastAsia="宋体" w:cs="Times New Roman"/>
                      <w:color w:val="auto"/>
                      <w:kern w:val="2"/>
                      <w:sz w:val="18"/>
                      <w:szCs w:val="18"/>
                      <w:lang w:val="en-US" w:eastAsia="zh-CN" w:bidi="ar-SA"/>
                    </w:rPr>
                    <w:t>不会</w:t>
                  </w:r>
                  <w:r>
                    <w:rPr>
                      <w:rFonts w:hint="eastAsia" w:cs="Times New Roman"/>
                      <w:color w:val="auto"/>
                      <w:kern w:val="2"/>
                      <w:sz w:val="18"/>
                      <w:szCs w:val="18"/>
                      <w:lang w:val="en-US" w:eastAsia="zh-CN" w:bidi="ar-SA"/>
                    </w:rPr>
                    <w:t>对</w:t>
                  </w:r>
                  <w:r>
                    <w:rPr>
                      <w:rFonts w:hint="default" w:ascii="Times New Roman" w:hAnsi="Times New Roman" w:eastAsia="宋体" w:cs="Times New Roman"/>
                      <w:color w:val="auto"/>
                      <w:kern w:val="2"/>
                      <w:sz w:val="18"/>
                      <w:szCs w:val="18"/>
                      <w:lang w:val="en-US" w:eastAsia="zh-CN" w:bidi="ar-SA"/>
                    </w:rPr>
                    <w:t>自然保护区</w:t>
                  </w:r>
                  <w:r>
                    <w:rPr>
                      <w:rFonts w:hint="eastAsia" w:cs="Times New Roman"/>
                      <w:color w:val="auto"/>
                      <w:kern w:val="2"/>
                      <w:sz w:val="18"/>
                      <w:szCs w:val="18"/>
                      <w:lang w:val="en-US" w:eastAsia="zh-CN" w:bidi="ar-SA"/>
                    </w:rPr>
                    <w:t>以及地质遗迹等敏感地区造成污染或者破坏</w:t>
                  </w:r>
                  <w:r>
                    <w:rPr>
                      <w:rFonts w:hint="eastAsia" w:ascii="Times New Roman" w:hAnsi="Times New Roman" w:eastAsia="宋体" w:cs="Times New Roman"/>
                      <w:color w:val="auto"/>
                      <w:kern w:val="2"/>
                      <w:sz w:val="18"/>
                      <w:szCs w:val="18"/>
                      <w:lang w:val="en-US" w:eastAsia="zh-CN" w:bidi="ar-SA"/>
                    </w:rPr>
                    <w:t>。</w:t>
                  </w:r>
                </w:p>
              </w:tc>
              <w:tc>
                <w:tcPr>
                  <w:tcW w:w="435" w:type="pct"/>
                  <w:vMerge w:val="restart"/>
                  <w:vAlign w:val="center"/>
                </w:tcPr>
                <w:p w14:paraId="0D431B3A">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符合</w:t>
                  </w:r>
                </w:p>
              </w:tc>
            </w:tr>
            <w:tr w14:paraId="0C9F1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79" w:type="pct"/>
                  <w:vMerge w:val="continue"/>
                  <w:vAlign w:val="center"/>
                </w:tcPr>
                <w:p w14:paraId="66330250">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eastAsia="zh-CN"/>
                    </w:rPr>
                  </w:pPr>
                </w:p>
              </w:tc>
              <w:tc>
                <w:tcPr>
                  <w:tcW w:w="556" w:type="pct"/>
                  <w:shd w:val="clear" w:color="auto" w:fill="auto"/>
                  <w:vAlign w:val="center"/>
                </w:tcPr>
                <w:p w14:paraId="293572E4">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kern w:val="2"/>
                      <w:sz w:val="18"/>
                      <w:szCs w:val="18"/>
                      <w:lang w:val="zh-CN" w:eastAsia="zh-CN" w:bidi="ar-SA"/>
                    </w:rPr>
                  </w:pPr>
                  <w:r>
                    <w:rPr>
                      <w:rFonts w:hint="default" w:ascii="Times New Roman" w:hAnsi="Times New Roman" w:eastAsia="宋体" w:cs="Times New Roman"/>
                      <w:b/>
                      <w:bCs/>
                      <w:color w:val="auto"/>
                      <w:sz w:val="18"/>
                      <w:szCs w:val="18"/>
                      <w:lang w:eastAsia="zh-CN"/>
                    </w:rPr>
                    <w:t>污染物排放管控</w:t>
                  </w:r>
                </w:p>
              </w:tc>
              <w:tc>
                <w:tcPr>
                  <w:tcW w:w="2246" w:type="pct"/>
                  <w:shd w:val="clear" w:color="auto" w:fill="auto"/>
                  <w:vAlign w:val="center"/>
                </w:tcPr>
                <w:p w14:paraId="0980C40C">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rPr>
                  </w:pPr>
                  <w:r>
                    <w:rPr>
                      <w:rFonts w:hint="eastAsia" w:cs="Times New Roman"/>
                      <w:color w:val="auto"/>
                      <w:kern w:val="0"/>
                      <w:sz w:val="18"/>
                      <w:szCs w:val="18"/>
                      <w:lang w:val="en-US" w:eastAsia="zh-CN" w:bidi="ar"/>
                    </w:rPr>
                    <w:t>/</w:t>
                  </w:r>
                </w:p>
              </w:tc>
              <w:tc>
                <w:tcPr>
                  <w:tcW w:w="1382" w:type="pct"/>
                  <w:vAlign w:val="center"/>
                </w:tcPr>
                <w:p w14:paraId="7DB1BAB1">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cs="Times New Roman"/>
                      <w:color w:val="auto"/>
                      <w:sz w:val="18"/>
                      <w:szCs w:val="18"/>
                      <w:lang w:eastAsia="zh-CN"/>
                    </w:rPr>
                    <w:t>/</w:t>
                  </w:r>
                </w:p>
              </w:tc>
              <w:tc>
                <w:tcPr>
                  <w:tcW w:w="435" w:type="pct"/>
                  <w:vMerge w:val="continue"/>
                  <w:vAlign w:val="center"/>
                </w:tcPr>
                <w:p w14:paraId="1B855534">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r w14:paraId="25D7D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79" w:type="pct"/>
                  <w:vMerge w:val="continue"/>
                  <w:vAlign w:val="center"/>
                </w:tcPr>
                <w:p w14:paraId="45BBAFD4">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eastAsia="zh-CN"/>
                    </w:rPr>
                  </w:pPr>
                </w:p>
              </w:tc>
              <w:tc>
                <w:tcPr>
                  <w:tcW w:w="556" w:type="pct"/>
                  <w:shd w:val="clear" w:color="auto" w:fill="auto"/>
                  <w:vAlign w:val="center"/>
                </w:tcPr>
                <w:p w14:paraId="508F75DE">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b/>
                      <w:bCs/>
                      <w:color w:val="auto"/>
                      <w:kern w:val="2"/>
                      <w:sz w:val="18"/>
                      <w:szCs w:val="18"/>
                      <w:lang w:val="zh-CN" w:eastAsia="zh-CN" w:bidi="ar-SA"/>
                    </w:rPr>
                  </w:pPr>
                  <w:r>
                    <w:rPr>
                      <w:rFonts w:hint="eastAsia" w:cs="Times New Roman"/>
                      <w:b/>
                      <w:bCs/>
                      <w:color w:val="auto"/>
                      <w:sz w:val="18"/>
                      <w:szCs w:val="18"/>
                      <w:lang w:eastAsia="zh-CN"/>
                    </w:rPr>
                    <w:t>环境风险防控</w:t>
                  </w:r>
                </w:p>
              </w:tc>
              <w:tc>
                <w:tcPr>
                  <w:tcW w:w="2246" w:type="pct"/>
                  <w:shd w:val="clear" w:color="auto" w:fill="auto"/>
                  <w:vAlign w:val="center"/>
                </w:tcPr>
                <w:p w14:paraId="6CA202E2">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cs="Times New Roman"/>
                      <w:color w:val="auto"/>
                      <w:kern w:val="0"/>
                      <w:sz w:val="18"/>
                      <w:szCs w:val="18"/>
                      <w:lang w:val="en-US" w:eastAsia="zh-CN" w:bidi="ar"/>
                    </w:rPr>
                  </w:pPr>
                  <w:r>
                    <w:rPr>
                      <w:rFonts w:hint="eastAsia" w:cs="Times New Roman"/>
                      <w:color w:val="auto"/>
                      <w:kern w:val="0"/>
                      <w:sz w:val="18"/>
                      <w:szCs w:val="18"/>
                      <w:lang w:val="en-US" w:eastAsia="zh-CN" w:bidi="ar"/>
                    </w:rPr>
                    <w:t>/</w:t>
                  </w:r>
                </w:p>
              </w:tc>
              <w:tc>
                <w:tcPr>
                  <w:tcW w:w="1382" w:type="pct"/>
                  <w:vAlign w:val="center"/>
                </w:tcPr>
                <w:p w14:paraId="38616880">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cs="Times New Roman"/>
                      <w:color w:val="auto"/>
                      <w:sz w:val="18"/>
                      <w:szCs w:val="18"/>
                      <w:lang w:val="en-US" w:eastAsia="zh-CN"/>
                    </w:rPr>
                  </w:pPr>
                  <w:r>
                    <w:rPr>
                      <w:rFonts w:hint="eastAsia" w:cs="Times New Roman"/>
                      <w:color w:val="auto"/>
                      <w:sz w:val="18"/>
                      <w:szCs w:val="18"/>
                      <w:lang w:val="en-US" w:eastAsia="zh-CN"/>
                    </w:rPr>
                    <w:t>/</w:t>
                  </w:r>
                </w:p>
              </w:tc>
              <w:tc>
                <w:tcPr>
                  <w:tcW w:w="435" w:type="pct"/>
                  <w:vMerge w:val="continue"/>
                  <w:vAlign w:val="center"/>
                </w:tcPr>
                <w:p w14:paraId="29C53253">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eastAsia="zh-CN"/>
                    </w:rPr>
                  </w:pPr>
                </w:p>
              </w:tc>
            </w:tr>
            <w:tr w14:paraId="71112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79" w:type="pct"/>
                  <w:vMerge w:val="continue"/>
                  <w:vAlign w:val="center"/>
                </w:tcPr>
                <w:p w14:paraId="69E8F0F0">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eastAsia="zh-CN"/>
                    </w:rPr>
                  </w:pPr>
                </w:p>
              </w:tc>
              <w:tc>
                <w:tcPr>
                  <w:tcW w:w="556" w:type="pct"/>
                  <w:shd w:val="clear" w:color="auto" w:fill="auto"/>
                  <w:vAlign w:val="center"/>
                </w:tcPr>
                <w:p w14:paraId="1B18FDDD">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kern w:val="2"/>
                      <w:sz w:val="18"/>
                      <w:szCs w:val="18"/>
                      <w:lang w:val="zh-CN" w:eastAsia="zh-CN" w:bidi="ar-SA"/>
                    </w:rPr>
                  </w:pPr>
                  <w:r>
                    <w:rPr>
                      <w:rFonts w:hint="default" w:ascii="Times New Roman" w:hAnsi="Times New Roman" w:eastAsia="宋体" w:cs="Times New Roman"/>
                      <w:b/>
                      <w:bCs/>
                      <w:color w:val="auto"/>
                      <w:sz w:val="18"/>
                      <w:szCs w:val="18"/>
                      <w:lang w:eastAsia="zh-CN"/>
                    </w:rPr>
                    <w:t>资源开发效率要求</w:t>
                  </w:r>
                </w:p>
              </w:tc>
              <w:tc>
                <w:tcPr>
                  <w:tcW w:w="2246" w:type="pct"/>
                  <w:shd w:val="clear" w:color="auto" w:fill="auto"/>
                  <w:vAlign w:val="center"/>
                </w:tcPr>
                <w:p w14:paraId="3D6DBB3C">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eastAsia" w:cs="Times New Roman"/>
                      <w:color w:val="auto"/>
                      <w:kern w:val="0"/>
                      <w:sz w:val="18"/>
                      <w:szCs w:val="18"/>
                      <w:lang w:val="en-US" w:eastAsia="zh-CN" w:bidi="ar"/>
                    </w:rPr>
                    <w:t>/</w:t>
                  </w:r>
                </w:p>
              </w:tc>
              <w:tc>
                <w:tcPr>
                  <w:tcW w:w="1382" w:type="pct"/>
                  <w:vAlign w:val="center"/>
                </w:tcPr>
                <w:p w14:paraId="6DD13332">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cs="Times New Roman"/>
                      <w:color w:val="auto"/>
                      <w:sz w:val="18"/>
                      <w:szCs w:val="18"/>
                      <w:lang w:val="en-US" w:eastAsia="zh-CN"/>
                    </w:rPr>
                    <w:t>/</w:t>
                  </w:r>
                </w:p>
              </w:tc>
              <w:tc>
                <w:tcPr>
                  <w:tcW w:w="435" w:type="pct"/>
                  <w:vMerge w:val="continue"/>
                  <w:vAlign w:val="center"/>
                </w:tcPr>
                <w:p w14:paraId="36C70A2E">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r w14:paraId="6225D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39" w:hRule="atLeast"/>
              </w:trPr>
              <w:tc>
                <w:tcPr>
                  <w:tcW w:w="379" w:type="pct"/>
                  <w:vMerge w:val="restart"/>
                  <w:vAlign w:val="center"/>
                </w:tcPr>
                <w:p w14:paraId="1E1B2F38">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eastAsia="zh-CN"/>
                    </w:rPr>
                  </w:pPr>
                  <w:r>
                    <w:rPr>
                      <w:rFonts w:hint="eastAsia" w:cs="Times New Roman"/>
                      <w:b/>
                      <w:bCs/>
                      <w:color w:val="auto"/>
                      <w:sz w:val="18"/>
                      <w:szCs w:val="18"/>
                      <w:lang w:eastAsia="zh-CN"/>
                    </w:rPr>
                    <w:t>区域管控单元管控要求</w:t>
                  </w:r>
                </w:p>
              </w:tc>
              <w:tc>
                <w:tcPr>
                  <w:tcW w:w="556" w:type="pct"/>
                  <w:vMerge w:val="restart"/>
                  <w:shd w:val="clear" w:color="auto" w:fill="auto"/>
                  <w:vAlign w:val="center"/>
                </w:tcPr>
                <w:p w14:paraId="30798047">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val="en-US" w:eastAsia="zh-CN" w:bidi="ar-SA"/>
                    </w:rPr>
                  </w:pPr>
                  <w:r>
                    <w:rPr>
                      <w:rFonts w:hint="default" w:ascii="Times New Roman" w:hAnsi="Times New Roman" w:eastAsia="宋体" w:cs="Times New Roman"/>
                      <w:b/>
                      <w:bCs/>
                      <w:color w:val="auto"/>
                      <w:sz w:val="18"/>
                      <w:szCs w:val="18"/>
                      <w:lang w:val="en-US" w:eastAsia="zh-CN"/>
                    </w:rPr>
                    <w:t>空间布局约束</w:t>
                  </w:r>
                </w:p>
              </w:tc>
              <w:tc>
                <w:tcPr>
                  <w:tcW w:w="2246" w:type="pct"/>
                  <w:shd w:val="clear" w:color="auto" w:fill="auto"/>
                  <w:vAlign w:val="center"/>
                </w:tcPr>
                <w:p w14:paraId="6D428B93">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cs="Times New Roman"/>
                      <w:color w:val="auto"/>
                      <w:kern w:val="0"/>
                      <w:sz w:val="18"/>
                      <w:szCs w:val="18"/>
                      <w:lang w:val="en-US" w:eastAsia="zh-CN" w:bidi="ar"/>
                    </w:rPr>
                  </w:pPr>
                  <w:r>
                    <w:rPr>
                      <w:rFonts w:hint="default" w:ascii="Times New Roman" w:hAnsi="Times New Roman" w:eastAsia="宋体" w:cs="Times New Roman"/>
                      <w:color w:val="auto"/>
                      <w:kern w:val="2"/>
                      <w:sz w:val="18"/>
                      <w:szCs w:val="18"/>
                      <w:lang w:val="en-US" w:eastAsia="zh-CN" w:bidi="ar-SA"/>
                    </w:rPr>
                    <w:t>禁止在淮河流域新建化学制浆造纸企业和印染、制革、化工、电镀、酿造等污染严重的小型企业。</w:t>
                  </w:r>
                </w:p>
              </w:tc>
              <w:tc>
                <w:tcPr>
                  <w:tcW w:w="1382" w:type="pct"/>
                  <w:vAlign w:val="center"/>
                </w:tcPr>
                <w:p w14:paraId="0BCD683F">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color w:val="auto"/>
                      <w:sz w:val="18"/>
                      <w:szCs w:val="18"/>
                      <w:lang w:val="en-US" w:eastAsia="zh-CN"/>
                    </w:rPr>
                  </w:pPr>
                  <w:r>
                    <w:rPr>
                      <w:rFonts w:hint="eastAsia" w:cs="Times New Roman"/>
                      <w:color w:val="auto"/>
                      <w:sz w:val="18"/>
                      <w:szCs w:val="18"/>
                      <w:lang w:val="en-US" w:eastAsia="zh-CN"/>
                    </w:rPr>
                    <w:t>本项目为煤炭洗选行业，不属于</w:t>
                  </w:r>
                  <w:r>
                    <w:rPr>
                      <w:rFonts w:hint="default" w:ascii="Times New Roman" w:hAnsi="Times New Roman" w:eastAsia="宋体" w:cs="Times New Roman"/>
                      <w:color w:val="auto"/>
                      <w:kern w:val="2"/>
                      <w:sz w:val="18"/>
                      <w:szCs w:val="18"/>
                      <w:lang w:val="en-US" w:eastAsia="zh-CN" w:bidi="ar-SA"/>
                    </w:rPr>
                    <w:t>化学制浆造纸企业和印染、制革、化工、电镀、酿造等污染严重的小型企业。</w:t>
                  </w:r>
                </w:p>
              </w:tc>
              <w:tc>
                <w:tcPr>
                  <w:tcW w:w="435" w:type="pct"/>
                  <w:vMerge w:val="restart"/>
                  <w:vAlign w:val="center"/>
                </w:tcPr>
                <w:p w14:paraId="3A2A1096">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eastAsia="zh-CN"/>
                    </w:rPr>
                  </w:pPr>
                  <w:r>
                    <w:rPr>
                      <w:rFonts w:hint="eastAsia" w:cs="Times New Roman"/>
                      <w:color w:val="auto"/>
                      <w:sz w:val="18"/>
                      <w:szCs w:val="18"/>
                      <w:lang w:eastAsia="zh-CN"/>
                    </w:rPr>
                    <w:t>符合</w:t>
                  </w:r>
                </w:p>
              </w:tc>
            </w:tr>
            <w:tr w14:paraId="0F1D0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7" w:hRule="atLeast"/>
              </w:trPr>
              <w:tc>
                <w:tcPr>
                  <w:tcW w:w="379" w:type="pct"/>
                  <w:vMerge w:val="continue"/>
                  <w:vAlign w:val="center"/>
                </w:tcPr>
                <w:p w14:paraId="08E9188A">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b/>
                      <w:bCs/>
                      <w:color w:val="auto"/>
                      <w:sz w:val="18"/>
                      <w:szCs w:val="18"/>
                      <w:lang w:eastAsia="zh-CN"/>
                    </w:rPr>
                  </w:pPr>
                </w:p>
              </w:tc>
              <w:tc>
                <w:tcPr>
                  <w:tcW w:w="556" w:type="pct"/>
                  <w:vMerge w:val="continue"/>
                  <w:shd w:val="clear" w:color="auto" w:fill="auto"/>
                  <w:vAlign w:val="center"/>
                </w:tcPr>
                <w:p w14:paraId="27C67F2F">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val="en-US" w:eastAsia="zh-CN"/>
                    </w:rPr>
                  </w:pPr>
                </w:p>
              </w:tc>
              <w:tc>
                <w:tcPr>
                  <w:tcW w:w="2246" w:type="pct"/>
                  <w:shd w:val="clear" w:color="auto" w:fill="auto"/>
                  <w:vAlign w:val="center"/>
                </w:tcPr>
                <w:p w14:paraId="3D9E77F2">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kern w:val="2"/>
                      <w:sz w:val="18"/>
                      <w:szCs w:val="18"/>
                      <w:lang w:val="en-US" w:eastAsia="zh-CN" w:bidi="ar-SA"/>
                    </w:rPr>
                    <w:t>在饮用水水源保护区内，禁止设置排污口。在风景名胜区水体、重要渔业水体和其他具有特殊经济文化价值的水体的保护区内，不得新建排污口。</w:t>
                  </w:r>
                </w:p>
              </w:tc>
              <w:tc>
                <w:tcPr>
                  <w:tcW w:w="1382" w:type="pct"/>
                  <w:vAlign w:val="center"/>
                </w:tcPr>
                <w:p w14:paraId="04AA8063">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本项目租赁淮南舜岳水泥有限责任公司现有厂区内的闲置厂房，不涉及</w:t>
                  </w:r>
                  <w:r>
                    <w:rPr>
                      <w:rFonts w:hint="default" w:ascii="Times New Roman" w:hAnsi="Times New Roman" w:eastAsia="宋体" w:cs="Times New Roman"/>
                      <w:color w:val="auto"/>
                      <w:kern w:val="2"/>
                      <w:sz w:val="18"/>
                      <w:szCs w:val="18"/>
                      <w:lang w:val="en-US" w:eastAsia="zh-CN" w:bidi="ar-SA"/>
                    </w:rPr>
                    <w:t>饮用水水源保护区，</w:t>
                  </w:r>
                  <w:r>
                    <w:rPr>
                      <w:rFonts w:hint="eastAsia" w:cs="Times New Roman"/>
                      <w:color w:val="auto"/>
                      <w:kern w:val="2"/>
                      <w:sz w:val="18"/>
                      <w:szCs w:val="18"/>
                      <w:lang w:val="en-US" w:eastAsia="zh-CN" w:bidi="ar-SA"/>
                    </w:rPr>
                    <w:t>项目位于八公山风景名胜区场界外、外围保护线内，本项目生产废水经废水处理设施处理后回用，能够实现闭路循环，不外排，不新建排污口。</w:t>
                  </w:r>
                </w:p>
              </w:tc>
              <w:tc>
                <w:tcPr>
                  <w:tcW w:w="435" w:type="pct"/>
                  <w:vMerge w:val="continue"/>
                  <w:vAlign w:val="center"/>
                </w:tcPr>
                <w:p w14:paraId="56A58E1D">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r w14:paraId="78EDD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7" w:hRule="atLeast"/>
              </w:trPr>
              <w:tc>
                <w:tcPr>
                  <w:tcW w:w="379" w:type="pct"/>
                  <w:vMerge w:val="continue"/>
                  <w:vAlign w:val="center"/>
                </w:tcPr>
                <w:p w14:paraId="214DBEE7">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b/>
                      <w:bCs/>
                      <w:color w:val="auto"/>
                      <w:sz w:val="18"/>
                      <w:szCs w:val="18"/>
                      <w:lang w:eastAsia="zh-CN"/>
                    </w:rPr>
                  </w:pPr>
                </w:p>
              </w:tc>
              <w:tc>
                <w:tcPr>
                  <w:tcW w:w="556" w:type="pct"/>
                  <w:vMerge w:val="continue"/>
                  <w:shd w:val="clear" w:color="auto" w:fill="auto"/>
                  <w:vAlign w:val="center"/>
                </w:tcPr>
                <w:p w14:paraId="02BBDBB4">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val="en-US" w:eastAsia="zh-CN"/>
                    </w:rPr>
                  </w:pPr>
                </w:p>
              </w:tc>
              <w:tc>
                <w:tcPr>
                  <w:tcW w:w="2246" w:type="pct"/>
                  <w:shd w:val="clear" w:color="auto" w:fill="auto"/>
                  <w:vAlign w:val="center"/>
                </w:tcPr>
                <w:p w14:paraId="6116FA9C">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kern w:val="2"/>
                      <w:sz w:val="18"/>
                      <w:szCs w:val="18"/>
                      <w:lang w:val="en-US" w:eastAsia="zh-CN" w:bidi="ar-SA"/>
                    </w:rPr>
                    <w:t>新建项目的选址应符合城市总体规划，避开饮用水水源地和对环境有特殊要求的功能区；</w:t>
                  </w:r>
                </w:p>
              </w:tc>
              <w:tc>
                <w:tcPr>
                  <w:tcW w:w="1382" w:type="pct"/>
                  <w:vAlign w:val="center"/>
                </w:tcPr>
                <w:p w14:paraId="02F932A4">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color w:val="auto"/>
                      <w:sz w:val="18"/>
                      <w:szCs w:val="18"/>
                      <w:lang w:val="en-US" w:eastAsia="zh-CN"/>
                    </w:rPr>
                  </w:pPr>
                  <w:r>
                    <w:rPr>
                      <w:rFonts w:hint="eastAsia" w:cs="Times New Roman"/>
                      <w:color w:val="auto"/>
                      <w:kern w:val="2"/>
                      <w:sz w:val="18"/>
                      <w:szCs w:val="18"/>
                      <w:lang w:val="en-US" w:eastAsia="zh-CN" w:bidi="ar-SA"/>
                    </w:rPr>
                    <w:t>本项目租赁淮南舜岳水泥有限责任公司现有厂区闲置厂房，</w:t>
                  </w:r>
                  <w:r>
                    <w:rPr>
                      <w:rFonts w:hint="default" w:ascii="Times New Roman" w:hAnsi="Times New Roman" w:eastAsia="宋体" w:cs="Times New Roman"/>
                      <w:color w:val="auto"/>
                      <w:kern w:val="2"/>
                      <w:sz w:val="18"/>
                      <w:szCs w:val="18"/>
                      <w:lang w:val="en-US" w:eastAsia="zh-CN" w:bidi="ar-SA"/>
                    </w:rPr>
                    <w:t>选址符合城市总体规划，</w:t>
                  </w:r>
                  <w:r>
                    <w:rPr>
                      <w:rFonts w:hint="eastAsia" w:cs="Times New Roman"/>
                      <w:color w:val="auto"/>
                      <w:kern w:val="2"/>
                      <w:sz w:val="18"/>
                      <w:szCs w:val="18"/>
                      <w:lang w:val="en-US" w:eastAsia="zh-CN" w:bidi="ar-SA"/>
                    </w:rPr>
                    <w:t>用地范围内无</w:t>
                  </w:r>
                  <w:r>
                    <w:rPr>
                      <w:rFonts w:hint="default" w:ascii="Times New Roman" w:hAnsi="Times New Roman" w:eastAsia="宋体" w:cs="Times New Roman"/>
                      <w:color w:val="auto"/>
                      <w:kern w:val="2"/>
                      <w:sz w:val="18"/>
                      <w:szCs w:val="18"/>
                      <w:lang w:val="en-US" w:eastAsia="zh-CN" w:bidi="ar-SA"/>
                    </w:rPr>
                    <w:t>饮用水水源地和对环境有特殊要求的功能区</w:t>
                  </w:r>
                  <w:r>
                    <w:rPr>
                      <w:rFonts w:hint="eastAsia" w:cs="Times New Roman"/>
                      <w:color w:val="auto"/>
                      <w:kern w:val="2"/>
                      <w:sz w:val="18"/>
                      <w:szCs w:val="18"/>
                      <w:lang w:val="en-US" w:eastAsia="zh-CN" w:bidi="ar-SA"/>
                    </w:rPr>
                    <w:t>。</w:t>
                  </w:r>
                </w:p>
              </w:tc>
              <w:tc>
                <w:tcPr>
                  <w:tcW w:w="435" w:type="pct"/>
                  <w:vMerge w:val="continue"/>
                  <w:vAlign w:val="center"/>
                </w:tcPr>
                <w:p w14:paraId="14D65290">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r w14:paraId="6620E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7" w:hRule="atLeast"/>
              </w:trPr>
              <w:tc>
                <w:tcPr>
                  <w:tcW w:w="379" w:type="pct"/>
                  <w:vMerge w:val="continue"/>
                  <w:vAlign w:val="center"/>
                </w:tcPr>
                <w:p w14:paraId="415A04B1">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b/>
                      <w:bCs/>
                      <w:color w:val="auto"/>
                      <w:sz w:val="18"/>
                      <w:szCs w:val="18"/>
                      <w:lang w:eastAsia="zh-CN"/>
                    </w:rPr>
                  </w:pPr>
                </w:p>
              </w:tc>
              <w:tc>
                <w:tcPr>
                  <w:tcW w:w="556" w:type="pct"/>
                  <w:vMerge w:val="continue"/>
                  <w:shd w:val="clear" w:color="auto" w:fill="auto"/>
                  <w:vAlign w:val="center"/>
                </w:tcPr>
                <w:p w14:paraId="2889A6EA">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val="en-US" w:eastAsia="zh-CN"/>
                    </w:rPr>
                  </w:pPr>
                </w:p>
              </w:tc>
              <w:tc>
                <w:tcPr>
                  <w:tcW w:w="2246" w:type="pct"/>
                  <w:shd w:val="clear" w:color="auto" w:fill="auto"/>
                  <w:vAlign w:val="center"/>
                </w:tcPr>
                <w:p w14:paraId="0E6B5F23">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kern w:val="2"/>
                      <w:sz w:val="18"/>
                      <w:szCs w:val="18"/>
                      <w:lang w:val="en-US" w:eastAsia="zh-CN" w:bidi="ar-SA"/>
                    </w:rPr>
                    <w:t>在保护区附近新建排污口，应当保证保护区水体不受污染</w:t>
                  </w:r>
                </w:p>
              </w:tc>
              <w:tc>
                <w:tcPr>
                  <w:tcW w:w="1382" w:type="pct"/>
                  <w:vAlign w:val="center"/>
                </w:tcPr>
                <w:p w14:paraId="58D89BF0">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本项目不新建排污口。</w:t>
                  </w:r>
                </w:p>
              </w:tc>
              <w:tc>
                <w:tcPr>
                  <w:tcW w:w="435" w:type="pct"/>
                  <w:vMerge w:val="continue"/>
                  <w:vAlign w:val="center"/>
                </w:tcPr>
                <w:p w14:paraId="60B816A2">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r w14:paraId="6C106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7" w:hRule="atLeast"/>
              </w:trPr>
              <w:tc>
                <w:tcPr>
                  <w:tcW w:w="379" w:type="pct"/>
                  <w:vMerge w:val="continue"/>
                  <w:vAlign w:val="center"/>
                </w:tcPr>
                <w:p w14:paraId="3F93E185">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b/>
                      <w:bCs/>
                      <w:color w:val="auto"/>
                      <w:sz w:val="18"/>
                      <w:szCs w:val="18"/>
                      <w:lang w:eastAsia="zh-CN"/>
                    </w:rPr>
                  </w:pPr>
                </w:p>
              </w:tc>
              <w:tc>
                <w:tcPr>
                  <w:tcW w:w="556" w:type="pct"/>
                  <w:vMerge w:val="continue"/>
                  <w:shd w:val="clear" w:color="auto" w:fill="auto"/>
                  <w:vAlign w:val="center"/>
                </w:tcPr>
                <w:p w14:paraId="65056FF2">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val="en-US" w:eastAsia="zh-CN"/>
                    </w:rPr>
                  </w:pPr>
                </w:p>
              </w:tc>
              <w:tc>
                <w:tcPr>
                  <w:tcW w:w="2246" w:type="pct"/>
                  <w:shd w:val="clear" w:color="auto" w:fill="auto"/>
                  <w:vAlign w:val="center"/>
                </w:tcPr>
                <w:p w14:paraId="2BE09020">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kern w:val="2"/>
                      <w:sz w:val="18"/>
                      <w:szCs w:val="18"/>
                      <w:lang w:val="en-US" w:eastAsia="zh-CN" w:bidi="ar-SA"/>
                    </w:rPr>
                    <w:t>禁止在自然保护区内进行砍伐、放牧、狩猎、捕捞、采药、开垦、烧荒、开矿、采石、挖沙等活动；但是，法律、行政法规另有规定的除外。</w:t>
                  </w:r>
                </w:p>
              </w:tc>
              <w:tc>
                <w:tcPr>
                  <w:tcW w:w="1382" w:type="pct"/>
                  <w:vAlign w:val="center"/>
                </w:tcPr>
                <w:p w14:paraId="3CB29F65">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ascii="Times New Roman" w:hAnsi="Times New Roman" w:eastAsia="宋体" w:cs="Times New Roman"/>
                      <w:color w:val="auto"/>
                      <w:kern w:val="2"/>
                      <w:sz w:val="18"/>
                      <w:szCs w:val="18"/>
                      <w:lang w:val="en-US" w:eastAsia="zh-CN" w:bidi="ar-SA"/>
                    </w:rPr>
                  </w:pPr>
                  <w:r>
                    <w:rPr>
                      <w:rFonts w:hint="eastAsia" w:cs="Times New Roman"/>
                      <w:color w:val="auto"/>
                      <w:kern w:val="2"/>
                      <w:sz w:val="18"/>
                      <w:szCs w:val="18"/>
                      <w:lang w:val="en-US" w:eastAsia="zh-CN" w:bidi="ar-SA"/>
                    </w:rPr>
                    <w:t>本项目仅为煤炭洗选，不涉及</w:t>
                  </w:r>
                  <w:r>
                    <w:rPr>
                      <w:rFonts w:hint="default" w:ascii="Times New Roman" w:hAnsi="Times New Roman" w:eastAsia="宋体" w:cs="Times New Roman"/>
                      <w:color w:val="auto"/>
                      <w:kern w:val="2"/>
                      <w:sz w:val="18"/>
                      <w:szCs w:val="18"/>
                      <w:lang w:val="en-US" w:eastAsia="zh-CN" w:bidi="ar-SA"/>
                    </w:rPr>
                    <w:t>砍伐、放牧、狩猎、捕捞、采药、开垦、烧荒、开矿、采石、挖沙等活动</w:t>
                  </w:r>
                  <w:r>
                    <w:rPr>
                      <w:rFonts w:hint="eastAsia" w:cs="Times New Roman"/>
                      <w:color w:val="auto"/>
                      <w:kern w:val="2"/>
                      <w:sz w:val="18"/>
                      <w:szCs w:val="18"/>
                      <w:lang w:val="en-US" w:eastAsia="zh-CN" w:bidi="ar-SA"/>
                    </w:rPr>
                    <w:t>。</w:t>
                  </w:r>
                </w:p>
              </w:tc>
              <w:tc>
                <w:tcPr>
                  <w:tcW w:w="435" w:type="pct"/>
                  <w:vMerge w:val="continue"/>
                  <w:vAlign w:val="center"/>
                </w:tcPr>
                <w:p w14:paraId="56D5B33A">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r w14:paraId="58B6B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7" w:hRule="atLeast"/>
              </w:trPr>
              <w:tc>
                <w:tcPr>
                  <w:tcW w:w="379" w:type="pct"/>
                  <w:vMerge w:val="continue"/>
                  <w:vAlign w:val="center"/>
                </w:tcPr>
                <w:p w14:paraId="7CD3AA50">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b/>
                      <w:bCs/>
                      <w:color w:val="auto"/>
                      <w:sz w:val="18"/>
                      <w:szCs w:val="18"/>
                      <w:lang w:eastAsia="zh-CN"/>
                    </w:rPr>
                  </w:pPr>
                </w:p>
              </w:tc>
              <w:tc>
                <w:tcPr>
                  <w:tcW w:w="556" w:type="pct"/>
                  <w:vMerge w:val="continue"/>
                  <w:shd w:val="clear" w:color="auto" w:fill="auto"/>
                  <w:vAlign w:val="center"/>
                </w:tcPr>
                <w:p w14:paraId="2D36A57C">
                  <w:pPr>
                    <w:keepNext w:val="0"/>
                    <w:keepLines w:val="0"/>
                    <w:pageBreakBefore w:val="0"/>
                    <w:widowControl w:val="0"/>
                    <w:tabs>
                      <w:tab w:val="left" w:pos="1830"/>
                    </w:tabs>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val="en-US" w:eastAsia="zh-CN"/>
                    </w:rPr>
                  </w:pPr>
                </w:p>
              </w:tc>
              <w:tc>
                <w:tcPr>
                  <w:tcW w:w="2246" w:type="pct"/>
                  <w:shd w:val="clear" w:color="auto" w:fill="auto"/>
                  <w:vAlign w:val="center"/>
                </w:tcPr>
                <w:p w14:paraId="53B1257B">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kern w:val="2"/>
                      <w:sz w:val="18"/>
                      <w:szCs w:val="18"/>
                      <w:lang w:val="en-US" w:eastAsia="zh-CN" w:bidi="ar-SA"/>
                    </w:rPr>
                    <w:t>禁止在自然保护区及其外围保护地带建立污染、破坏或者危害自然保护区自然环境和自然资源的设施。在自然保护区的外围保护地带建设的项目，不得损害自然保护区内的环境质量；已造成损害的，应当限期治理。</w:t>
                  </w:r>
                </w:p>
              </w:tc>
              <w:tc>
                <w:tcPr>
                  <w:tcW w:w="1382" w:type="pct"/>
                  <w:vAlign w:val="center"/>
                </w:tcPr>
                <w:p w14:paraId="170B5AAE">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eastAsia" w:ascii="Times New Roman" w:hAnsi="Times New Roman" w:eastAsia="宋体" w:cs="Times New Roman"/>
                      <w:color w:val="auto"/>
                      <w:kern w:val="2"/>
                      <w:sz w:val="18"/>
                      <w:szCs w:val="18"/>
                      <w:lang w:val="en-US" w:eastAsia="zh-CN" w:bidi="ar-SA"/>
                    </w:rPr>
                  </w:pPr>
                  <w:r>
                    <w:rPr>
                      <w:rFonts w:hint="eastAsia" w:ascii="Times New Roman" w:hAnsi="Times New Roman" w:eastAsia="宋体" w:cs="Times New Roman"/>
                      <w:color w:val="auto"/>
                      <w:kern w:val="2"/>
                      <w:sz w:val="18"/>
                      <w:szCs w:val="18"/>
                      <w:lang w:val="en-US" w:eastAsia="zh-CN" w:bidi="ar-SA"/>
                    </w:rPr>
                    <w:t>本项目为新建项目，租赁淮南舜岳水泥有限责任公司现有厂区</w:t>
                  </w:r>
                  <w:r>
                    <w:rPr>
                      <w:rFonts w:hint="eastAsia" w:cs="Times New Roman"/>
                      <w:color w:val="auto"/>
                      <w:kern w:val="2"/>
                      <w:sz w:val="18"/>
                      <w:szCs w:val="18"/>
                      <w:lang w:val="en-US" w:eastAsia="zh-CN" w:bidi="ar-SA"/>
                    </w:rPr>
                    <w:t>闲置厂房</w:t>
                  </w:r>
                  <w:r>
                    <w:rPr>
                      <w:rFonts w:hint="eastAsia" w:ascii="Times New Roman" w:hAnsi="Times New Roman" w:eastAsia="宋体" w:cs="Times New Roman"/>
                      <w:color w:val="auto"/>
                      <w:kern w:val="2"/>
                      <w:sz w:val="18"/>
                      <w:szCs w:val="18"/>
                      <w:lang w:val="en-US" w:eastAsia="zh-CN" w:bidi="ar-SA"/>
                    </w:rPr>
                    <w:t>，项目位于八公山风景名胜区场界外、外围保护线内，项目</w:t>
                  </w:r>
                  <w:r>
                    <w:rPr>
                      <w:rFonts w:hint="default" w:ascii="Times New Roman" w:hAnsi="Times New Roman" w:eastAsia="宋体" w:cs="Times New Roman"/>
                      <w:color w:val="auto"/>
                      <w:kern w:val="2"/>
                      <w:sz w:val="18"/>
                      <w:szCs w:val="18"/>
                      <w:lang w:val="en-US" w:eastAsia="zh-CN" w:bidi="ar-SA"/>
                    </w:rPr>
                    <w:t>运营过程中产生的污染物经环保措施处理后可达标排放，对周围环境造成的影响较小，</w:t>
                  </w:r>
                  <w:r>
                    <w:rPr>
                      <w:rFonts w:hint="eastAsia" w:ascii="Times New Roman" w:hAnsi="Times New Roman" w:eastAsia="宋体" w:cs="Times New Roman"/>
                      <w:color w:val="auto"/>
                      <w:kern w:val="2"/>
                      <w:sz w:val="18"/>
                      <w:szCs w:val="18"/>
                      <w:lang w:val="en-US" w:eastAsia="zh-CN" w:bidi="ar-SA"/>
                    </w:rPr>
                    <w:t>不会出现</w:t>
                  </w:r>
                  <w:r>
                    <w:rPr>
                      <w:rFonts w:hint="default" w:ascii="Times New Roman" w:hAnsi="Times New Roman" w:eastAsia="宋体" w:cs="Times New Roman"/>
                      <w:color w:val="auto"/>
                      <w:kern w:val="2"/>
                      <w:sz w:val="18"/>
                      <w:szCs w:val="18"/>
                      <w:lang w:val="en-US" w:eastAsia="zh-CN" w:bidi="ar-SA"/>
                    </w:rPr>
                    <w:t>污染、破坏或者危害自然保护区自然环境和自然资源</w:t>
                  </w:r>
                  <w:r>
                    <w:rPr>
                      <w:rFonts w:hint="eastAsia" w:ascii="Times New Roman" w:hAnsi="Times New Roman" w:eastAsia="宋体" w:cs="Times New Roman"/>
                      <w:color w:val="auto"/>
                      <w:kern w:val="2"/>
                      <w:sz w:val="18"/>
                      <w:szCs w:val="18"/>
                      <w:lang w:val="en-US" w:eastAsia="zh-CN" w:bidi="ar-SA"/>
                    </w:rPr>
                    <w:t>的现象。</w:t>
                  </w:r>
                </w:p>
              </w:tc>
              <w:tc>
                <w:tcPr>
                  <w:tcW w:w="435" w:type="pct"/>
                  <w:vMerge w:val="continue"/>
                  <w:vAlign w:val="center"/>
                </w:tcPr>
                <w:p w14:paraId="3E88433C">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r w14:paraId="46993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7" w:hRule="atLeast"/>
              </w:trPr>
              <w:tc>
                <w:tcPr>
                  <w:tcW w:w="379" w:type="pct"/>
                  <w:vMerge w:val="continue"/>
                  <w:vAlign w:val="center"/>
                </w:tcPr>
                <w:p w14:paraId="6C72BE09">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eastAsia="zh-CN"/>
                    </w:rPr>
                  </w:pPr>
                </w:p>
              </w:tc>
              <w:tc>
                <w:tcPr>
                  <w:tcW w:w="556" w:type="pct"/>
                  <w:shd w:val="clear" w:color="auto" w:fill="auto"/>
                  <w:vAlign w:val="center"/>
                </w:tcPr>
                <w:p w14:paraId="0EC5844B">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kern w:val="2"/>
                      <w:sz w:val="18"/>
                      <w:szCs w:val="18"/>
                      <w:lang w:val="zh-CN" w:eastAsia="zh-CN" w:bidi="ar-SA"/>
                    </w:rPr>
                  </w:pPr>
                  <w:r>
                    <w:rPr>
                      <w:rFonts w:hint="default" w:ascii="Times New Roman" w:hAnsi="Times New Roman" w:eastAsia="宋体" w:cs="Times New Roman"/>
                      <w:b/>
                      <w:bCs/>
                      <w:color w:val="auto"/>
                      <w:sz w:val="18"/>
                      <w:szCs w:val="18"/>
                      <w:lang w:eastAsia="zh-CN"/>
                    </w:rPr>
                    <w:t>污染物排放管控</w:t>
                  </w:r>
                </w:p>
              </w:tc>
              <w:tc>
                <w:tcPr>
                  <w:tcW w:w="2246" w:type="pct"/>
                  <w:shd w:val="clear" w:color="auto" w:fill="auto"/>
                  <w:vAlign w:val="center"/>
                </w:tcPr>
                <w:p w14:paraId="3FB8A6BD">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cs="Times New Roman"/>
                      <w:color w:val="auto"/>
                      <w:kern w:val="0"/>
                      <w:sz w:val="18"/>
                      <w:szCs w:val="18"/>
                      <w:lang w:val="en-US" w:eastAsia="zh-CN" w:bidi="ar"/>
                    </w:rPr>
                  </w:pPr>
                  <w:r>
                    <w:rPr>
                      <w:rFonts w:hint="eastAsia" w:cs="Times New Roman"/>
                      <w:color w:val="auto"/>
                      <w:kern w:val="0"/>
                      <w:sz w:val="18"/>
                      <w:szCs w:val="18"/>
                      <w:lang w:val="en-US" w:eastAsia="zh-CN" w:bidi="ar"/>
                    </w:rPr>
                    <w:t>/</w:t>
                  </w:r>
                </w:p>
              </w:tc>
              <w:tc>
                <w:tcPr>
                  <w:tcW w:w="1382" w:type="pct"/>
                  <w:vAlign w:val="center"/>
                </w:tcPr>
                <w:p w14:paraId="511030C5">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color w:val="auto"/>
                      <w:sz w:val="18"/>
                      <w:szCs w:val="18"/>
                      <w:lang w:val="en-US" w:eastAsia="zh-CN"/>
                    </w:rPr>
                  </w:pPr>
                  <w:r>
                    <w:rPr>
                      <w:rFonts w:hint="eastAsia" w:cs="Times New Roman"/>
                      <w:color w:val="auto"/>
                      <w:sz w:val="18"/>
                      <w:szCs w:val="18"/>
                      <w:lang w:eastAsia="zh-CN"/>
                    </w:rPr>
                    <w:t>/</w:t>
                  </w:r>
                </w:p>
              </w:tc>
              <w:tc>
                <w:tcPr>
                  <w:tcW w:w="435" w:type="pct"/>
                  <w:vMerge w:val="continue"/>
                  <w:vAlign w:val="center"/>
                </w:tcPr>
                <w:p w14:paraId="1739F879">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r w14:paraId="764BD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1" w:hRule="atLeast"/>
              </w:trPr>
              <w:tc>
                <w:tcPr>
                  <w:tcW w:w="379" w:type="pct"/>
                  <w:vMerge w:val="continue"/>
                  <w:vAlign w:val="center"/>
                </w:tcPr>
                <w:p w14:paraId="44009191">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eastAsia="zh-CN"/>
                    </w:rPr>
                  </w:pPr>
                </w:p>
              </w:tc>
              <w:tc>
                <w:tcPr>
                  <w:tcW w:w="556" w:type="pct"/>
                  <w:shd w:val="clear" w:color="auto" w:fill="auto"/>
                  <w:vAlign w:val="center"/>
                </w:tcPr>
                <w:p w14:paraId="01405DE3">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kern w:val="2"/>
                      <w:sz w:val="18"/>
                      <w:szCs w:val="18"/>
                      <w:lang w:val="zh-CN" w:eastAsia="zh-CN" w:bidi="ar-SA"/>
                    </w:rPr>
                  </w:pPr>
                  <w:r>
                    <w:rPr>
                      <w:rFonts w:hint="eastAsia" w:cs="Times New Roman"/>
                      <w:b/>
                      <w:bCs/>
                      <w:color w:val="auto"/>
                      <w:sz w:val="18"/>
                      <w:szCs w:val="18"/>
                      <w:lang w:eastAsia="zh-CN"/>
                    </w:rPr>
                    <w:t>环境风险防控</w:t>
                  </w:r>
                </w:p>
              </w:tc>
              <w:tc>
                <w:tcPr>
                  <w:tcW w:w="2246" w:type="pct"/>
                  <w:shd w:val="clear" w:color="auto" w:fill="auto"/>
                  <w:vAlign w:val="center"/>
                </w:tcPr>
                <w:p w14:paraId="16D16482">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cs="Times New Roman"/>
                      <w:color w:val="auto"/>
                      <w:kern w:val="0"/>
                      <w:sz w:val="18"/>
                      <w:szCs w:val="18"/>
                      <w:lang w:val="en-US" w:eastAsia="zh-CN" w:bidi="ar"/>
                    </w:rPr>
                  </w:pPr>
                  <w:r>
                    <w:rPr>
                      <w:rFonts w:hint="eastAsia" w:cs="Times New Roman"/>
                      <w:color w:val="auto"/>
                      <w:kern w:val="0"/>
                      <w:sz w:val="18"/>
                      <w:szCs w:val="18"/>
                      <w:lang w:val="en-US" w:eastAsia="zh-CN" w:bidi="ar"/>
                    </w:rPr>
                    <w:t>/</w:t>
                  </w:r>
                </w:p>
              </w:tc>
              <w:tc>
                <w:tcPr>
                  <w:tcW w:w="1382" w:type="pct"/>
                  <w:vAlign w:val="center"/>
                </w:tcPr>
                <w:p w14:paraId="1EB79DFF">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color w:val="auto"/>
                      <w:sz w:val="18"/>
                      <w:szCs w:val="18"/>
                      <w:lang w:val="en-US" w:eastAsia="zh-CN"/>
                    </w:rPr>
                  </w:pPr>
                  <w:r>
                    <w:rPr>
                      <w:rFonts w:hint="eastAsia" w:cs="Times New Roman"/>
                      <w:color w:val="auto"/>
                      <w:sz w:val="18"/>
                      <w:szCs w:val="18"/>
                      <w:lang w:val="en-US" w:eastAsia="zh-CN"/>
                    </w:rPr>
                    <w:t>/</w:t>
                  </w:r>
                </w:p>
              </w:tc>
              <w:tc>
                <w:tcPr>
                  <w:tcW w:w="435" w:type="pct"/>
                  <w:vMerge w:val="continue"/>
                  <w:vAlign w:val="center"/>
                </w:tcPr>
                <w:p w14:paraId="4FC8CD32">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r w14:paraId="07458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5" w:hRule="atLeast"/>
              </w:trPr>
              <w:tc>
                <w:tcPr>
                  <w:tcW w:w="379" w:type="pct"/>
                  <w:vMerge w:val="continue"/>
                  <w:vAlign w:val="center"/>
                </w:tcPr>
                <w:p w14:paraId="67033F82">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18"/>
                      <w:szCs w:val="18"/>
                      <w:lang w:eastAsia="zh-CN"/>
                    </w:rPr>
                  </w:pPr>
                </w:p>
              </w:tc>
              <w:tc>
                <w:tcPr>
                  <w:tcW w:w="556" w:type="pct"/>
                  <w:shd w:val="clear" w:color="auto" w:fill="auto"/>
                  <w:vAlign w:val="center"/>
                </w:tcPr>
                <w:p w14:paraId="73887C3F">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kern w:val="2"/>
                      <w:sz w:val="18"/>
                      <w:szCs w:val="18"/>
                      <w:lang w:val="zh-CN" w:eastAsia="zh-CN" w:bidi="ar-SA"/>
                    </w:rPr>
                  </w:pPr>
                  <w:r>
                    <w:rPr>
                      <w:rFonts w:hint="default" w:ascii="Times New Roman" w:hAnsi="Times New Roman" w:eastAsia="宋体" w:cs="Times New Roman"/>
                      <w:b/>
                      <w:bCs/>
                      <w:color w:val="auto"/>
                      <w:sz w:val="18"/>
                      <w:szCs w:val="18"/>
                      <w:lang w:eastAsia="zh-CN"/>
                    </w:rPr>
                    <w:t>资源开发效率要求</w:t>
                  </w:r>
                </w:p>
              </w:tc>
              <w:tc>
                <w:tcPr>
                  <w:tcW w:w="2246" w:type="pct"/>
                  <w:shd w:val="clear" w:color="auto" w:fill="auto"/>
                  <w:vAlign w:val="center"/>
                </w:tcPr>
                <w:p w14:paraId="0AB6E2B1">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cs="Times New Roman"/>
                      <w:color w:val="auto"/>
                      <w:kern w:val="0"/>
                      <w:sz w:val="18"/>
                      <w:szCs w:val="18"/>
                      <w:lang w:val="en-US" w:eastAsia="zh-CN" w:bidi="ar"/>
                    </w:rPr>
                  </w:pPr>
                  <w:r>
                    <w:rPr>
                      <w:rFonts w:hint="eastAsia" w:cs="Times New Roman"/>
                      <w:color w:val="auto"/>
                      <w:kern w:val="0"/>
                      <w:sz w:val="18"/>
                      <w:szCs w:val="18"/>
                      <w:lang w:val="en-US" w:eastAsia="zh-CN" w:bidi="ar"/>
                    </w:rPr>
                    <w:t>/</w:t>
                  </w:r>
                </w:p>
              </w:tc>
              <w:tc>
                <w:tcPr>
                  <w:tcW w:w="1382" w:type="pct"/>
                  <w:vAlign w:val="center"/>
                </w:tcPr>
                <w:p w14:paraId="2394E58D">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cs="Times New Roman"/>
                      <w:color w:val="auto"/>
                      <w:sz w:val="18"/>
                      <w:szCs w:val="18"/>
                      <w:lang w:val="en-US" w:eastAsia="zh-CN"/>
                    </w:rPr>
                  </w:pPr>
                  <w:r>
                    <w:rPr>
                      <w:rFonts w:hint="eastAsia" w:cs="Times New Roman"/>
                      <w:color w:val="auto"/>
                      <w:sz w:val="18"/>
                      <w:szCs w:val="18"/>
                      <w:lang w:val="en-US" w:eastAsia="zh-CN"/>
                    </w:rPr>
                    <w:t>/</w:t>
                  </w:r>
                </w:p>
              </w:tc>
              <w:tc>
                <w:tcPr>
                  <w:tcW w:w="435" w:type="pct"/>
                  <w:vMerge w:val="continue"/>
                  <w:vAlign w:val="center"/>
                </w:tcPr>
                <w:p w14:paraId="2EF61EBC">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r>
          </w:tbl>
          <w:p w14:paraId="574B8A80">
            <w:pPr>
              <w:pStyle w:val="70"/>
              <w:shd w:val="clear" w:color="auto" w:fill="auto"/>
              <w:spacing w:before="120" w:beforeLines="50" w:after="0" w:line="360" w:lineRule="auto"/>
              <w:ind w:firstLine="480" w:firstLineChars="200"/>
              <w:rPr>
                <w:rFonts w:ascii="Times New Roman" w:cs="Times New Roman"/>
                <w:color w:val="auto"/>
                <w:highlight w:val="none"/>
              </w:rPr>
            </w:pPr>
            <w:r>
              <w:rPr>
                <w:rFonts w:ascii="Times New Roman" w:cs="Times New Roman"/>
                <w:color w:val="auto"/>
              </w:rPr>
              <w:t>综上所述，</w:t>
            </w:r>
            <w:r>
              <w:rPr>
                <w:rFonts w:ascii="Times New Roman" w:cs="Times New Roman"/>
                <w:color w:val="auto"/>
                <w:highlight w:val="none"/>
              </w:rPr>
              <w:t>本项目符合</w:t>
            </w:r>
            <w:r>
              <w:rPr>
                <w:color w:val="auto"/>
              </w:rPr>
              <w:t>淮南市</w:t>
            </w:r>
            <w:r>
              <w:rPr>
                <w:rFonts w:hint="eastAsia"/>
                <w:color w:val="auto"/>
                <w:lang w:eastAsia="zh-CN"/>
              </w:rPr>
              <w:t>“</w:t>
            </w:r>
            <w:r>
              <w:rPr>
                <w:color w:val="auto"/>
              </w:rPr>
              <w:t>三线一单</w:t>
            </w:r>
            <w:r>
              <w:rPr>
                <w:rFonts w:hint="eastAsia"/>
                <w:color w:val="auto"/>
                <w:lang w:eastAsia="zh-CN"/>
              </w:rPr>
              <w:t>”</w:t>
            </w:r>
            <w:r>
              <w:rPr>
                <w:color w:val="auto"/>
              </w:rPr>
              <w:t>生态管控单元</w:t>
            </w:r>
            <w:r>
              <w:rPr>
                <w:rFonts w:hint="eastAsia" w:ascii="Times New Roman" w:cs="Times New Roman"/>
                <w:color w:val="auto"/>
                <w:highlight w:val="none"/>
                <w:lang w:eastAsia="zh-CN"/>
              </w:rPr>
              <w:t>的相关</w:t>
            </w:r>
            <w:r>
              <w:rPr>
                <w:rFonts w:ascii="Times New Roman" w:cs="Times New Roman"/>
                <w:color w:val="auto"/>
                <w:highlight w:val="none"/>
              </w:rPr>
              <w:t>管理要求。</w:t>
            </w:r>
          </w:p>
          <w:p w14:paraId="10A9A886">
            <w:pPr>
              <w:pStyle w:val="598"/>
              <w:framePr w:hSpace="0" w:wrap="auto" w:vAnchor="margin" w:hAnchor="text" w:xAlign="left" w:yAlign="inline"/>
              <w:rPr>
                <w:color w:val="auto"/>
                <w:highlight w:val="none"/>
              </w:rPr>
            </w:pPr>
            <w:r>
              <w:rPr>
                <w:color w:val="auto"/>
                <w:highlight w:val="none"/>
              </w:rPr>
              <w:t>1.</w:t>
            </w:r>
            <w:r>
              <w:rPr>
                <w:rFonts w:hint="eastAsia"/>
                <w:color w:val="auto"/>
                <w:highlight w:val="none"/>
                <w:lang w:val="en-US" w:eastAsia="zh-CN"/>
              </w:rPr>
              <w:t>7</w:t>
            </w:r>
            <w:r>
              <w:rPr>
                <w:bCs/>
                <w:color w:val="auto"/>
                <w:highlight w:val="none"/>
              </w:rPr>
              <w:t>与地方及行业环保管理要求的相符性分析</w:t>
            </w:r>
          </w:p>
          <w:p w14:paraId="34AE061C">
            <w:pPr>
              <w:pStyle w:val="669"/>
              <w:rPr>
                <w:color w:val="auto"/>
                <w:highlight w:val="none"/>
              </w:rPr>
            </w:pPr>
            <w:r>
              <w:rPr>
                <w:rFonts w:hint="eastAsia"/>
                <w:b/>
                <w:bCs/>
                <w:color w:val="auto"/>
                <w:highlight w:val="none"/>
                <w:lang w:val="en-US" w:eastAsia="zh-CN"/>
              </w:rPr>
              <w:t>1</w:t>
            </w:r>
            <w:r>
              <w:rPr>
                <w:rFonts w:hint="eastAsia"/>
                <w:b/>
                <w:bCs/>
                <w:color w:val="auto"/>
                <w:highlight w:val="none"/>
              </w:rPr>
              <w:t>、与《安徽省淮河流域水污染防治条例》的相符性分析</w:t>
            </w:r>
          </w:p>
          <w:p w14:paraId="5540E688">
            <w:pPr>
              <w:pStyle w:val="181"/>
              <w:wordWrap/>
              <w:ind w:firstLine="480"/>
              <w:rPr>
                <w:color w:val="auto"/>
                <w:highlight w:val="none"/>
              </w:rPr>
            </w:pPr>
            <w:r>
              <w:rPr>
                <w:color w:val="auto"/>
                <w:highlight w:val="none"/>
              </w:rPr>
              <w:t>本项目距离淮河最近距离约</w:t>
            </w:r>
            <w:r>
              <w:rPr>
                <w:rFonts w:hint="eastAsia"/>
                <w:color w:val="auto"/>
                <w:highlight w:val="none"/>
                <w:lang w:val="en-US" w:eastAsia="zh-CN"/>
              </w:rPr>
              <w:t>5.3</w:t>
            </w:r>
            <w:r>
              <w:rPr>
                <w:color w:val="auto"/>
                <w:highlight w:val="none"/>
              </w:rPr>
              <w:t>km，对照《安徽省淮河流域水污染防治条例》（安徽省第十三届人民代表大会常务委员会第六次会议修订，2019.1.1），项目符合性分析见下表：</w:t>
            </w:r>
          </w:p>
          <w:p w14:paraId="1CB35098">
            <w:pPr>
              <w:pStyle w:val="181"/>
              <w:wordWrap/>
              <w:ind w:firstLine="480"/>
              <w:rPr>
                <w:color w:val="auto"/>
                <w:highlight w:val="none"/>
              </w:rPr>
            </w:pPr>
          </w:p>
          <w:p w14:paraId="49C15A10">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1</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6</w:t>
            </w:r>
            <w:r>
              <w:rPr>
                <w:color w:val="auto"/>
              </w:rPr>
              <w:fldChar w:fldCharType="end"/>
            </w:r>
            <w:r>
              <w:rPr>
                <w:color w:val="auto"/>
                <w:highlight w:val="none"/>
              </w:rPr>
              <w:t xml:space="preserve"> 与《安徽省淮河流域水污染防治条例》</w:t>
            </w:r>
            <w:r>
              <w:rPr>
                <w:rFonts w:hint="eastAsia"/>
                <w:color w:val="auto"/>
                <w:highlight w:val="none"/>
              </w:rPr>
              <w:t>的</w:t>
            </w:r>
            <w:r>
              <w:rPr>
                <w:color w:val="auto"/>
                <w:highlight w:val="none"/>
              </w:rPr>
              <w:t>相符性分析</w:t>
            </w:r>
          </w:p>
          <w:tbl>
            <w:tblPr>
              <w:tblStyle w:val="53"/>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28" w:type="dxa"/>
              </w:tblCellMar>
            </w:tblPr>
            <w:tblGrid>
              <w:gridCol w:w="428"/>
              <w:gridCol w:w="286"/>
              <w:gridCol w:w="4115"/>
              <w:gridCol w:w="2745"/>
              <w:gridCol w:w="748"/>
            </w:tblGrid>
            <w:tr w14:paraId="109C69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0" w:hRule="atLeast"/>
                <w:jc w:val="center"/>
              </w:trPr>
              <w:tc>
                <w:tcPr>
                  <w:tcW w:w="428" w:type="dxa"/>
                  <w:vAlign w:val="center"/>
                </w:tcPr>
                <w:p w14:paraId="664F74EA">
                  <w:pPr>
                    <w:widowControl/>
                    <w:spacing w:after="0"/>
                    <w:jc w:val="center"/>
                    <w:rPr>
                      <w:color w:val="auto"/>
                      <w:sz w:val="18"/>
                      <w:szCs w:val="18"/>
                      <w:highlight w:val="none"/>
                    </w:rPr>
                  </w:pPr>
                  <w:r>
                    <w:rPr>
                      <w:color w:val="auto"/>
                      <w:sz w:val="18"/>
                      <w:szCs w:val="18"/>
                      <w:highlight w:val="none"/>
                    </w:rPr>
                    <w:t>序号</w:t>
                  </w:r>
                </w:p>
              </w:tc>
              <w:tc>
                <w:tcPr>
                  <w:tcW w:w="286" w:type="dxa"/>
                  <w:vAlign w:val="center"/>
                </w:tcPr>
                <w:p w14:paraId="35B49C6F">
                  <w:pPr>
                    <w:widowControl/>
                    <w:spacing w:after="0"/>
                    <w:jc w:val="center"/>
                    <w:rPr>
                      <w:color w:val="auto"/>
                      <w:sz w:val="18"/>
                      <w:szCs w:val="18"/>
                      <w:highlight w:val="none"/>
                    </w:rPr>
                  </w:pPr>
                  <w:r>
                    <w:rPr>
                      <w:color w:val="auto"/>
                      <w:sz w:val="18"/>
                      <w:szCs w:val="18"/>
                      <w:highlight w:val="none"/>
                    </w:rPr>
                    <w:t>条款</w:t>
                  </w:r>
                </w:p>
              </w:tc>
              <w:tc>
                <w:tcPr>
                  <w:tcW w:w="4115" w:type="dxa"/>
                  <w:vAlign w:val="center"/>
                </w:tcPr>
                <w:p w14:paraId="42F3DF74">
                  <w:pPr>
                    <w:widowControl/>
                    <w:spacing w:after="0"/>
                    <w:jc w:val="center"/>
                    <w:rPr>
                      <w:color w:val="auto"/>
                      <w:sz w:val="18"/>
                      <w:szCs w:val="18"/>
                      <w:highlight w:val="none"/>
                    </w:rPr>
                  </w:pPr>
                  <w:r>
                    <w:rPr>
                      <w:color w:val="auto"/>
                      <w:sz w:val="18"/>
                      <w:szCs w:val="18"/>
                      <w:highlight w:val="none"/>
                    </w:rPr>
                    <w:t>条例内容</w:t>
                  </w:r>
                </w:p>
              </w:tc>
              <w:tc>
                <w:tcPr>
                  <w:tcW w:w="2745" w:type="dxa"/>
                  <w:vAlign w:val="center"/>
                </w:tcPr>
                <w:p w14:paraId="0441A15A">
                  <w:pPr>
                    <w:widowControl/>
                    <w:spacing w:after="0"/>
                    <w:jc w:val="center"/>
                    <w:rPr>
                      <w:color w:val="auto"/>
                      <w:sz w:val="18"/>
                      <w:szCs w:val="18"/>
                      <w:highlight w:val="none"/>
                    </w:rPr>
                  </w:pPr>
                  <w:r>
                    <w:rPr>
                      <w:rFonts w:hint="eastAsia"/>
                      <w:color w:val="auto"/>
                      <w:sz w:val="18"/>
                      <w:szCs w:val="18"/>
                      <w:highlight w:val="none"/>
                    </w:rPr>
                    <w:t>本</w:t>
                  </w:r>
                  <w:r>
                    <w:rPr>
                      <w:color w:val="auto"/>
                      <w:sz w:val="18"/>
                      <w:szCs w:val="18"/>
                      <w:highlight w:val="none"/>
                    </w:rPr>
                    <w:t>项目建设情况</w:t>
                  </w:r>
                </w:p>
              </w:tc>
              <w:tc>
                <w:tcPr>
                  <w:tcW w:w="748" w:type="dxa"/>
                  <w:vAlign w:val="center"/>
                </w:tcPr>
                <w:p w14:paraId="681AD93F">
                  <w:pPr>
                    <w:widowControl/>
                    <w:spacing w:after="0"/>
                    <w:jc w:val="center"/>
                    <w:rPr>
                      <w:color w:val="auto"/>
                      <w:sz w:val="18"/>
                      <w:szCs w:val="18"/>
                      <w:highlight w:val="none"/>
                    </w:rPr>
                  </w:pPr>
                  <w:r>
                    <w:rPr>
                      <w:rFonts w:hint="eastAsia"/>
                      <w:color w:val="auto"/>
                      <w:sz w:val="18"/>
                      <w:szCs w:val="18"/>
                      <w:highlight w:val="none"/>
                    </w:rPr>
                    <w:t>相符性</w:t>
                  </w:r>
                </w:p>
              </w:tc>
            </w:tr>
            <w:tr w14:paraId="5984EB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0" w:hRule="atLeast"/>
                <w:jc w:val="center"/>
              </w:trPr>
              <w:tc>
                <w:tcPr>
                  <w:tcW w:w="428" w:type="dxa"/>
                  <w:vAlign w:val="center"/>
                </w:tcPr>
                <w:p w14:paraId="7FA4011C">
                  <w:pPr>
                    <w:widowControl/>
                    <w:spacing w:after="0"/>
                    <w:jc w:val="center"/>
                    <w:rPr>
                      <w:color w:val="auto"/>
                      <w:sz w:val="18"/>
                      <w:szCs w:val="18"/>
                      <w:highlight w:val="none"/>
                    </w:rPr>
                  </w:pPr>
                  <w:r>
                    <w:rPr>
                      <w:rFonts w:hint="eastAsia"/>
                      <w:color w:val="auto"/>
                      <w:sz w:val="18"/>
                      <w:szCs w:val="18"/>
                      <w:highlight w:val="none"/>
                    </w:rPr>
                    <w:t>1</w:t>
                  </w:r>
                </w:p>
              </w:tc>
              <w:tc>
                <w:tcPr>
                  <w:tcW w:w="286" w:type="dxa"/>
                  <w:vAlign w:val="center"/>
                </w:tcPr>
                <w:p w14:paraId="5B114F2D">
                  <w:pPr>
                    <w:widowControl/>
                    <w:spacing w:after="0"/>
                    <w:jc w:val="center"/>
                    <w:rPr>
                      <w:color w:val="auto"/>
                      <w:sz w:val="18"/>
                      <w:szCs w:val="18"/>
                      <w:highlight w:val="none"/>
                    </w:rPr>
                  </w:pPr>
                  <w:r>
                    <w:rPr>
                      <w:color w:val="auto"/>
                      <w:sz w:val="18"/>
                      <w:szCs w:val="18"/>
                      <w:highlight w:val="none"/>
                    </w:rPr>
                    <w:t>第十三条</w:t>
                  </w:r>
                </w:p>
              </w:tc>
              <w:tc>
                <w:tcPr>
                  <w:tcW w:w="4115" w:type="dxa"/>
                  <w:vAlign w:val="center"/>
                </w:tcPr>
                <w:p w14:paraId="5C19F0FD">
                  <w:pPr>
                    <w:widowControl/>
                    <w:spacing w:after="0"/>
                    <w:rPr>
                      <w:color w:val="auto"/>
                      <w:sz w:val="18"/>
                      <w:szCs w:val="18"/>
                      <w:highlight w:val="none"/>
                    </w:rPr>
                  </w:pPr>
                  <w:r>
                    <w:rPr>
                      <w:color w:val="auto"/>
                      <w:sz w:val="18"/>
                      <w:szCs w:val="18"/>
                      <w:highlight w:val="none"/>
                    </w:rPr>
                    <w:t>严格限制在淮河流域新建印染、制革、化工、电镀、酿造等大中型项目或者其他污染严重的项目；建设该类项目的，应当事前征得省人民政府生态环境行政主管部门的同意，并按照规定办理有关手续</w:t>
                  </w:r>
                  <w:r>
                    <w:rPr>
                      <w:rFonts w:hint="eastAsia"/>
                      <w:color w:val="auto"/>
                      <w:sz w:val="18"/>
                      <w:szCs w:val="18"/>
                      <w:highlight w:val="none"/>
                    </w:rPr>
                    <w:t>。</w:t>
                  </w:r>
                </w:p>
              </w:tc>
              <w:tc>
                <w:tcPr>
                  <w:tcW w:w="2745" w:type="dxa"/>
                  <w:vAlign w:val="center"/>
                </w:tcPr>
                <w:p w14:paraId="4E1D0C70">
                  <w:pPr>
                    <w:widowControl/>
                    <w:spacing w:after="0"/>
                    <w:rPr>
                      <w:color w:val="auto"/>
                      <w:sz w:val="18"/>
                      <w:szCs w:val="18"/>
                      <w:highlight w:val="none"/>
                    </w:rPr>
                  </w:pPr>
                  <w:r>
                    <w:rPr>
                      <w:color w:val="auto"/>
                      <w:sz w:val="18"/>
                      <w:szCs w:val="18"/>
                      <w:highlight w:val="none"/>
                    </w:rPr>
                    <w:t>本项目属于</w:t>
                  </w:r>
                  <w:r>
                    <w:rPr>
                      <w:rFonts w:hint="eastAsia"/>
                      <w:color w:val="auto"/>
                      <w:sz w:val="18"/>
                      <w:szCs w:val="18"/>
                      <w:highlight w:val="none"/>
                      <w:lang w:eastAsia="zh-CN"/>
                    </w:rPr>
                    <w:t>煤炭洗选行业</w:t>
                  </w:r>
                  <w:r>
                    <w:rPr>
                      <w:snapToGrid w:val="0"/>
                      <w:color w:val="auto"/>
                      <w:sz w:val="18"/>
                      <w:szCs w:val="18"/>
                      <w:highlight w:val="none"/>
                    </w:rPr>
                    <w:t>，不属于</w:t>
                  </w:r>
                  <w:r>
                    <w:rPr>
                      <w:color w:val="auto"/>
                      <w:sz w:val="18"/>
                      <w:szCs w:val="18"/>
                      <w:highlight w:val="none"/>
                    </w:rPr>
                    <w:t>印染、制革、化工、电镀、酿造等大中型项目或者其他污染严重的项目。</w:t>
                  </w:r>
                </w:p>
              </w:tc>
              <w:tc>
                <w:tcPr>
                  <w:tcW w:w="748" w:type="dxa"/>
                  <w:vAlign w:val="center"/>
                </w:tcPr>
                <w:p w14:paraId="3ED058FE">
                  <w:pPr>
                    <w:widowControl/>
                    <w:spacing w:after="0"/>
                    <w:jc w:val="center"/>
                    <w:rPr>
                      <w:color w:val="auto"/>
                      <w:sz w:val="18"/>
                      <w:szCs w:val="18"/>
                      <w:highlight w:val="none"/>
                    </w:rPr>
                  </w:pPr>
                  <w:r>
                    <w:rPr>
                      <w:color w:val="auto"/>
                      <w:sz w:val="18"/>
                      <w:szCs w:val="18"/>
                      <w:highlight w:val="none"/>
                    </w:rPr>
                    <w:t>符合</w:t>
                  </w:r>
                </w:p>
              </w:tc>
            </w:tr>
            <w:tr w14:paraId="710850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0" w:hRule="atLeast"/>
                <w:jc w:val="center"/>
              </w:trPr>
              <w:tc>
                <w:tcPr>
                  <w:tcW w:w="428" w:type="dxa"/>
                  <w:vMerge w:val="restart"/>
                  <w:vAlign w:val="center"/>
                </w:tcPr>
                <w:p w14:paraId="3CBB0789">
                  <w:pPr>
                    <w:widowControl/>
                    <w:spacing w:after="0"/>
                    <w:jc w:val="center"/>
                    <w:rPr>
                      <w:color w:val="auto"/>
                      <w:sz w:val="18"/>
                      <w:szCs w:val="18"/>
                    </w:rPr>
                  </w:pPr>
                  <w:r>
                    <w:rPr>
                      <w:rFonts w:hint="eastAsia"/>
                      <w:color w:val="auto"/>
                      <w:sz w:val="18"/>
                      <w:szCs w:val="18"/>
                    </w:rPr>
                    <w:t>2</w:t>
                  </w:r>
                </w:p>
              </w:tc>
              <w:tc>
                <w:tcPr>
                  <w:tcW w:w="286" w:type="dxa"/>
                  <w:vMerge w:val="restart"/>
                  <w:vAlign w:val="center"/>
                </w:tcPr>
                <w:p w14:paraId="6D3F7B9C">
                  <w:pPr>
                    <w:widowControl/>
                    <w:spacing w:after="0"/>
                    <w:jc w:val="center"/>
                    <w:rPr>
                      <w:color w:val="auto"/>
                      <w:sz w:val="18"/>
                      <w:szCs w:val="18"/>
                    </w:rPr>
                  </w:pPr>
                  <w:r>
                    <w:rPr>
                      <w:color w:val="auto"/>
                      <w:sz w:val="18"/>
                      <w:szCs w:val="18"/>
                    </w:rPr>
                    <w:t>第十四</w:t>
                  </w:r>
                </w:p>
                <w:p w14:paraId="4485611B">
                  <w:pPr>
                    <w:widowControl/>
                    <w:spacing w:after="0"/>
                    <w:jc w:val="center"/>
                    <w:rPr>
                      <w:color w:val="auto"/>
                      <w:sz w:val="18"/>
                      <w:szCs w:val="18"/>
                    </w:rPr>
                  </w:pPr>
                  <w:r>
                    <w:rPr>
                      <w:color w:val="auto"/>
                      <w:sz w:val="18"/>
                      <w:szCs w:val="18"/>
                    </w:rPr>
                    <w:t>条</w:t>
                  </w:r>
                </w:p>
              </w:tc>
              <w:tc>
                <w:tcPr>
                  <w:tcW w:w="4115" w:type="dxa"/>
                  <w:vAlign w:val="center"/>
                </w:tcPr>
                <w:p w14:paraId="684B09B9">
                  <w:pPr>
                    <w:widowControl/>
                    <w:spacing w:after="0"/>
                    <w:rPr>
                      <w:color w:val="auto"/>
                      <w:sz w:val="18"/>
                      <w:szCs w:val="18"/>
                    </w:rPr>
                  </w:pPr>
                  <w:r>
                    <w:rPr>
                      <w:color w:val="auto"/>
                      <w:sz w:val="18"/>
                      <w:szCs w:val="18"/>
                    </w:rPr>
                    <w:t>新建、改建、扩建直接或者间接向水体排放污染物的建设项目和其他水上设施，应当依法进行环境影响评价。建设项目的水污染防治设施，应当符合经批准或者备案的环境影响评价文件的要求，并与主体工程同时设计、同时施工、同时投入使用</w:t>
                  </w:r>
                  <w:r>
                    <w:rPr>
                      <w:rFonts w:hint="eastAsia"/>
                      <w:color w:val="auto"/>
                      <w:sz w:val="18"/>
                      <w:szCs w:val="18"/>
                    </w:rPr>
                    <w:t>。</w:t>
                  </w:r>
                </w:p>
              </w:tc>
              <w:tc>
                <w:tcPr>
                  <w:tcW w:w="2745" w:type="dxa"/>
                  <w:vAlign w:val="center"/>
                </w:tcPr>
                <w:p w14:paraId="417459B5">
                  <w:pPr>
                    <w:widowControl/>
                    <w:spacing w:after="0"/>
                    <w:rPr>
                      <w:color w:val="auto"/>
                      <w:sz w:val="18"/>
                      <w:szCs w:val="18"/>
                    </w:rPr>
                  </w:pPr>
                  <w:r>
                    <w:rPr>
                      <w:color w:val="auto"/>
                      <w:sz w:val="18"/>
                      <w:szCs w:val="18"/>
                    </w:rPr>
                    <w:t>本项</w:t>
                  </w:r>
                  <w:r>
                    <w:rPr>
                      <w:rFonts w:ascii="Times New Roman" w:hAnsi="Times New Roman" w:eastAsia="宋体" w:cs="Times New Roman"/>
                      <w:color w:val="auto"/>
                      <w:sz w:val="18"/>
                      <w:szCs w:val="18"/>
                    </w:rPr>
                    <w:t>目</w:t>
                  </w:r>
                  <w:r>
                    <w:rPr>
                      <w:rFonts w:hint="eastAsia" w:ascii="Times New Roman" w:hAnsi="Times New Roman" w:eastAsia="宋体" w:cs="Times New Roman"/>
                      <w:color w:val="auto"/>
                      <w:sz w:val="18"/>
                      <w:szCs w:val="18"/>
                    </w:rPr>
                    <w:t>生活污水</w:t>
                  </w:r>
                  <w:r>
                    <w:rPr>
                      <w:rFonts w:hint="eastAsia" w:cs="Times New Roman"/>
                      <w:color w:val="auto"/>
                      <w:sz w:val="18"/>
                      <w:szCs w:val="18"/>
                      <w:lang w:val="en-US" w:eastAsia="zh-CN"/>
                    </w:rPr>
                    <w:t>依托水泥</w:t>
                  </w:r>
                  <w:r>
                    <w:rPr>
                      <w:rFonts w:hint="eastAsia" w:ascii="Times New Roman" w:hAnsi="Times New Roman" w:eastAsia="宋体" w:cs="Times New Roman"/>
                      <w:color w:val="auto"/>
                      <w:sz w:val="18"/>
                      <w:szCs w:val="18"/>
                      <w:lang w:val="en-US" w:eastAsia="zh-CN"/>
                    </w:rPr>
                    <w:t>厂内</w:t>
                  </w:r>
                  <w:r>
                    <w:rPr>
                      <w:rFonts w:hint="eastAsia" w:cs="Times New Roman"/>
                      <w:color w:val="auto"/>
                      <w:sz w:val="18"/>
                      <w:szCs w:val="18"/>
                      <w:lang w:val="en-US" w:eastAsia="zh-CN"/>
                    </w:rPr>
                    <w:t>现有化粪池</w:t>
                  </w:r>
                  <w:r>
                    <w:rPr>
                      <w:rFonts w:hint="eastAsia" w:ascii="Times New Roman" w:hAnsi="Times New Roman" w:eastAsia="宋体" w:cs="Times New Roman"/>
                      <w:color w:val="auto"/>
                      <w:sz w:val="18"/>
                      <w:szCs w:val="18"/>
                      <w:lang w:val="en-US" w:eastAsia="zh-CN"/>
                    </w:rPr>
                    <w:t>处理后，通过市政管网接管至淮南市八公山污水处理厂。</w:t>
                  </w:r>
                  <w:r>
                    <w:rPr>
                      <w:rFonts w:hint="eastAsia" w:ascii="Times New Roman" w:hAnsi="Times New Roman" w:eastAsia="宋体" w:cs="Times New Roman"/>
                      <w:color w:val="auto"/>
                      <w:sz w:val="18"/>
                      <w:szCs w:val="18"/>
                    </w:rPr>
                    <w:t>生产废水</w:t>
                  </w:r>
                  <w:r>
                    <w:rPr>
                      <w:rFonts w:hint="eastAsia" w:ascii="Times New Roman" w:hAnsi="Times New Roman" w:eastAsia="宋体" w:cs="Times New Roman"/>
                      <w:color w:val="auto"/>
                      <w:sz w:val="18"/>
                      <w:szCs w:val="18"/>
                      <w:lang w:eastAsia="zh-CN"/>
                    </w:rPr>
                    <w:t>实现闭路循环，不外排。</w:t>
                  </w:r>
                  <w:r>
                    <w:rPr>
                      <w:rFonts w:ascii="Times New Roman" w:hAnsi="Times New Roman" w:eastAsia="宋体" w:cs="Times New Roman"/>
                      <w:color w:val="auto"/>
                      <w:sz w:val="18"/>
                      <w:szCs w:val="18"/>
                    </w:rPr>
                    <w:t>水污染防治设施与主体工程同时设计、同时施工、同时投入使用。</w:t>
                  </w:r>
                </w:p>
              </w:tc>
              <w:tc>
                <w:tcPr>
                  <w:tcW w:w="748" w:type="dxa"/>
                  <w:vAlign w:val="center"/>
                </w:tcPr>
                <w:p w14:paraId="0B8365CF">
                  <w:pPr>
                    <w:widowControl/>
                    <w:spacing w:after="0"/>
                    <w:jc w:val="center"/>
                    <w:rPr>
                      <w:color w:val="auto"/>
                      <w:sz w:val="18"/>
                      <w:szCs w:val="18"/>
                    </w:rPr>
                  </w:pPr>
                  <w:r>
                    <w:rPr>
                      <w:color w:val="auto"/>
                      <w:sz w:val="18"/>
                      <w:szCs w:val="18"/>
                    </w:rPr>
                    <w:t>符合</w:t>
                  </w:r>
                </w:p>
              </w:tc>
            </w:tr>
            <w:tr w14:paraId="086269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0" w:hRule="atLeast"/>
                <w:jc w:val="center"/>
              </w:trPr>
              <w:tc>
                <w:tcPr>
                  <w:tcW w:w="428" w:type="dxa"/>
                  <w:vMerge w:val="continue"/>
                  <w:vAlign w:val="center"/>
                </w:tcPr>
                <w:p w14:paraId="6CC091D5">
                  <w:pPr>
                    <w:widowControl/>
                    <w:spacing w:after="0"/>
                    <w:jc w:val="center"/>
                    <w:rPr>
                      <w:color w:val="auto"/>
                      <w:sz w:val="18"/>
                      <w:szCs w:val="18"/>
                    </w:rPr>
                  </w:pPr>
                </w:p>
              </w:tc>
              <w:tc>
                <w:tcPr>
                  <w:tcW w:w="286" w:type="dxa"/>
                  <w:vMerge w:val="continue"/>
                  <w:vAlign w:val="center"/>
                </w:tcPr>
                <w:p w14:paraId="246A1536">
                  <w:pPr>
                    <w:widowControl/>
                    <w:spacing w:after="0"/>
                    <w:jc w:val="center"/>
                    <w:rPr>
                      <w:color w:val="auto"/>
                      <w:sz w:val="18"/>
                      <w:szCs w:val="18"/>
                    </w:rPr>
                  </w:pPr>
                </w:p>
              </w:tc>
              <w:tc>
                <w:tcPr>
                  <w:tcW w:w="4115" w:type="dxa"/>
                  <w:vAlign w:val="center"/>
                </w:tcPr>
                <w:p w14:paraId="2BBA1DF7">
                  <w:pPr>
                    <w:widowControl/>
                    <w:spacing w:after="0"/>
                    <w:rPr>
                      <w:color w:val="auto"/>
                      <w:sz w:val="18"/>
                      <w:szCs w:val="18"/>
                    </w:rPr>
                  </w:pPr>
                  <w:r>
                    <w:rPr>
                      <w:color w:val="auto"/>
                      <w:sz w:val="18"/>
                      <w:szCs w:val="18"/>
                    </w:rPr>
                    <w:t>新建、扩建、改建项目，除执行前款规定外，还应当遵守下列规定：</w:t>
                  </w:r>
                </w:p>
                <w:p w14:paraId="328DF777">
                  <w:pPr>
                    <w:widowControl/>
                    <w:spacing w:after="0"/>
                    <w:rPr>
                      <w:color w:val="auto"/>
                      <w:sz w:val="18"/>
                      <w:szCs w:val="18"/>
                    </w:rPr>
                  </w:pPr>
                  <w:r>
                    <w:rPr>
                      <w:color w:val="auto"/>
                      <w:sz w:val="18"/>
                      <w:szCs w:val="18"/>
                    </w:rPr>
                    <w:t>（一）新建项目的选址应符合城市总体规划，避开饮用水水源地和对环境有特殊要求的功能区；</w:t>
                  </w:r>
                </w:p>
                <w:p w14:paraId="68868F70">
                  <w:pPr>
                    <w:widowControl/>
                    <w:spacing w:after="0"/>
                    <w:rPr>
                      <w:color w:val="auto"/>
                      <w:sz w:val="18"/>
                      <w:szCs w:val="18"/>
                    </w:rPr>
                  </w:pPr>
                  <w:r>
                    <w:rPr>
                      <w:color w:val="auto"/>
                      <w:sz w:val="18"/>
                      <w:szCs w:val="18"/>
                    </w:rPr>
                    <w:t>（二）采用资源利用率高、污染物排放量少的先进设备和先进工艺；</w:t>
                  </w:r>
                </w:p>
                <w:p w14:paraId="75D2076A">
                  <w:pPr>
                    <w:widowControl/>
                    <w:spacing w:after="0"/>
                    <w:rPr>
                      <w:color w:val="auto"/>
                      <w:sz w:val="18"/>
                      <w:szCs w:val="18"/>
                    </w:rPr>
                  </w:pPr>
                  <w:r>
                    <w:rPr>
                      <w:color w:val="auto"/>
                      <w:sz w:val="18"/>
                      <w:szCs w:val="18"/>
                    </w:rPr>
                    <w:t>（三）改建、新建项目和技改项目应当把水污染治理纳入项目内容。</w:t>
                  </w:r>
                </w:p>
                <w:p w14:paraId="059FB030">
                  <w:pPr>
                    <w:widowControl/>
                    <w:spacing w:after="0"/>
                    <w:rPr>
                      <w:color w:val="auto"/>
                      <w:sz w:val="18"/>
                      <w:szCs w:val="18"/>
                    </w:rPr>
                  </w:pPr>
                  <w:r>
                    <w:rPr>
                      <w:color w:val="auto"/>
                      <w:sz w:val="18"/>
                      <w:szCs w:val="18"/>
                    </w:rPr>
                    <w:t>工程配套建设的水污染防治设施竣工后，建设单位应当按照国务院生态环境行政主管部门规定的标准和程序进行验收。验收合格后，方可投入使用；未经验收或者</w:t>
                  </w:r>
                </w:p>
                <w:p w14:paraId="327EF22D">
                  <w:pPr>
                    <w:widowControl/>
                    <w:spacing w:after="0"/>
                    <w:rPr>
                      <w:color w:val="auto"/>
                      <w:sz w:val="18"/>
                      <w:szCs w:val="18"/>
                      <w:lang w:val="zh-CN"/>
                    </w:rPr>
                  </w:pPr>
                  <w:r>
                    <w:rPr>
                      <w:color w:val="auto"/>
                      <w:sz w:val="18"/>
                      <w:szCs w:val="18"/>
                    </w:rPr>
                    <w:t>验收不合格的，不得投入生产或者使用</w:t>
                  </w:r>
                  <w:r>
                    <w:rPr>
                      <w:rFonts w:hint="eastAsia"/>
                      <w:color w:val="auto"/>
                      <w:sz w:val="18"/>
                      <w:szCs w:val="18"/>
                    </w:rPr>
                    <w:t>。</w:t>
                  </w:r>
                </w:p>
              </w:tc>
              <w:tc>
                <w:tcPr>
                  <w:tcW w:w="2745" w:type="dxa"/>
                  <w:vAlign w:val="center"/>
                </w:tcPr>
                <w:p w14:paraId="235B1EBA">
                  <w:pPr>
                    <w:widowControl/>
                    <w:spacing w:after="0"/>
                    <w:rPr>
                      <w:color w:val="auto"/>
                      <w:sz w:val="18"/>
                      <w:szCs w:val="18"/>
                      <w:lang w:val="zh-CN"/>
                    </w:rPr>
                  </w:pPr>
                  <w:r>
                    <w:rPr>
                      <w:color w:val="auto"/>
                      <w:sz w:val="18"/>
                      <w:szCs w:val="18"/>
                    </w:rPr>
                    <w:t>本项目选址位于</w:t>
                  </w:r>
                  <w:r>
                    <w:rPr>
                      <w:rFonts w:hint="eastAsia" w:ascii="Times New Roman" w:hAnsi="Times New Roman" w:eastAsia="宋体" w:cs="Times New Roman"/>
                      <w:color w:val="auto"/>
                      <w:kern w:val="2"/>
                      <w:sz w:val="18"/>
                      <w:szCs w:val="18"/>
                      <w:lang w:val="zh-CN" w:eastAsia="zh-CN" w:bidi="ar-SA"/>
                    </w:rPr>
                    <w:t>淮南市八公山区淮南舜岳水泥有限责任公司厂区内</w:t>
                  </w:r>
                  <w:r>
                    <w:rPr>
                      <w:color w:val="auto"/>
                      <w:sz w:val="18"/>
                      <w:szCs w:val="18"/>
                    </w:rPr>
                    <w:t>，用地类型为工业用地，符合用地和产业规划，评价范围内不涉及饮用水水源地和对环境有特殊要求的功能区。要求企业采用资源利用率高，污染物排放量少的先进设备和先进工艺。建设单位应当按照国务院生态环境行政主管部门规定的标准和程序进行验收。验收合格后，方可投入使用；未经验收或者验收不合格的，不得投入生产或者使用。</w:t>
                  </w:r>
                </w:p>
              </w:tc>
              <w:tc>
                <w:tcPr>
                  <w:tcW w:w="748" w:type="dxa"/>
                  <w:vAlign w:val="center"/>
                </w:tcPr>
                <w:p w14:paraId="0F413977">
                  <w:pPr>
                    <w:widowControl/>
                    <w:spacing w:after="0"/>
                    <w:jc w:val="center"/>
                    <w:rPr>
                      <w:color w:val="auto"/>
                      <w:sz w:val="18"/>
                      <w:szCs w:val="18"/>
                      <w:lang w:val="zh-CN"/>
                    </w:rPr>
                  </w:pPr>
                  <w:r>
                    <w:rPr>
                      <w:color w:val="auto"/>
                      <w:sz w:val="18"/>
                      <w:szCs w:val="18"/>
                    </w:rPr>
                    <w:t>符合</w:t>
                  </w:r>
                </w:p>
              </w:tc>
            </w:tr>
            <w:tr w14:paraId="55F722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0" w:hRule="atLeast"/>
                <w:jc w:val="center"/>
              </w:trPr>
              <w:tc>
                <w:tcPr>
                  <w:tcW w:w="428" w:type="dxa"/>
                  <w:vAlign w:val="center"/>
                </w:tcPr>
                <w:p w14:paraId="48FF7799">
                  <w:pPr>
                    <w:widowControl/>
                    <w:spacing w:after="0"/>
                    <w:jc w:val="center"/>
                    <w:rPr>
                      <w:color w:val="auto"/>
                      <w:sz w:val="18"/>
                      <w:szCs w:val="18"/>
                    </w:rPr>
                  </w:pPr>
                  <w:r>
                    <w:rPr>
                      <w:rFonts w:hint="eastAsia"/>
                      <w:color w:val="auto"/>
                      <w:sz w:val="18"/>
                      <w:szCs w:val="18"/>
                    </w:rPr>
                    <w:t>3</w:t>
                  </w:r>
                </w:p>
              </w:tc>
              <w:tc>
                <w:tcPr>
                  <w:tcW w:w="286" w:type="dxa"/>
                  <w:vAlign w:val="center"/>
                </w:tcPr>
                <w:p w14:paraId="5D8DD0CE">
                  <w:pPr>
                    <w:widowControl/>
                    <w:spacing w:after="0"/>
                    <w:jc w:val="center"/>
                    <w:rPr>
                      <w:color w:val="auto"/>
                      <w:sz w:val="18"/>
                      <w:szCs w:val="18"/>
                    </w:rPr>
                  </w:pPr>
                  <w:r>
                    <w:rPr>
                      <w:color w:val="auto"/>
                      <w:sz w:val="18"/>
                      <w:szCs w:val="18"/>
                    </w:rPr>
                    <w:t>第十五条</w:t>
                  </w:r>
                </w:p>
              </w:tc>
              <w:tc>
                <w:tcPr>
                  <w:tcW w:w="4115" w:type="dxa"/>
                  <w:vAlign w:val="center"/>
                </w:tcPr>
                <w:p w14:paraId="5B444170">
                  <w:pPr>
                    <w:widowControl/>
                    <w:spacing w:after="0"/>
                    <w:rPr>
                      <w:color w:val="auto"/>
                      <w:sz w:val="18"/>
                      <w:szCs w:val="18"/>
                      <w:lang w:val="zh-CN"/>
                    </w:rPr>
                  </w:pPr>
                  <w:r>
                    <w:rPr>
                      <w:color w:val="auto"/>
                      <w:sz w:val="18"/>
                      <w:szCs w:val="18"/>
                    </w:rPr>
                    <w:t>所有排污单位的污水治理设施，应当确保正常运转，达标排放</w:t>
                  </w:r>
                  <w:r>
                    <w:rPr>
                      <w:rFonts w:hint="eastAsia"/>
                      <w:color w:val="auto"/>
                      <w:sz w:val="18"/>
                      <w:szCs w:val="18"/>
                    </w:rPr>
                    <w:t>。</w:t>
                  </w:r>
                </w:p>
              </w:tc>
              <w:tc>
                <w:tcPr>
                  <w:tcW w:w="2745" w:type="dxa"/>
                  <w:vAlign w:val="center"/>
                </w:tcPr>
                <w:p w14:paraId="197FFE5B">
                  <w:pPr>
                    <w:widowControl/>
                    <w:spacing w:after="0"/>
                    <w:rPr>
                      <w:color w:val="auto"/>
                      <w:sz w:val="18"/>
                      <w:szCs w:val="18"/>
                      <w:lang w:val="zh-CN"/>
                    </w:rPr>
                  </w:pPr>
                  <w:r>
                    <w:rPr>
                      <w:color w:val="auto"/>
                      <w:sz w:val="18"/>
                      <w:szCs w:val="18"/>
                    </w:rPr>
                    <w:t>本项目</w:t>
                  </w:r>
                  <w:r>
                    <w:rPr>
                      <w:rFonts w:hint="eastAsia"/>
                      <w:color w:val="auto"/>
                      <w:sz w:val="18"/>
                      <w:szCs w:val="18"/>
                      <w:lang w:eastAsia="zh-CN"/>
                    </w:rPr>
                    <w:t>生活污水</w:t>
                  </w:r>
                  <w:r>
                    <w:rPr>
                      <w:color w:val="auto"/>
                      <w:sz w:val="18"/>
                      <w:szCs w:val="18"/>
                    </w:rPr>
                    <w:t>依托</w:t>
                  </w:r>
                  <w:r>
                    <w:rPr>
                      <w:rFonts w:hint="eastAsia"/>
                      <w:color w:val="auto"/>
                      <w:sz w:val="18"/>
                      <w:szCs w:val="18"/>
                      <w:lang w:eastAsia="zh-CN"/>
                    </w:rPr>
                    <w:t>厂区内化粪池处理后接入市政污水管网</w:t>
                  </w:r>
                  <w:r>
                    <w:rPr>
                      <w:color w:val="auto"/>
                      <w:sz w:val="18"/>
                      <w:szCs w:val="18"/>
                    </w:rPr>
                    <w:t>，</w:t>
                  </w:r>
                  <w:r>
                    <w:rPr>
                      <w:rFonts w:hint="eastAsia"/>
                      <w:color w:val="auto"/>
                      <w:sz w:val="18"/>
                      <w:szCs w:val="18"/>
                    </w:rPr>
                    <w:t>生产废水</w:t>
                  </w:r>
                  <w:r>
                    <w:rPr>
                      <w:rFonts w:hint="eastAsia"/>
                      <w:color w:val="auto"/>
                      <w:sz w:val="18"/>
                      <w:szCs w:val="18"/>
                      <w:lang w:eastAsia="zh-CN"/>
                    </w:rPr>
                    <w:t>经废水治理设施处理后回用，实现闭路循环，不外排</w:t>
                  </w:r>
                  <w:r>
                    <w:rPr>
                      <w:rFonts w:hint="eastAsia"/>
                      <w:color w:val="auto"/>
                      <w:sz w:val="18"/>
                      <w:szCs w:val="18"/>
                    </w:rPr>
                    <w:t>。</w:t>
                  </w:r>
                </w:p>
              </w:tc>
              <w:tc>
                <w:tcPr>
                  <w:tcW w:w="748" w:type="dxa"/>
                  <w:vAlign w:val="center"/>
                </w:tcPr>
                <w:p w14:paraId="19C56986">
                  <w:pPr>
                    <w:widowControl/>
                    <w:spacing w:after="0"/>
                    <w:jc w:val="center"/>
                    <w:rPr>
                      <w:color w:val="auto"/>
                      <w:sz w:val="18"/>
                      <w:szCs w:val="18"/>
                      <w:lang w:val="zh-CN"/>
                    </w:rPr>
                  </w:pPr>
                  <w:r>
                    <w:rPr>
                      <w:color w:val="auto"/>
                      <w:sz w:val="18"/>
                      <w:szCs w:val="18"/>
                    </w:rPr>
                    <w:t>符合</w:t>
                  </w:r>
                </w:p>
              </w:tc>
            </w:tr>
            <w:tr w14:paraId="1534D8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0" w:hRule="atLeast"/>
                <w:jc w:val="center"/>
              </w:trPr>
              <w:tc>
                <w:tcPr>
                  <w:tcW w:w="428" w:type="dxa"/>
                  <w:vAlign w:val="center"/>
                </w:tcPr>
                <w:p w14:paraId="5AD5A65A">
                  <w:pPr>
                    <w:widowControl/>
                    <w:spacing w:after="0"/>
                    <w:jc w:val="center"/>
                    <w:rPr>
                      <w:color w:val="auto"/>
                      <w:sz w:val="18"/>
                      <w:szCs w:val="18"/>
                    </w:rPr>
                  </w:pPr>
                  <w:r>
                    <w:rPr>
                      <w:rFonts w:hint="eastAsia"/>
                      <w:color w:val="auto"/>
                      <w:sz w:val="18"/>
                      <w:szCs w:val="18"/>
                    </w:rPr>
                    <w:t>4</w:t>
                  </w:r>
                </w:p>
              </w:tc>
              <w:tc>
                <w:tcPr>
                  <w:tcW w:w="286" w:type="dxa"/>
                  <w:vAlign w:val="center"/>
                </w:tcPr>
                <w:p w14:paraId="30117458">
                  <w:pPr>
                    <w:widowControl/>
                    <w:spacing w:after="0"/>
                    <w:jc w:val="center"/>
                    <w:rPr>
                      <w:color w:val="auto"/>
                      <w:sz w:val="18"/>
                      <w:szCs w:val="18"/>
                      <w:lang w:val="zh-CN"/>
                    </w:rPr>
                  </w:pPr>
                  <w:r>
                    <w:rPr>
                      <w:color w:val="auto"/>
                      <w:sz w:val="18"/>
                      <w:szCs w:val="18"/>
                    </w:rPr>
                    <w:t>第十七条</w:t>
                  </w:r>
                </w:p>
              </w:tc>
              <w:tc>
                <w:tcPr>
                  <w:tcW w:w="4115" w:type="dxa"/>
                  <w:vAlign w:val="center"/>
                </w:tcPr>
                <w:p w14:paraId="3262E95C">
                  <w:pPr>
                    <w:widowControl/>
                    <w:spacing w:after="0"/>
                    <w:rPr>
                      <w:color w:val="auto"/>
                      <w:sz w:val="18"/>
                      <w:szCs w:val="18"/>
                    </w:rPr>
                  </w:pPr>
                  <w:r>
                    <w:rPr>
                      <w:color w:val="auto"/>
                      <w:sz w:val="18"/>
                      <w:szCs w:val="18"/>
                    </w:rPr>
                    <w:t>在饮用水水源保护区内，禁止设置排污口。</w:t>
                  </w:r>
                </w:p>
                <w:p w14:paraId="1070F27D">
                  <w:pPr>
                    <w:widowControl/>
                    <w:spacing w:after="0"/>
                    <w:rPr>
                      <w:color w:val="auto"/>
                      <w:sz w:val="18"/>
                      <w:szCs w:val="18"/>
                    </w:rPr>
                  </w:pPr>
                  <w:r>
                    <w:rPr>
                      <w:color w:val="auto"/>
                      <w:sz w:val="18"/>
                      <w:szCs w:val="18"/>
                    </w:rPr>
                    <w:t>在风景名胜区水体、重要渔业水体和其他具有特殊经济文化价值的水体的保护区内，不得新建排污口。在保护区附近新建</w:t>
                  </w:r>
                </w:p>
                <w:p w14:paraId="56A8759B">
                  <w:pPr>
                    <w:widowControl/>
                    <w:spacing w:after="0"/>
                    <w:rPr>
                      <w:color w:val="auto"/>
                      <w:sz w:val="18"/>
                      <w:szCs w:val="18"/>
                      <w:lang w:val="zh-CN"/>
                    </w:rPr>
                  </w:pPr>
                  <w:r>
                    <w:rPr>
                      <w:color w:val="auto"/>
                      <w:sz w:val="18"/>
                      <w:szCs w:val="18"/>
                    </w:rPr>
                    <w:t>排污口，应当保证保护区水体不受污染</w:t>
                  </w:r>
                  <w:r>
                    <w:rPr>
                      <w:rFonts w:hint="eastAsia"/>
                      <w:color w:val="auto"/>
                      <w:sz w:val="18"/>
                      <w:szCs w:val="18"/>
                    </w:rPr>
                    <w:t>。</w:t>
                  </w:r>
                </w:p>
              </w:tc>
              <w:tc>
                <w:tcPr>
                  <w:tcW w:w="2745" w:type="dxa"/>
                  <w:vAlign w:val="center"/>
                </w:tcPr>
                <w:p w14:paraId="305D0710">
                  <w:pPr>
                    <w:widowControl/>
                    <w:spacing w:after="0"/>
                    <w:rPr>
                      <w:color w:val="auto"/>
                      <w:sz w:val="18"/>
                      <w:szCs w:val="18"/>
                      <w:lang w:val="zh-CN"/>
                    </w:rPr>
                  </w:pPr>
                  <w:r>
                    <w:rPr>
                      <w:color w:val="auto"/>
                      <w:sz w:val="18"/>
                      <w:szCs w:val="18"/>
                    </w:rPr>
                    <w:t>本项目不新建排污口。</w:t>
                  </w:r>
                </w:p>
              </w:tc>
              <w:tc>
                <w:tcPr>
                  <w:tcW w:w="748" w:type="dxa"/>
                  <w:vAlign w:val="center"/>
                </w:tcPr>
                <w:p w14:paraId="74B304D7">
                  <w:pPr>
                    <w:widowControl/>
                    <w:spacing w:after="0"/>
                    <w:jc w:val="center"/>
                    <w:rPr>
                      <w:color w:val="auto"/>
                      <w:sz w:val="18"/>
                      <w:szCs w:val="18"/>
                      <w:lang w:val="zh-CN"/>
                    </w:rPr>
                  </w:pPr>
                  <w:r>
                    <w:rPr>
                      <w:color w:val="auto"/>
                      <w:sz w:val="18"/>
                      <w:szCs w:val="18"/>
                    </w:rPr>
                    <w:t>符合</w:t>
                  </w:r>
                </w:p>
              </w:tc>
            </w:tr>
            <w:tr w14:paraId="58D278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0" w:hRule="atLeast"/>
                <w:jc w:val="center"/>
              </w:trPr>
              <w:tc>
                <w:tcPr>
                  <w:tcW w:w="428" w:type="dxa"/>
                  <w:vAlign w:val="center"/>
                </w:tcPr>
                <w:p w14:paraId="5D151C95">
                  <w:pPr>
                    <w:widowControl/>
                    <w:spacing w:after="0"/>
                    <w:jc w:val="center"/>
                    <w:rPr>
                      <w:color w:val="auto"/>
                      <w:sz w:val="18"/>
                      <w:szCs w:val="18"/>
                    </w:rPr>
                  </w:pPr>
                  <w:r>
                    <w:rPr>
                      <w:rFonts w:hint="eastAsia"/>
                      <w:color w:val="auto"/>
                      <w:sz w:val="18"/>
                      <w:szCs w:val="18"/>
                    </w:rPr>
                    <w:t>5</w:t>
                  </w:r>
                </w:p>
              </w:tc>
              <w:tc>
                <w:tcPr>
                  <w:tcW w:w="286" w:type="dxa"/>
                  <w:vAlign w:val="center"/>
                </w:tcPr>
                <w:p w14:paraId="0B6E2A90">
                  <w:pPr>
                    <w:widowControl/>
                    <w:spacing w:after="0"/>
                    <w:jc w:val="center"/>
                    <w:rPr>
                      <w:color w:val="auto"/>
                      <w:sz w:val="18"/>
                      <w:szCs w:val="18"/>
                      <w:lang w:val="zh-CN"/>
                    </w:rPr>
                  </w:pPr>
                  <w:r>
                    <w:rPr>
                      <w:color w:val="auto"/>
                      <w:sz w:val="18"/>
                      <w:szCs w:val="18"/>
                    </w:rPr>
                    <w:t>第十九条</w:t>
                  </w:r>
                </w:p>
              </w:tc>
              <w:tc>
                <w:tcPr>
                  <w:tcW w:w="4115" w:type="dxa"/>
                  <w:vAlign w:val="center"/>
                </w:tcPr>
                <w:p w14:paraId="70A507EA">
                  <w:pPr>
                    <w:widowControl/>
                    <w:spacing w:after="0"/>
                    <w:rPr>
                      <w:color w:val="auto"/>
                      <w:sz w:val="18"/>
                      <w:szCs w:val="18"/>
                    </w:rPr>
                  </w:pPr>
                  <w:r>
                    <w:rPr>
                      <w:color w:val="auto"/>
                      <w:sz w:val="18"/>
                      <w:szCs w:val="18"/>
                    </w:rPr>
                    <w:t>禁止下列行为：</w:t>
                  </w:r>
                </w:p>
                <w:p w14:paraId="7EDF4E9F">
                  <w:pPr>
                    <w:widowControl/>
                    <w:spacing w:after="0"/>
                    <w:rPr>
                      <w:color w:val="auto"/>
                      <w:sz w:val="18"/>
                      <w:szCs w:val="18"/>
                    </w:rPr>
                  </w:pPr>
                  <w:r>
                    <w:rPr>
                      <w:color w:val="auto"/>
                      <w:sz w:val="18"/>
                      <w:szCs w:val="18"/>
                    </w:rPr>
                    <w:t>（一）向水体排放或者倾倒油类、酸液、碱液和其他有毒有害液体；（二）在水体中清洗装贮过有毒有害污染物的车辆、船舶和容器；（三）向水体排放、倾倒含有汞、镉、砷、铬、铅、氰化物、黄磷等可溶性剧毒废液或者将上述物质直接埋入地下；（四）向水体排放、倾倒工业废渣、城镇垃圾和其他废弃物；（五）向水体排放、倾倒放射性固体废弃物或者放射性废水；（六）利用渗井、渗坑、裂隙、溶洞、塌陷区和废弃矿坑排放、倾倒，或者利用无防渗措施的沟渠、坑塘输送或者存贮含毒污染物或者病原体的废水和其他废弃物；（七）在河流、湖泊、运河、渠道、水库最高水位线以下的滩地和岸坡堆放、贮存固体废弃物和其他污染物；（八）围湖和其他破坏水环境生态平衡的活动；</w:t>
                  </w:r>
                </w:p>
                <w:p w14:paraId="6D1A8624">
                  <w:pPr>
                    <w:widowControl/>
                    <w:spacing w:after="0"/>
                    <w:rPr>
                      <w:color w:val="auto"/>
                      <w:sz w:val="18"/>
                      <w:szCs w:val="18"/>
                      <w:lang w:val="zh-CN"/>
                    </w:rPr>
                  </w:pPr>
                  <w:r>
                    <w:rPr>
                      <w:color w:val="auto"/>
                      <w:sz w:val="18"/>
                      <w:szCs w:val="18"/>
                    </w:rPr>
                    <w:t>（九）引进不符合国家环境保护规定要求的技术和设备；（十）法律、法规禁止的其他行为</w:t>
                  </w:r>
                  <w:r>
                    <w:rPr>
                      <w:rFonts w:hint="eastAsia"/>
                      <w:color w:val="auto"/>
                      <w:sz w:val="18"/>
                      <w:szCs w:val="18"/>
                    </w:rPr>
                    <w:t>。</w:t>
                  </w:r>
                </w:p>
              </w:tc>
              <w:tc>
                <w:tcPr>
                  <w:tcW w:w="2745" w:type="dxa"/>
                  <w:vAlign w:val="center"/>
                </w:tcPr>
                <w:p w14:paraId="0FF8746D">
                  <w:pPr>
                    <w:widowControl/>
                    <w:spacing w:after="0"/>
                    <w:rPr>
                      <w:color w:val="auto"/>
                      <w:sz w:val="18"/>
                      <w:szCs w:val="18"/>
                      <w:lang w:val="zh-CN"/>
                    </w:rPr>
                  </w:pPr>
                  <w:r>
                    <w:rPr>
                      <w:rFonts w:hint="eastAsia"/>
                      <w:color w:val="auto"/>
                      <w:sz w:val="18"/>
                      <w:szCs w:val="18"/>
                    </w:rPr>
                    <w:t>本项目</w:t>
                  </w:r>
                  <w:r>
                    <w:rPr>
                      <w:color w:val="auto"/>
                      <w:sz w:val="18"/>
                      <w:szCs w:val="18"/>
                    </w:rPr>
                    <w:t>运营期严格遵守《安徽省淮河流域水污染防治条例》，不得有</w:t>
                  </w:r>
                  <w:r>
                    <w:rPr>
                      <w:rFonts w:hint="eastAsia"/>
                      <w:color w:val="auto"/>
                      <w:sz w:val="18"/>
                      <w:szCs w:val="18"/>
                      <w:lang w:eastAsia="zh-CN"/>
                    </w:rPr>
                    <w:t>明</w:t>
                  </w:r>
                  <w:r>
                    <w:rPr>
                      <w:rFonts w:hint="eastAsia" w:ascii="Times New Roman" w:hAnsi="Times New Roman" w:eastAsia="宋体" w:cs="Times New Roman"/>
                      <w:color w:val="auto"/>
                      <w:sz w:val="18"/>
                      <w:szCs w:val="18"/>
                    </w:rPr>
                    <w:t>令禁止的</w:t>
                  </w:r>
                  <w:r>
                    <w:rPr>
                      <w:color w:val="auto"/>
                      <w:sz w:val="18"/>
                      <w:szCs w:val="18"/>
                    </w:rPr>
                    <w:t>违法行为。</w:t>
                  </w:r>
                </w:p>
              </w:tc>
              <w:tc>
                <w:tcPr>
                  <w:tcW w:w="748" w:type="dxa"/>
                  <w:vAlign w:val="center"/>
                </w:tcPr>
                <w:p w14:paraId="79328370">
                  <w:pPr>
                    <w:widowControl/>
                    <w:spacing w:after="0"/>
                    <w:jc w:val="center"/>
                    <w:rPr>
                      <w:color w:val="auto"/>
                      <w:sz w:val="18"/>
                      <w:szCs w:val="18"/>
                      <w:lang w:val="zh-CN"/>
                    </w:rPr>
                  </w:pPr>
                  <w:r>
                    <w:rPr>
                      <w:color w:val="auto"/>
                      <w:sz w:val="18"/>
                      <w:szCs w:val="18"/>
                    </w:rPr>
                    <w:t>符合</w:t>
                  </w:r>
                </w:p>
              </w:tc>
            </w:tr>
          </w:tbl>
          <w:p w14:paraId="57BC6C38">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color w:val="auto"/>
              </w:rPr>
            </w:pPr>
            <w:r>
              <w:rPr>
                <w:color w:val="auto"/>
              </w:rPr>
              <w:t>通过上表分析可知，本项目的建设符合《安徽省淮河流域水污染防治条例》中的相关要求。</w:t>
            </w:r>
          </w:p>
          <w:p w14:paraId="6E49D5FA">
            <w:pPr>
              <w:keepNext w:val="0"/>
              <w:keepLines w:val="0"/>
              <w:pageBreakBefore w:val="0"/>
              <w:widowControl w:val="0"/>
              <w:kinsoku/>
              <w:wordWrap/>
              <w:overflowPunct/>
              <w:topLinePunct w:val="0"/>
              <w:autoSpaceDE/>
              <w:autoSpaceDN/>
              <w:bidi w:val="0"/>
              <w:adjustRightInd/>
              <w:snapToGrid/>
              <w:spacing w:after="0" w:line="460" w:lineRule="exact"/>
              <w:ind w:firstLine="482" w:firstLineChars="200"/>
              <w:textAlignment w:val="auto"/>
              <w:rPr>
                <w:rFonts w:hint="eastAsia"/>
                <w:b/>
                <w:bCs/>
                <w:color w:val="auto"/>
                <w:lang w:val="en-US" w:eastAsia="zh-CN"/>
              </w:rPr>
            </w:pPr>
            <w:r>
              <w:rPr>
                <w:rFonts w:hint="eastAsia"/>
                <w:b/>
                <w:bCs/>
                <w:color w:val="auto"/>
                <w:lang w:val="en-US" w:eastAsia="zh-CN"/>
              </w:rPr>
              <w:t>2、与《煤炭采选建设项目环境影响评价审批原则（试行）》（环办环</w:t>
            </w:r>
            <w:r>
              <w:rPr>
                <w:rFonts w:hint="default"/>
                <w:b/>
                <w:bCs/>
                <w:color w:val="auto"/>
                <w:lang w:val="en-US" w:eastAsia="zh-CN"/>
              </w:rPr>
              <w:t>评〔2016〕114号）符合性分析</w:t>
            </w:r>
          </w:p>
          <w:p w14:paraId="7143FECD">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color w:val="auto"/>
              </w:rPr>
            </w:pPr>
            <w:r>
              <w:rPr>
                <w:rFonts w:hint="default"/>
                <w:color w:val="auto"/>
                <w:lang w:val="en-US" w:eastAsia="zh-CN"/>
              </w:rPr>
              <w:t>2016</w:t>
            </w:r>
            <w:r>
              <w:rPr>
                <w:color w:val="auto"/>
                <w:lang w:val="en-US" w:eastAsia="zh-CN"/>
              </w:rPr>
              <w:t>年</w:t>
            </w:r>
            <w:r>
              <w:rPr>
                <w:rFonts w:hint="default"/>
                <w:color w:val="auto"/>
                <w:lang w:val="en-US" w:eastAsia="zh-CN"/>
              </w:rPr>
              <w:t>12月26日，环境保护部办公厅发布《煤炭采选建设项目环境影响评价审批原则（试行）》（环办环评〔2016〕114 号），符合性分析见</w:t>
            </w:r>
            <w:r>
              <w:rPr>
                <w:rFonts w:hint="eastAsia"/>
                <w:color w:val="auto"/>
                <w:lang w:val="en-US" w:eastAsia="zh-CN"/>
              </w:rPr>
              <w:t>下表</w:t>
            </w:r>
            <w:r>
              <w:rPr>
                <w:rFonts w:hint="default"/>
                <w:color w:val="auto"/>
                <w:lang w:val="en-US" w:eastAsia="zh-CN"/>
              </w:rPr>
              <w:t>。</w:t>
            </w:r>
          </w:p>
          <w:p w14:paraId="1C4C76A4">
            <w:pPr>
              <w:pStyle w:val="15"/>
              <w:rPr>
                <w:rFonts w:hint="eastAsia" w:eastAsia="宋体"/>
                <w:color w:val="auto"/>
                <w:lang w:val="en-US" w:eastAsia="zh-CN"/>
              </w:rPr>
            </w:pPr>
            <w:r>
              <w:rPr>
                <w:color w:val="auto"/>
              </w:rPr>
              <w:t xml:space="preserve">表 </w:t>
            </w:r>
            <w:r>
              <w:rPr>
                <w:rFonts w:hint="eastAsia"/>
                <w:color w:val="auto"/>
                <w:lang w:val="en-US" w:eastAsia="zh-CN"/>
              </w:rPr>
              <w:t>1</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7</w:t>
            </w:r>
            <w:r>
              <w:rPr>
                <w:color w:val="auto"/>
              </w:rPr>
              <w:fldChar w:fldCharType="end"/>
            </w:r>
            <w:r>
              <w:rPr>
                <w:rFonts w:hint="eastAsia"/>
                <w:color w:val="auto"/>
                <w:lang w:val="en-US" w:eastAsia="zh-CN"/>
              </w:rPr>
              <w:t xml:space="preserve"> 与</w:t>
            </w:r>
            <w:r>
              <w:rPr>
                <w:rFonts w:hint="default"/>
                <w:color w:val="auto"/>
                <w:lang w:val="en-US" w:eastAsia="zh-CN"/>
              </w:rPr>
              <w:t>《煤炭采选建设项目环境影响评价审批原则（试行）》</w:t>
            </w:r>
            <w:r>
              <w:rPr>
                <w:rFonts w:hint="eastAsia"/>
                <w:color w:val="auto"/>
                <w:lang w:val="en-US" w:eastAsia="zh-CN"/>
              </w:rPr>
              <w:t>相符性分析</w:t>
            </w:r>
          </w:p>
          <w:tbl>
            <w:tblPr>
              <w:tblStyle w:val="54"/>
              <w:tblW w:w="83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2"/>
              <w:gridCol w:w="3888"/>
              <w:gridCol w:w="2832"/>
              <w:gridCol w:w="928"/>
            </w:tblGrid>
            <w:tr w14:paraId="1BF3A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vAlign w:val="center"/>
                </w:tcPr>
                <w:p w14:paraId="26DF6B1E">
                  <w:pPr>
                    <w:pStyle w:val="77"/>
                    <w:bidi w:val="0"/>
                    <w:jc w:val="center"/>
                    <w:rPr>
                      <w:rFonts w:hint="eastAsia"/>
                      <w:color w:val="auto"/>
                      <w:sz w:val="18"/>
                      <w:szCs w:val="18"/>
                      <w:lang w:eastAsia="zh-CN"/>
                    </w:rPr>
                  </w:pPr>
                  <w:r>
                    <w:rPr>
                      <w:rFonts w:hint="eastAsia"/>
                      <w:color w:val="auto"/>
                      <w:sz w:val="18"/>
                      <w:szCs w:val="18"/>
                      <w:lang w:eastAsia="zh-CN"/>
                    </w:rPr>
                    <w:t>序号</w:t>
                  </w:r>
                </w:p>
              </w:tc>
              <w:tc>
                <w:tcPr>
                  <w:tcW w:w="3888" w:type="dxa"/>
                  <w:vAlign w:val="center"/>
                </w:tcPr>
                <w:p w14:paraId="07DD2C92">
                  <w:pPr>
                    <w:pStyle w:val="77"/>
                    <w:bidi w:val="0"/>
                    <w:jc w:val="center"/>
                    <w:rPr>
                      <w:rFonts w:hint="eastAsia"/>
                      <w:color w:val="auto"/>
                      <w:sz w:val="18"/>
                      <w:szCs w:val="18"/>
                    </w:rPr>
                  </w:pPr>
                  <w:r>
                    <w:rPr>
                      <w:rFonts w:hint="default"/>
                      <w:color w:val="auto"/>
                      <w:sz w:val="18"/>
                      <w:szCs w:val="18"/>
                      <w:lang w:val="en-US" w:eastAsia="zh-CN"/>
                    </w:rPr>
                    <w:t>环办环评〔2016〕114 号</w:t>
                  </w:r>
                </w:p>
              </w:tc>
              <w:tc>
                <w:tcPr>
                  <w:tcW w:w="2832" w:type="dxa"/>
                  <w:vAlign w:val="center"/>
                </w:tcPr>
                <w:p w14:paraId="02DDEA9D">
                  <w:pPr>
                    <w:pStyle w:val="77"/>
                    <w:bidi w:val="0"/>
                    <w:jc w:val="center"/>
                    <w:rPr>
                      <w:rFonts w:hint="eastAsia"/>
                      <w:color w:val="auto"/>
                      <w:sz w:val="18"/>
                      <w:szCs w:val="18"/>
                      <w:lang w:eastAsia="zh-CN"/>
                    </w:rPr>
                  </w:pPr>
                  <w:r>
                    <w:rPr>
                      <w:rFonts w:hint="eastAsia"/>
                      <w:color w:val="auto"/>
                      <w:sz w:val="18"/>
                      <w:szCs w:val="18"/>
                      <w:lang w:eastAsia="zh-CN"/>
                    </w:rPr>
                    <w:t>本项目情况</w:t>
                  </w:r>
                </w:p>
              </w:tc>
              <w:tc>
                <w:tcPr>
                  <w:tcW w:w="928" w:type="dxa"/>
                  <w:vAlign w:val="center"/>
                </w:tcPr>
                <w:p w14:paraId="428362E7">
                  <w:pPr>
                    <w:pStyle w:val="77"/>
                    <w:bidi w:val="0"/>
                    <w:jc w:val="center"/>
                    <w:rPr>
                      <w:rFonts w:hint="eastAsia"/>
                      <w:color w:val="auto"/>
                      <w:sz w:val="18"/>
                      <w:szCs w:val="18"/>
                      <w:lang w:eastAsia="zh-CN"/>
                    </w:rPr>
                  </w:pPr>
                  <w:r>
                    <w:rPr>
                      <w:rFonts w:hint="eastAsia"/>
                      <w:color w:val="auto"/>
                      <w:sz w:val="18"/>
                      <w:szCs w:val="18"/>
                      <w:lang w:eastAsia="zh-CN"/>
                    </w:rPr>
                    <w:t>符合性</w:t>
                  </w:r>
                </w:p>
              </w:tc>
            </w:tr>
            <w:tr w14:paraId="56F0B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vAlign w:val="center"/>
                </w:tcPr>
                <w:p w14:paraId="09472105">
                  <w:pPr>
                    <w:pStyle w:val="77"/>
                    <w:numPr>
                      <w:ilvl w:val="0"/>
                      <w:numId w:val="5"/>
                    </w:numPr>
                    <w:bidi w:val="0"/>
                    <w:ind w:left="0" w:leftChars="0" w:firstLine="0" w:firstLineChars="0"/>
                    <w:jc w:val="center"/>
                    <w:rPr>
                      <w:rFonts w:hint="default"/>
                      <w:color w:val="auto"/>
                      <w:sz w:val="18"/>
                      <w:szCs w:val="18"/>
                      <w:lang w:val="en-US" w:eastAsia="zh-CN"/>
                    </w:rPr>
                  </w:pPr>
                </w:p>
              </w:tc>
              <w:tc>
                <w:tcPr>
                  <w:tcW w:w="3888" w:type="dxa"/>
                  <w:vAlign w:val="center"/>
                </w:tcPr>
                <w:p w14:paraId="4DE324E7">
                  <w:pPr>
                    <w:keepNext w:val="0"/>
                    <w:keepLines w:val="0"/>
                    <w:pageBreakBefore w:val="0"/>
                    <w:widowControl/>
                    <w:suppressLineNumbers w:val="0"/>
                    <w:kinsoku/>
                    <w:wordWrap/>
                    <w:overflowPunct/>
                    <w:topLinePunct w:val="0"/>
                    <w:autoSpaceDE/>
                    <w:autoSpaceDN/>
                    <w:bidi w:val="0"/>
                    <w:adjustRightInd/>
                    <w:snapToGrid/>
                    <w:spacing w:after="0" w:line="240" w:lineRule="auto"/>
                    <w:jc w:val="left"/>
                    <w:textAlignment w:val="auto"/>
                    <w:rPr>
                      <w:rFonts w:hint="default" w:ascii="宋体" w:hAnsi="Times New Roman" w:eastAsia="宋体" w:cs="Times New Roman"/>
                      <w:color w:val="auto"/>
                      <w:sz w:val="18"/>
                      <w:szCs w:val="18"/>
                      <w:lang w:val="zh-CN" w:eastAsia="zh-CN" w:bidi="ar-SA"/>
                    </w:rPr>
                  </w:pPr>
                  <w:r>
                    <w:rPr>
                      <w:rFonts w:hint="eastAsia" w:ascii="宋体" w:hAnsi="Times New Roman" w:eastAsia="宋体" w:cs="Times New Roman"/>
                      <w:color w:val="auto"/>
                      <w:sz w:val="18"/>
                      <w:szCs w:val="18"/>
                      <w:lang w:val="en-US" w:eastAsia="zh-CN" w:bidi="ar-SA"/>
                    </w:rPr>
                    <w:t>选煤厂煤泥水应实现闭路循环，工业场地</w:t>
                  </w:r>
                  <w:r>
                    <w:rPr>
                      <w:rFonts w:hint="default" w:ascii="宋体" w:hAnsi="Times New Roman" w:eastAsia="宋体" w:cs="Times New Roman"/>
                      <w:color w:val="auto"/>
                      <w:sz w:val="18"/>
                      <w:szCs w:val="18"/>
                      <w:lang w:val="en-US" w:eastAsia="zh-CN" w:bidi="ar-SA"/>
                    </w:rPr>
                    <w:t>初期雨水应收集处理。无法全部综合利用的废水，应满足相关排放标准要求后排放。</w:t>
                  </w:r>
                </w:p>
              </w:tc>
              <w:tc>
                <w:tcPr>
                  <w:tcW w:w="2832" w:type="dxa"/>
                  <w:vAlign w:val="center"/>
                </w:tcPr>
                <w:p w14:paraId="3BB798CC">
                  <w:pPr>
                    <w:keepNext w:val="0"/>
                    <w:keepLines w:val="0"/>
                    <w:pageBreakBefore w:val="0"/>
                    <w:widowControl/>
                    <w:suppressLineNumbers w:val="0"/>
                    <w:kinsoku/>
                    <w:wordWrap/>
                    <w:overflowPunct/>
                    <w:topLinePunct w:val="0"/>
                    <w:autoSpaceDE/>
                    <w:autoSpaceDN/>
                    <w:bidi w:val="0"/>
                    <w:adjustRightInd/>
                    <w:snapToGrid/>
                    <w:spacing w:after="0" w:line="240" w:lineRule="auto"/>
                    <w:jc w:val="both"/>
                    <w:textAlignment w:val="auto"/>
                    <w:rPr>
                      <w:rFonts w:hint="eastAsia" w:ascii="宋体" w:hAnsi="Times New Roman" w:eastAsia="宋体" w:cs="Times New Roman"/>
                      <w:color w:val="auto"/>
                      <w:sz w:val="18"/>
                      <w:szCs w:val="18"/>
                      <w:lang w:val="zh-CN" w:eastAsia="zh-CN" w:bidi="ar-SA"/>
                    </w:rPr>
                  </w:pPr>
                  <w:r>
                    <w:rPr>
                      <w:rFonts w:hint="eastAsia" w:ascii="宋体" w:hAnsi="Times New Roman" w:eastAsia="宋体" w:cs="Times New Roman"/>
                      <w:color w:val="auto"/>
                      <w:sz w:val="18"/>
                      <w:szCs w:val="18"/>
                      <w:lang w:val="en-US" w:eastAsia="zh-CN" w:bidi="ar-SA"/>
                    </w:rPr>
                    <w:t>本项目生产废水实现闭路循环，设置初期雨水池收集厂区内初期雨水。本项目污染物</w:t>
                  </w:r>
                  <w:r>
                    <w:rPr>
                      <w:rFonts w:hint="default" w:ascii="宋体" w:hAnsi="Times New Roman" w:eastAsia="宋体" w:cs="Times New Roman"/>
                      <w:color w:val="auto"/>
                      <w:sz w:val="18"/>
                      <w:szCs w:val="18"/>
                      <w:lang w:val="en-US" w:eastAsia="zh-CN" w:bidi="ar-SA"/>
                    </w:rPr>
                    <w:t>排放</w:t>
                  </w:r>
                  <w:r>
                    <w:rPr>
                      <w:rFonts w:hint="eastAsia" w:ascii="宋体" w:cs="Times New Roman"/>
                      <w:color w:val="auto"/>
                      <w:sz w:val="18"/>
                      <w:szCs w:val="18"/>
                      <w:lang w:val="en-US" w:eastAsia="zh-CN" w:bidi="ar-SA"/>
                    </w:rPr>
                    <w:t>均</w:t>
                  </w:r>
                  <w:r>
                    <w:rPr>
                      <w:rFonts w:hint="default" w:ascii="宋体" w:hAnsi="Times New Roman" w:eastAsia="宋体" w:cs="Times New Roman"/>
                      <w:color w:val="auto"/>
                      <w:sz w:val="18"/>
                      <w:szCs w:val="18"/>
                      <w:lang w:val="en-US" w:eastAsia="zh-CN" w:bidi="ar-SA"/>
                    </w:rPr>
                    <w:t>满足相关要求。</w:t>
                  </w:r>
                </w:p>
              </w:tc>
              <w:tc>
                <w:tcPr>
                  <w:tcW w:w="928" w:type="dxa"/>
                  <w:vAlign w:val="center"/>
                </w:tcPr>
                <w:p w14:paraId="47EBD559">
                  <w:pPr>
                    <w:pStyle w:val="77"/>
                    <w:bidi w:val="0"/>
                    <w:jc w:val="center"/>
                    <w:rPr>
                      <w:rFonts w:hint="eastAsia"/>
                      <w:color w:val="auto"/>
                      <w:sz w:val="18"/>
                      <w:szCs w:val="18"/>
                      <w:lang w:eastAsia="zh-CN"/>
                    </w:rPr>
                  </w:pPr>
                  <w:r>
                    <w:rPr>
                      <w:rFonts w:hint="eastAsia"/>
                      <w:color w:val="auto"/>
                      <w:sz w:val="18"/>
                      <w:szCs w:val="18"/>
                      <w:lang w:eastAsia="zh-CN"/>
                    </w:rPr>
                    <w:t>符合</w:t>
                  </w:r>
                </w:p>
              </w:tc>
            </w:tr>
            <w:tr w14:paraId="37532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vAlign w:val="center"/>
                </w:tcPr>
                <w:p w14:paraId="6DA68EB7">
                  <w:pPr>
                    <w:pStyle w:val="77"/>
                    <w:numPr>
                      <w:ilvl w:val="0"/>
                      <w:numId w:val="5"/>
                    </w:numPr>
                    <w:bidi w:val="0"/>
                    <w:ind w:left="0" w:leftChars="0" w:firstLine="0" w:firstLineChars="0"/>
                    <w:jc w:val="center"/>
                    <w:rPr>
                      <w:rFonts w:hint="default"/>
                      <w:color w:val="auto"/>
                      <w:sz w:val="18"/>
                      <w:szCs w:val="18"/>
                      <w:lang w:val="en-US" w:eastAsia="zh-CN"/>
                    </w:rPr>
                  </w:pPr>
                </w:p>
              </w:tc>
              <w:tc>
                <w:tcPr>
                  <w:tcW w:w="3888" w:type="dxa"/>
                  <w:vAlign w:val="center"/>
                </w:tcPr>
                <w:p w14:paraId="4E54678C">
                  <w:pPr>
                    <w:pStyle w:val="77"/>
                    <w:bidi w:val="0"/>
                    <w:jc w:val="center"/>
                    <w:rPr>
                      <w:rFonts w:hint="eastAsia"/>
                      <w:color w:val="auto"/>
                      <w:sz w:val="18"/>
                      <w:szCs w:val="18"/>
                    </w:rPr>
                  </w:pPr>
                  <w:r>
                    <w:rPr>
                      <w:rFonts w:hint="default"/>
                      <w:color w:val="auto"/>
                      <w:sz w:val="18"/>
                      <w:szCs w:val="18"/>
                    </w:rPr>
                    <w:t>项目应配套建设矿井水、生活污水、生产废水等污（废）水处理设施，处理后的污（废）水应最大限度进行综合利用，生活污水原则上不得外排。选煤厂煤泥水应实现闭路循环，不外排。暂无法全部利用确需外排的污（废）水，其污染物排放浓度应满足相关标准要求。</w:t>
                  </w:r>
                </w:p>
              </w:tc>
              <w:tc>
                <w:tcPr>
                  <w:tcW w:w="2832" w:type="dxa"/>
                  <w:vAlign w:val="center"/>
                </w:tcPr>
                <w:p w14:paraId="55499F0B">
                  <w:pPr>
                    <w:pStyle w:val="77"/>
                    <w:bidi w:val="0"/>
                    <w:jc w:val="both"/>
                    <w:rPr>
                      <w:rFonts w:hint="eastAsia"/>
                      <w:color w:val="auto"/>
                      <w:sz w:val="18"/>
                      <w:szCs w:val="18"/>
                      <w:lang w:eastAsia="zh-CN"/>
                    </w:rPr>
                  </w:pPr>
                  <w:r>
                    <w:rPr>
                      <w:rFonts w:hint="eastAsia"/>
                      <w:color w:val="auto"/>
                      <w:sz w:val="18"/>
                      <w:szCs w:val="18"/>
                      <w:lang w:eastAsia="zh-CN"/>
                    </w:rPr>
                    <w:t>本项目不在厂区范围内建设卫生间、洗手池等，员工生活污水依托水泥厂区内地埋式化粪池处理后接入市政污水管网后进入八公山污水处理厂处理；煤泥水经浓缩压滤后全部回用于洗煤工序，实现闭路循环，不外排。</w:t>
                  </w:r>
                </w:p>
              </w:tc>
              <w:tc>
                <w:tcPr>
                  <w:tcW w:w="928" w:type="dxa"/>
                  <w:vAlign w:val="center"/>
                </w:tcPr>
                <w:p w14:paraId="2DF30281">
                  <w:pPr>
                    <w:pStyle w:val="77"/>
                    <w:bidi w:val="0"/>
                    <w:jc w:val="center"/>
                    <w:rPr>
                      <w:rFonts w:hint="eastAsia"/>
                      <w:color w:val="auto"/>
                      <w:sz w:val="18"/>
                      <w:szCs w:val="18"/>
                      <w:lang w:eastAsia="zh-CN"/>
                    </w:rPr>
                  </w:pPr>
                  <w:r>
                    <w:rPr>
                      <w:rFonts w:hint="eastAsia"/>
                      <w:color w:val="auto"/>
                      <w:sz w:val="18"/>
                      <w:szCs w:val="18"/>
                      <w:lang w:eastAsia="zh-CN"/>
                    </w:rPr>
                    <w:t>符合</w:t>
                  </w:r>
                </w:p>
              </w:tc>
            </w:tr>
            <w:tr w14:paraId="1049F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vAlign w:val="center"/>
                </w:tcPr>
                <w:p w14:paraId="5C53718A">
                  <w:pPr>
                    <w:pStyle w:val="77"/>
                    <w:numPr>
                      <w:ilvl w:val="0"/>
                      <w:numId w:val="5"/>
                    </w:numPr>
                    <w:bidi w:val="0"/>
                    <w:ind w:left="0" w:leftChars="0" w:firstLine="0" w:firstLineChars="0"/>
                    <w:jc w:val="center"/>
                    <w:rPr>
                      <w:rFonts w:hint="eastAsia"/>
                      <w:color w:val="auto"/>
                      <w:sz w:val="18"/>
                      <w:szCs w:val="18"/>
                      <w:lang w:val="en-US" w:eastAsia="zh-CN"/>
                    </w:rPr>
                  </w:pPr>
                </w:p>
              </w:tc>
              <w:tc>
                <w:tcPr>
                  <w:tcW w:w="3888" w:type="dxa"/>
                  <w:vAlign w:val="center"/>
                </w:tcPr>
                <w:p w14:paraId="625F550C">
                  <w:pPr>
                    <w:pStyle w:val="77"/>
                    <w:bidi w:val="0"/>
                    <w:jc w:val="center"/>
                    <w:rPr>
                      <w:rFonts w:hint="eastAsia"/>
                      <w:color w:val="auto"/>
                      <w:sz w:val="18"/>
                      <w:szCs w:val="18"/>
                    </w:rPr>
                  </w:pPr>
                  <w:r>
                    <w:rPr>
                      <w:rFonts w:hint="default"/>
                      <w:color w:val="auto"/>
                      <w:sz w:val="18"/>
                      <w:szCs w:val="18"/>
                    </w:rPr>
                    <w:t>煤矸石等固体废物应优先综合利用，明确综合利用途径和处置方式并满足《煤矸石综合利用管理办法》相关要求。煤矸石综合利用方案中涉及煤矸石产生单位自行建设的工程，要与煤矿（选煤厂）工程同时设计、同时施工、同时投产使用；涉及为其他单位提供煤矸石的，煤矸石利用单位应当具备符合国家产业政策和环境保护要求的生产与处置能力。</w:t>
                  </w:r>
                </w:p>
              </w:tc>
              <w:tc>
                <w:tcPr>
                  <w:tcW w:w="2832" w:type="dxa"/>
                  <w:vAlign w:val="center"/>
                </w:tcPr>
                <w:p w14:paraId="733E147C">
                  <w:pPr>
                    <w:pStyle w:val="77"/>
                    <w:bidi w:val="0"/>
                    <w:jc w:val="both"/>
                    <w:rPr>
                      <w:rFonts w:hint="eastAsia"/>
                      <w:color w:val="auto"/>
                      <w:sz w:val="18"/>
                      <w:szCs w:val="18"/>
                    </w:rPr>
                  </w:pPr>
                  <w:r>
                    <w:rPr>
                      <w:rFonts w:hint="default"/>
                      <w:color w:val="auto"/>
                      <w:sz w:val="18"/>
                      <w:szCs w:val="18"/>
                    </w:rPr>
                    <w:t>在厂区内暂存后，定期由运输车辆拉运至筑路工程筑路。符合《煤矸石综合利用管理办法》所称煤矸石综合利用。</w:t>
                  </w:r>
                </w:p>
              </w:tc>
              <w:tc>
                <w:tcPr>
                  <w:tcW w:w="928" w:type="dxa"/>
                  <w:vAlign w:val="center"/>
                </w:tcPr>
                <w:p w14:paraId="6CDB2572">
                  <w:pPr>
                    <w:pStyle w:val="77"/>
                    <w:bidi w:val="0"/>
                    <w:jc w:val="center"/>
                    <w:rPr>
                      <w:rFonts w:hint="eastAsia"/>
                      <w:color w:val="auto"/>
                      <w:sz w:val="18"/>
                      <w:szCs w:val="18"/>
                      <w:lang w:eastAsia="zh-CN"/>
                    </w:rPr>
                  </w:pPr>
                  <w:r>
                    <w:rPr>
                      <w:rFonts w:hint="eastAsia"/>
                      <w:color w:val="auto"/>
                      <w:sz w:val="18"/>
                      <w:szCs w:val="18"/>
                      <w:lang w:eastAsia="zh-CN"/>
                    </w:rPr>
                    <w:t>符合</w:t>
                  </w:r>
                </w:p>
              </w:tc>
            </w:tr>
            <w:tr w14:paraId="0FDBF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vAlign w:val="center"/>
                </w:tcPr>
                <w:p w14:paraId="3015EAE1">
                  <w:pPr>
                    <w:pStyle w:val="77"/>
                    <w:numPr>
                      <w:ilvl w:val="0"/>
                      <w:numId w:val="5"/>
                    </w:numPr>
                    <w:bidi w:val="0"/>
                    <w:ind w:left="0" w:leftChars="0" w:firstLine="0" w:firstLineChars="0"/>
                    <w:jc w:val="center"/>
                    <w:rPr>
                      <w:rFonts w:hint="eastAsia"/>
                      <w:color w:val="auto"/>
                      <w:sz w:val="18"/>
                      <w:szCs w:val="18"/>
                      <w:lang w:val="en-US" w:eastAsia="zh-CN"/>
                    </w:rPr>
                  </w:pPr>
                </w:p>
              </w:tc>
              <w:tc>
                <w:tcPr>
                  <w:tcW w:w="3888" w:type="dxa"/>
                  <w:vAlign w:val="center"/>
                </w:tcPr>
                <w:p w14:paraId="7771430B">
                  <w:pPr>
                    <w:pStyle w:val="77"/>
                    <w:bidi w:val="0"/>
                    <w:jc w:val="center"/>
                    <w:rPr>
                      <w:rFonts w:hint="eastAsia"/>
                      <w:color w:val="auto"/>
                      <w:sz w:val="18"/>
                      <w:szCs w:val="18"/>
                    </w:rPr>
                  </w:pPr>
                  <w:r>
                    <w:rPr>
                      <w:rFonts w:hint="default"/>
                      <w:color w:val="auto"/>
                      <w:sz w:val="18"/>
                      <w:szCs w:val="18"/>
                      <w:lang w:val="en-US" w:eastAsia="zh-CN"/>
                    </w:rPr>
                    <w:t>煤矿地面储、装、运及生产系统各产尘环节应采取有效抑尘措施。涉及环境敏感区或区域颗粒物超标地区的项目，应封闭储煤，厂界无组织排放满足相关标准要求。优先采用依托热源、水源热泵、气源热泵、清洁能源等供热形式，确需建设燃煤锅炉的，应符合《大气污染防治行动计划》等相关要求，采取高效烟气脱硫、脱硝和除尘措施，并安装烟气在线监测系统，污染物排放应满足相关排放标准要求</w:t>
                  </w:r>
                  <w:r>
                    <w:rPr>
                      <w:rFonts w:hint="eastAsia"/>
                      <w:color w:val="auto"/>
                      <w:sz w:val="18"/>
                      <w:szCs w:val="18"/>
                      <w:lang w:val="en-US" w:eastAsia="zh-CN"/>
                    </w:rPr>
                    <w:t>。</w:t>
                  </w:r>
                </w:p>
              </w:tc>
              <w:tc>
                <w:tcPr>
                  <w:tcW w:w="2832" w:type="dxa"/>
                  <w:vAlign w:val="center"/>
                </w:tcPr>
                <w:p w14:paraId="45276449">
                  <w:pPr>
                    <w:pStyle w:val="77"/>
                    <w:bidi w:val="0"/>
                    <w:jc w:val="center"/>
                    <w:rPr>
                      <w:rFonts w:hint="eastAsia"/>
                      <w:color w:val="auto"/>
                      <w:sz w:val="18"/>
                      <w:szCs w:val="18"/>
                    </w:rPr>
                  </w:pPr>
                  <w:r>
                    <w:rPr>
                      <w:rFonts w:hint="default"/>
                      <w:color w:val="auto"/>
                      <w:sz w:val="18"/>
                      <w:szCs w:val="18"/>
                      <w:lang w:val="en-US" w:eastAsia="zh-CN"/>
                    </w:rPr>
                    <w:t>本项目煤炭采用全封闭式储存和转载的方式，</w:t>
                  </w:r>
                  <w:r>
                    <w:rPr>
                      <w:rFonts w:hint="default"/>
                      <w:color w:val="auto"/>
                      <w:sz w:val="18"/>
                      <w:szCs w:val="18"/>
                    </w:rPr>
                    <w:t>运输车辆在厂外道路行驶过程中，加盖</w:t>
                  </w:r>
                  <w:r>
                    <w:rPr>
                      <w:rFonts w:hint="eastAsia"/>
                      <w:color w:val="auto"/>
                      <w:sz w:val="18"/>
                      <w:szCs w:val="18"/>
                      <w:lang w:eastAsia="zh-CN"/>
                    </w:rPr>
                    <w:t>苫布</w:t>
                  </w:r>
                  <w:r>
                    <w:rPr>
                      <w:rFonts w:hint="default"/>
                      <w:color w:val="auto"/>
                      <w:sz w:val="18"/>
                      <w:szCs w:val="18"/>
                    </w:rPr>
                    <w:t>并控制车速，</w:t>
                  </w:r>
                  <w:r>
                    <w:rPr>
                      <w:rFonts w:hint="eastAsia"/>
                      <w:color w:val="auto"/>
                      <w:sz w:val="18"/>
                      <w:szCs w:val="18"/>
                      <w:lang w:eastAsia="zh-CN"/>
                    </w:rPr>
                    <w:t>行驶路段避开八公山风景区，</w:t>
                  </w:r>
                  <w:r>
                    <w:rPr>
                      <w:rFonts w:hint="default"/>
                      <w:color w:val="auto"/>
                      <w:sz w:val="18"/>
                      <w:szCs w:val="18"/>
                    </w:rPr>
                    <w:t>经过</w:t>
                  </w:r>
                  <w:r>
                    <w:rPr>
                      <w:rFonts w:hint="eastAsia"/>
                      <w:color w:val="auto"/>
                      <w:sz w:val="18"/>
                      <w:szCs w:val="18"/>
                      <w:lang w:eastAsia="zh-CN"/>
                    </w:rPr>
                    <w:t>居民区等</w:t>
                  </w:r>
                  <w:r>
                    <w:rPr>
                      <w:rFonts w:hint="default"/>
                      <w:color w:val="auto"/>
                      <w:sz w:val="18"/>
                      <w:szCs w:val="18"/>
                    </w:rPr>
                    <w:t>敏感地段时减速慢行，减少</w:t>
                  </w:r>
                  <w:r>
                    <w:rPr>
                      <w:rFonts w:hint="default"/>
                      <w:color w:val="auto"/>
                      <w:sz w:val="18"/>
                      <w:szCs w:val="18"/>
                      <w:lang w:val="en-US" w:eastAsia="zh-CN"/>
                    </w:rPr>
                    <w:t>行驶</w:t>
                  </w:r>
                  <w:r>
                    <w:rPr>
                      <w:rFonts w:hint="default"/>
                      <w:color w:val="auto"/>
                      <w:sz w:val="18"/>
                      <w:szCs w:val="18"/>
                    </w:rPr>
                    <w:t>过程扬尘扬散，厂区采取洒水降尘措施。严格落实环保措施后，厂界无组织排放满足《煤炭工业污染物排放标准》（GB20426-2006）。</w:t>
                  </w:r>
                </w:p>
              </w:tc>
              <w:tc>
                <w:tcPr>
                  <w:tcW w:w="928" w:type="dxa"/>
                  <w:vAlign w:val="center"/>
                </w:tcPr>
                <w:p w14:paraId="0DCC4E5C">
                  <w:pPr>
                    <w:pStyle w:val="77"/>
                    <w:bidi w:val="0"/>
                    <w:jc w:val="center"/>
                    <w:rPr>
                      <w:rFonts w:hint="eastAsia"/>
                      <w:color w:val="auto"/>
                      <w:sz w:val="18"/>
                      <w:szCs w:val="18"/>
                      <w:lang w:eastAsia="zh-CN"/>
                    </w:rPr>
                  </w:pPr>
                  <w:r>
                    <w:rPr>
                      <w:rFonts w:hint="eastAsia"/>
                      <w:color w:val="auto"/>
                      <w:sz w:val="18"/>
                      <w:szCs w:val="18"/>
                      <w:lang w:eastAsia="zh-CN"/>
                    </w:rPr>
                    <w:t>符合</w:t>
                  </w:r>
                </w:p>
              </w:tc>
            </w:tr>
            <w:tr w14:paraId="7E51C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vAlign w:val="center"/>
                </w:tcPr>
                <w:p w14:paraId="3219DAB0">
                  <w:pPr>
                    <w:pStyle w:val="77"/>
                    <w:numPr>
                      <w:ilvl w:val="0"/>
                      <w:numId w:val="5"/>
                    </w:numPr>
                    <w:bidi w:val="0"/>
                    <w:ind w:left="0" w:leftChars="0" w:firstLine="0" w:firstLineChars="0"/>
                    <w:jc w:val="center"/>
                    <w:rPr>
                      <w:rFonts w:hint="default"/>
                      <w:color w:val="auto"/>
                      <w:sz w:val="18"/>
                      <w:szCs w:val="18"/>
                      <w:lang w:val="en-US" w:eastAsia="zh-CN"/>
                    </w:rPr>
                  </w:pPr>
                </w:p>
              </w:tc>
              <w:tc>
                <w:tcPr>
                  <w:tcW w:w="3888" w:type="dxa"/>
                  <w:vAlign w:val="center"/>
                </w:tcPr>
                <w:p w14:paraId="0FD4589D">
                  <w:pPr>
                    <w:pStyle w:val="77"/>
                    <w:bidi w:val="0"/>
                    <w:jc w:val="center"/>
                    <w:rPr>
                      <w:rFonts w:hint="eastAsia"/>
                      <w:color w:val="auto"/>
                      <w:sz w:val="18"/>
                      <w:szCs w:val="18"/>
                    </w:rPr>
                  </w:pPr>
                  <w:r>
                    <w:rPr>
                      <w:rFonts w:hint="default"/>
                      <w:color w:val="auto"/>
                      <w:sz w:val="18"/>
                      <w:szCs w:val="18"/>
                    </w:rPr>
                    <w:t>选择低噪声设备、优化场地布局并采取隔声、消声、减振等有效噪声控制措施，噪声排放应满足《工业企业厂界环境噪声排放标准》（GB12348）要求。</w:t>
                  </w:r>
                </w:p>
              </w:tc>
              <w:tc>
                <w:tcPr>
                  <w:tcW w:w="2832" w:type="dxa"/>
                  <w:vAlign w:val="center"/>
                </w:tcPr>
                <w:p w14:paraId="2FFFDCBA">
                  <w:pPr>
                    <w:pStyle w:val="77"/>
                    <w:bidi w:val="0"/>
                    <w:jc w:val="center"/>
                    <w:rPr>
                      <w:rFonts w:hint="eastAsia"/>
                      <w:color w:val="auto"/>
                      <w:sz w:val="18"/>
                      <w:szCs w:val="18"/>
                    </w:rPr>
                  </w:pPr>
                  <w:r>
                    <w:rPr>
                      <w:rFonts w:hint="default"/>
                      <w:color w:val="auto"/>
                      <w:sz w:val="18"/>
                      <w:szCs w:val="18"/>
                    </w:rPr>
                    <w:t>选用低噪声设备，设备均安置于车间内，建筑采取隔声、降噪措施，振动较大的设备采取独立基础，设置减振器，减少噪声对外环境的影响。严格落实环保措施后，本项目厂界噪声满足《工业企业厂界环境噪声排放标准》（GB12348-2008）中</w:t>
                  </w:r>
                  <w:r>
                    <w:rPr>
                      <w:rFonts w:hint="eastAsia"/>
                      <w:color w:val="auto"/>
                      <w:sz w:val="18"/>
                      <w:szCs w:val="18"/>
                      <w:lang w:val="en-US" w:eastAsia="zh-CN"/>
                    </w:rPr>
                    <w:t>相关</w:t>
                  </w:r>
                  <w:r>
                    <w:rPr>
                      <w:rFonts w:hint="default"/>
                      <w:color w:val="auto"/>
                      <w:sz w:val="18"/>
                      <w:szCs w:val="18"/>
                    </w:rPr>
                    <w:t>标准要求。</w:t>
                  </w:r>
                </w:p>
              </w:tc>
              <w:tc>
                <w:tcPr>
                  <w:tcW w:w="928" w:type="dxa"/>
                  <w:vAlign w:val="center"/>
                </w:tcPr>
                <w:p w14:paraId="6614492B">
                  <w:pPr>
                    <w:pStyle w:val="77"/>
                    <w:bidi w:val="0"/>
                    <w:jc w:val="center"/>
                    <w:rPr>
                      <w:rFonts w:hint="eastAsia"/>
                      <w:color w:val="auto"/>
                      <w:sz w:val="18"/>
                      <w:szCs w:val="18"/>
                    </w:rPr>
                  </w:pPr>
                </w:p>
              </w:tc>
            </w:tr>
          </w:tbl>
          <w:p w14:paraId="351CF677">
            <w:pPr>
              <w:pStyle w:val="771"/>
              <w:bidi w:val="0"/>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3、与</w:t>
            </w:r>
            <w:r>
              <w:rPr>
                <w:rFonts w:hint="default" w:ascii="Times New Roman" w:hAnsi="Times New Roman" w:eastAsia="宋体" w:cs="Times New Roman"/>
                <w:b/>
                <w:bCs/>
                <w:color w:val="auto"/>
                <w:lang w:val="en-US" w:eastAsia="zh-CN"/>
              </w:rPr>
              <w:t>《煤炭洗选工程设计规范》（GB50359-2016）</w:t>
            </w:r>
            <w:r>
              <w:rPr>
                <w:rFonts w:hint="eastAsia" w:ascii="Times New Roman" w:hAnsi="Times New Roman" w:eastAsia="宋体" w:cs="Times New Roman"/>
                <w:b/>
                <w:bCs/>
                <w:color w:val="auto"/>
                <w:lang w:val="en-US" w:eastAsia="zh-CN"/>
              </w:rPr>
              <w:t>的相符性分析</w:t>
            </w:r>
          </w:p>
          <w:p w14:paraId="4DE60DE2">
            <w:pPr>
              <w:pStyle w:val="771"/>
              <w:bidi w:val="0"/>
              <w:rPr>
                <w:rFonts w:hint="eastAsia" w:ascii="Times New Roman" w:hAnsi="Times New Roman" w:eastAsia="宋体" w:cs="Times New Roman"/>
                <w:color w:val="auto"/>
                <w:lang w:val="en-US" w:eastAsia="zh-CN"/>
              </w:rPr>
            </w:pPr>
            <w:r>
              <w:rPr>
                <w:rFonts w:hint="eastAsia"/>
                <w:color w:val="auto"/>
                <w:lang w:val="en-US" w:eastAsia="zh-CN"/>
              </w:rPr>
              <w:t>本项目</w:t>
            </w:r>
            <w:r>
              <w:rPr>
                <w:rFonts w:hint="eastAsia" w:ascii="Times New Roman" w:hAnsi="Times New Roman" w:eastAsia="宋体" w:cs="Times New Roman"/>
                <w:color w:val="auto"/>
                <w:lang w:val="en-US" w:eastAsia="zh-CN"/>
              </w:rPr>
              <w:t>与</w:t>
            </w:r>
            <w:r>
              <w:rPr>
                <w:rFonts w:hint="default" w:ascii="Times New Roman" w:hAnsi="Times New Roman" w:eastAsia="宋体" w:cs="Times New Roman"/>
                <w:color w:val="auto"/>
                <w:lang w:val="en-US" w:eastAsia="zh-CN"/>
              </w:rPr>
              <w:t>《煤炭洗选工程设计规范》（GB50359-2016）</w:t>
            </w:r>
            <w:r>
              <w:rPr>
                <w:rFonts w:hint="eastAsia" w:ascii="Times New Roman" w:hAnsi="Times New Roman" w:eastAsia="宋体" w:cs="Times New Roman"/>
                <w:color w:val="auto"/>
                <w:lang w:val="en-US" w:eastAsia="zh-CN"/>
              </w:rPr>
              <w:t>的相符性分析见下表。</w:t>
            </w:r>
          </w:p>
          <w:p w14:paraId="4A56E5E5">
            <w:pPr>
              <w:pStyle w:val="15"/>
              <w:rPr>
                <w:rFonts w:hint="eastAsia" w:eastAsia="宋体"/>
                <w:color w:val="auto"/>
                <w:lang w:val="en-US" w:eastAsia="zh-CN"/>
              </w:rPr>
            </w:pPr>
            <w:r>
              <w:rPr>
                <w:color w:val="auto"/>
              </w:rPr>
              <w:t xml:space="preserve">表 </w:t>
            </w:r>
            <w:r>
              <w:rPr>
                <w:rFonts w:hint="eastAsia"/>
                <w:color w:val="auto"/>
                <w:lang w:val="en-US" w:eastAsia="zh-CN"/>
              </w:rPr>
              <w:t>1</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8</w:t>
            </w:r>
            <w:r>
              <w:rPr>
                <w:color w:val="auto"/>
              </w:rPr>
              <w:fldChar w:fldCharType="end"/>
            </w:r>
            <w:r>
              <w:rPr>
                <w:rFonts w:hint="eastAsia"/>
                <w:color w:val="auto"/>
                <w:lang w:val="en-US" w:eastAsia="zh-CN"/>
              </w:rPr>
              <w:t xml:space="preserve"> </w:t>
            </w:r>
            <w:r>
              <w:rPr>
                <w:rFonts w:hint="eastAsia" w:ascii="Times New Roman" w:hAnsi="Times New Roman" w:eastAsia="宋体" w:cs="Times New Roman"/>
                <w:color w:val="auto"/>
                <w:lang w:val="en-US" w:eastAsia="zh-CN"/>
              </w:rPr>
              <w:t>与</w:t>
            </w:r>
            <w:r>
              <w:rPr>
                <w:rFonts w:hint="default" w:ascii="Times New Roman" w:hAnsi="Times New Roman" w:eastAsia="宋体" w:cs="Times New Roman"/>
                <w:color w:val="auto"/>
                <w:lang w:val="en-US" w:eastAsia="zh-CN"/>
              </w:rPr>
              <w:t>《煤炭洗选工程设计规范》（GB50359-2016）</w:t>
            </w:r>
            <w:r>
              <w:rPr>
                <w:rFonts w:hint="eastAsia" w:ascii="Times New Roman" w:hAnsi="Times New Roman" w:eastAsia="宋体" w:cs="Times New Roman"/>
                <w:color w:val="auto"/>
                <w:lang w:val="en-US" w:eastAsia="zh-CN"/>
              </w:rPr>
              <w:t>的相符性分析</w:t>
            </w:r>
          </w:p>
          <w:tbl>
            <w:tblPr>
              <w:tblStyle w:val="54"/>
              <w:tblW w:w="83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7"/>
              <w:gridCol w:w="3135"/>
              <w:gridCol w:w="838"/>
            </w:tblGrid>
            <w:tr w14:paraId="59A6E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67" w:type="dxa"/>
                  <w:shd w:val="clear" w:color="auto" w:fill="auto"/>
                  <w:vAlign w:val="center"/>
                </w:tcPr>
                <w:p w14:paraId="25796020">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sz w:val="18"/>
                      <w:szCs w:val="18"/>
                    </w:rPr>
                    <w:t>具体要求</w:t>
                  </w:r>
                </w:p>
              </w:tc>
              <w:tc>
                <w:tcPr>
                  <w:tcW w:w="3135" w:type="dxa"/>
                  <w:shd w:val="clear" w:color="auto" w:fill="auto"/>
                  <w:vAlign w:val="center"/>
                </w:tcPr>
                <w:p w14:paraId="5BCB0561">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sz w:val="18"/>
                      <w:szCs w:val="18"/>
                    </w:rPr>
                    <w:t>项目情况</w:t>
                  </w:r>
                </w:p>
              </w:tc>
              <w:tc>
                <w:tcPr>
                  <w:tcW w:w="838" w:type="dxa"/>
                  <w:shd w:val="clear" w:color="auto" w:fill="auto"/>
                  <w:vAlign w:val="center"/>
                </w:tcPr>
                <w:p w14:paraId="0C12AD58">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sz w:val="18"/>
                      <w:szCs w:val="18"/>
                    </w:rPr>
                    <w:t>符合性</w:t>
                  </w:r>
                </w:p>
              </w:tc>
            </w:tr>
            <w:tr w14:paraId="112EB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67" w:type="dxa"/>
                  <w:shd w:val="clear" w:color="auto" w:fill="auto"/>
                  <w:vAlign w:val="center"/>
                </w:tcPr>
                <w:p w14:paraId="27669769">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sz w:val="18"/>
                      <w:szCs w:val="18"/>
                    </w:rPr>
                    <w:t>2.0.7选煤厂必须实现洗水闭路循环。</w:t>
                  </w:r>
                </w:p>
              </w:tc>
              <w:tc>
                <w:tcPr>
                  <w:tcW w:w="3135" w:type="dxa"/>
                  <w:shd w:val="clear" w:color="auto" w:fill="auto"/>
                  <w:vAlign w:val="center"/>
                </w:tcPr>
                <w:p w14:paraId="1C2767F4">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kern w:val="0"/>
                      <w:sz w:val="18"/>
                      <w:szCs w:val="18"/>
                      <w:lang w:val="en-US" w:eastAsia="zh-CN" w:bidi="ar-SA"/>
                    </w:rPr>
                  </w:pPr>
                  <w:r>
                    <w:rPr>
                      <w:rFonts w:hint="eastAsia" w:ascii="Times New Roman" w:hAnsi="Times New Roman" w:eastAsia="宋体" w:cs="Times New Roman"/>
                      <w:color w:val="auto"/>
                      <w:sz w:val="18"/>
                      <w:szCs w:val="18"/>
                      <w:lang w:eastAsia="zh-CN"/>
                    </w:rPr>
                    <w:t>本项目生产废水全部回用，实现</w:t>
                  </w:r>
                  <w:r>
                    <w:rPr>
                      <w:rFonts w:hint="default" w:ascii="Times New Roman" w:hAnsi="Times New Roman" w:eastAsia="宋体" w:cs="Times New Roman"/>
                      <w:color w:val="auto"/>
                      <w:sz w:val="18"/>
                      <w:szCs w:val="18"/>
                    </w:rPr>
                    <w:t>闭路循环。</w:t>
                  </w:r>
                </w:p>
              </w:tc>
              <w:tc>
                <w:tcPr>
                  <w:tcW w:w="838" w:type="dxa"/>
                  <w:shd w:val="clear" w:color="auto" w:fill="auto"/>
                  <w:vAlign w:val="center"/>
                </w:tcPr>
                <w:p w14:paraId="466BB6E8">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rPr>
                    <w:t>符合</w:t>
                  </w:r>
                </w:p>
              </w:tc>
            </w:tr>
            <w:tr w14:paraId="4E158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67" w:type="dxa"/>
                  <w:shd w:val="clear" w:color="auto" w:fill="auto"/>
                  <w:vAlign w:val="center"/>
                </w:tcPr>
                <w:p w14:paraId="0E40FA9C">
                  <w:pPr>
                    <w:pStyle w:val="48"/>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kern w:val="2"/>
                      <w:sz w:val="18"/>
                      <w:szCs w:val="18"/>
                    </w:rPr>
                    <w:t>3.2.4选煤厂、储配煤场应减少露天储存原煤；在人口集中的城镇附近的选煤厂、储配煤场，应采用封闭方式储存原煤；其他选煤厂、储配煤场在露天储存原煤时，应采取防风抑尘措施。</w:t>
                  </w:r>
                </w:p>
              </w:tc>
              <w:tc>
                <w:tcPr>
                  <w:tcW w:w="3135" w:type="dxa"/>
                  <w:shd w:val="clear" w:color="auto" w:fill="auto"/>
                  <w:vAlign w:val="center"/>
                </w:tcPr>
                <w:p w14:paraId="2CA90BD7">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sz w:val="18"/>
                      <w:szCs w:val="18"/>
                    </w:rPr>
                    <w:t>原煤</w:t>
                  </w:r>
                  <w:r>
                    <w:rPr>
                      <w:rFonts w:hint="eastAsia" w:ascii="Times New Roman" w:hAnsi="Times New Roman" w:eastAsia="宋体" w:cs="Times New Roman"/>
                      <w:color w:val="auto"/>
                      <w:sz w:val="18"/>
                      <w:szCs w:val="18"/>
                      <w:lang w:eastAsia="zh-CN"/>
                    </w:rPr>
                    <w:t>储存</w:t>
                  </w:r>
                  <w:r>
                    <w:rPr>
                      <w:rFonts w:hint="default" w:ascii="Times New Roman" w:hAnsi="Times New Roman" w:eastAsia="宋体" w:cs="Times New Roman"/>
                      <w:color w:val="auto"/>
                      <w:sz w:val="18"/>
                      <w:szCs w:val="18"/>
                    </w:rPr>
                    <w:t>采取全封闭式钢结构，地面硬化，堆场</w:t>
                  </w:r>
                  <w:r>
                    <w:rPr>
                      <w:rFonts w:hint="eastAsia" w:cs="Times New Roman"/>
                      <w:color w:val="auto"/>
                      <w:sz w:val="18"/>
                      <w:szCs w:val="18"/>
                      <w:lang w:eastAsia="zh-CN"/>
                    </w:rPr>
                    <w:t>四周</w:t>
                  </w:r>
                  <w:r>
                    <w:rPr>
                      <w:rFonts w:hint="default" w:ascii="Times New Roman" w:hAnsi="Times New Roman" w:eastAsia="宋体" w:cs="Times New Roman"/>
                      <w:color w:val="auto"/>
                      <w:sz w:val="18"/>
                      <w:szCs w:val="18"/>
                    </w:rPr>
                    <w:t>设置围堰、顶部搭棚密封，采取洒水喷淋</w:t>
                  </w:r>
                  <w:r>
                    <w:rPr>
                      <w:rFonts w:hint="eastAsia" w:cs="Times New Roman"/>
                      <w:color w:val="auto"/>
                      <w:sz w:val="18"/>
                      <w:szCs w:val="18"/>
                      <w:lang w:eastAsia="zh-CN"/>
                    </w:rPr>
                    <w:t>抑尘</w:t>
                  </w:r>
                  <w:r>
                    <w:rPr>
                      <w:rFonts w:hint="default" w:ascii="Times New Roman" w:hAnsi="Times New Roman" w:eastAsia="宋体" w:cs="Times New Roman"/>
                      <w:color w:val="auto"/>
                      <w:sz w:val="18"/>
                      <w:szCs w:val="18"/>
                    </w:rPr>
                    <w:t>措施。</w:t>
                  </w:r>
                </w:p>
              </w:tc>
              <w:tc>
                <w:tcPr>
                  <w:tcW w:w="838" w:type="dxa"/>
                  <w:shd w:val="clear" w:color="auto" w:fill="auto"/>
                  <w:vAlign w:val="center"/>
                </w:tcPr>
                <w:p w14:paraId="6BFBA439">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rPr>
                    <w:t>符合</w:t>
                  </w:r>
                </w:p>
              </w:tc>
            </w:tr>
            <w:tr w14:paraId="0E141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67" w:type="dxa"/>
                  <w:shd w:val="clear" w:color="auto" w:fill="auto"/>
                  <w:vAlign w:val="center"/>
                </w:tcPr>
                <w:p w14:paraId="64A1D586">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sz w:val="18"/>
                      <w:szCs w:val="18"/>
                    </w:rPr>
                    <w:t>6.2.5干燥后的产品运输及转载处必须设置密闭罩，并应采取相应的除尘措施。</w:t>
                  </w:r>
                </w:p>
              </w:tc>
              <w:tc>
                <w:tcPr>
                  <w:tcW w:w="3135" w:type="dxa"/>
                  <w:shd w:val="clear" w:color="auto" w:fill="auto"/>
                  <w:vAlign w:val="center"/>
                </w:tcPr>
                <w:p w14:paraId="322B507B">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sz w:val="18"/>
                      <w:szCs w:val="18"/>
                    </w:rPr>
                    <w:t>本项目煤场至生产车间传送装置设置密闭廊道并采取定期洒水降尘措施。</w:t>
                  </w:r>
                </w:p>
              </w:tc>
              <w:tc>
                <w:tcPr>
                  <w:tcW w:w="838" w:type="dxa"/>
                  <w:shd w:val="clear" w:color="auto" w:fill="auto"/>
                  <w:vAlign w:val="center"/>
                </w:tcPr>
                <w:p w14:paraId="61C6050C">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rPr>
                    <w:t>符合</w:t>
                  </w:r>
                </w:p>
              </w:tc>
            </w:tr>
            <w:tr w14:paraId="03E8B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67" w:type="dxa"/>
                  <w:shd w:val="clear" w:color="auto" w:fill="auto"/>
                  <w:vAlign w:val="center"/>
                </w:tcPr>
                <w:p w14:paraId="1C29CE2A">
                  <w:pPr>
                    <w:pStyle w:val="48"/>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kern w:val="2"/>
                      <w:sz w:val="18"/>
                      <w:szCs w:val="18"/>
                    </w:rPr>
                    <w:t>7.1.8露天储煤场应在其周围进行雨水收集，并应经沉淀处理回用或外排。</w:t>
                  </w:r>
                </w:p>
              </w:tc>
              <w:tc>
                <w:tcPr>
                  <w:tcW w:w="3135" w:type="dxa"/>
                  <w:shd w:val="clear" w:color="auto" w:fill="auto"/>
                  <w:vAlign w:val="center"/>
                </w:tcPr>
                <w:p w14:paraId="3C029246">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sz w:val="18"/>
                      <w:szCs w:val="18"/>
                    </w:rPr>
                    <w:t>在厂区设置导流渠，初期雨水汇入</w:t>
                  </w:r>
                  <w:r>
                    <w:rPr>
                      <w:rFonts w:hint="default" w:ascii="Times New Roman" w:hAnsi="Times New Roman" w:eastAsia="宋体" w:cs="Times New Roman"/>
                      <w:color w:val="auto"/>
                      <w:sz w:val="18"/>
                      <w:szCs w:val="18"/>
                      <w:highlight w:val="none"/>
                    </w:rPr>
                    <w:t>初期雨水收集池，</w:t>
                  </w:r>
                  <w:r>
                    <w:rPr>
                      <w:rFonts w:hint="default" w:ascii="Times New Roman" w:hAnsi="Times New Roman" w:eastAsia="宋体" w:cs="Times New Roman"/>
                      <w:color w:val="auto"/>
                      <w:sz w:val="18"/>
                      <w:szCs w:val="18"/>
                    </w:rPr>
                    <w:t>用于厂区洒水抑尘。</w:t>
                  </w:r>
                </w:p>
              </w:tc>
              <w:tc>
                <w:tcPr>
                  <w:tcW w:w="838" w:type="dxa"/>
                  <w:shd w:val="clear" w:color="auto" w:fill="auto"/>
                  <w:vAlign w:val="center"/>
                </w:tcPr>
                <w:p w14:paraId="392523D6">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kern w:val="0"/>
                      <w:sz w:val="18"/>
                      <w:szCs w:val="18"/>
                    </w:rPr>
                    <w:t>符合</w:t>
                  </w:r>
                </w:p>
              </w:tc>
            </w:tr>
            <w:tr w14:paraId="0F2AA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67" w:type="dxa"/>
                  <w:shd w:val="clear" w:color="auto" w:fill="auto"/>
                  <w:vAlign w:val="center"/>
                </w:tcPr>
                <w:p w14:paraId="3CE6119F">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sz w:val="18"/>
                      <w:szCs w:val="18"/>
                    </w:rPr>
                    <w:t>7.3.1洗煤厂必须设置事故煤泥水处理环节。</w:t>
                  </w:r>
                </w:p>
              </w:tc>
              <w:tc>
                <w:tcPr>
                  <w:tcW w:w="3135" w:type="dxa"/>
                  <w:shd w:val="clear" w:color="auto" w:fill="auto"/>
                  <w:vAlign w:val="center"/>
                </w:tcPr>
                <w:p w14:paraId="474B9B80">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sz w:val="18"/>
                      <w:szCs w:val="18"/>
                    </w:rPr>
                    <w:t>煤泥水经压滤处理后回用于生产。</w:t>
                  </w:r>
                </w:p>
              </w:tc>
              <w:tc>
                <w:tcPr>
                  <w:tcW w:w="838" w:type="dxa"/>
                  <w:shd w:val="clear" w:color="auto" w:fill="auto"/>
                  <w:vAlign w:val="center"/>
                </w:tcPr>
                <w:p w14:paraId="492C4578">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0"/>
                      <w:sz w:val="18"/>
                      <w:szCs w:val="18"/>
                      <w:lang w:val="en-US" w:eastAsia="zh-CN" w:bidi="ar-SA"/>
                    </w:rPr>
                  </w:pPr>
                  <w:r>
                    <w:rPr>
                      <w:rFonts w:hint="default" w:ascii="Times New Roman" w:hAnsi="Times New Roman" w:eastAsia="宋体" w:cs="Times New Roman"/>
                      <w:color w:val="auto"/>
                      <w:sz w:val="18"/>
                      <w:szCs w:val="18"/>
                    </w:rPr>
                    <w:t>符合</w:t>
                  </w:r>
                </w:p>
              </w:tc>
            </w:tr>
            <w:tr w14:paraId="37D36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367" w:type="dxa"/>
                  <w:shd w:val="clear" w:color="auto" w:fill="auto"/>
                  <w:vAlign w:val="center"/>
                </w:tcPr>
                <w:p w14:paraId="4AEF2238">
                  <w:pPr>
                    <w:pStyle w:val="48"/>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right="0"/>
                    <w:rPr>
                      <w:rFonts w:hint="default" w:ascii="Times New Roman" w:hAnsi="Times New Roman" w:eastAsia="宋体" w:cs="Times New Roman"/>
                      <w:color w:val="auto"/>
                      <w:kern w:val="2"/>
                      <w:sz w:val="18"/>
                      <w:szCs w:val="18"/>
                    </w:rPr>
                  </w:pPr>
                  <w:r>
                    <w:rPr>
                      <w:rFonts w:hint="default" w:ascii="Times New Roman" w:hAnsi="Times New Roman" w:eastAsia="宋体" w:cs="Times New Roman"/>
                      <w:color w:val="auto"/>
                      <w:kern w:val="2"/>
                      <w:sz w:val="18"/>
                      <w:szCs w:val="18"/>
                    </w:rPr>
                    <w:t>7.3.2事故煤泥水处理设施的选择应符合下列规定：</w:t>
                  </w:r>
                </w:p>
                <w:p w14:paraId="212AF01D">
                  <w:pPr>
                    <w:pStyle w:val="48"/>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right="0"/>
                    <w:rPr>
                      <w:rFonts w:hint="default" w:ascii="Times New Roman" w:hAnsi="Times New Roman" w:eastAsia="宋体" w:cs="Times New Roman"/>
                      <w:color w:val="auto"/>
                      <w:kern w:val="2"/>
                      <w:sz w:val="18"/>
                      <w:szCs w:val="18"/>
                    </w:rPr>
                  </w:pPr>
                  <w:r>
                    <w:rPr>
                      <w:rFonts w:hint="default" w:ascii="Times New Roman" w:hAnsi="Times New Roman" w:eastAsia="宋体" w:cs="Times New Roman"/>
                      <w:color w:val="auto"/>
                      <w:kern w:val="2"/>
                      <w:sz w:val="18"/>
                      <w:szCs w:val="18"/>
                    </w:rPr>
                    <w:t>1宜选用事故浓缩机，也可选用事故煤泥沉淀池。</w:t>
                  </w:r>
                </w:p>
                <w:p w14:paraId="65F294B6">
                  <w:pPr>
                    <w:pStyle w:val="48"/>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right="0"/>
                    <w:rPr>
                      <w:rFonts w:hint="default" w:ascii="Times New Roman" w:hAnsi="Times New Roman" w:eastAsia="宋体" w:cs="Times New Roman"/>
                      <w:color w:val="auto"/>
                      <w:kern w:val="2"/>
                      <w:sz w:val="18"/>
                      <w:szCs w:val="18"/>
                    </w:rPr>
                  </w:pPr>
                  <w:r>
                    <w:rPr>
                      <w:rFonts w:hint="default" w:ascii="Times New Roman" w:hAnsi="Times New Roman" w:eastAsia="宋体" w:cs="Times New Roman"/>
                      <w:color w:val="auto"/>
                      <w:kern w:val="2"/>
                      <w:sz w:val="18"/>
                      <w:szCs w:val="18"/>
                    </w:rPr>
                    <w:t>2事故浓缩机应与最大一台工作浓缩机同型号，并可与工作浓缩机互为备用。条件受限时，也可采用无浓缩机的事故浓缩池。</w:t>
                  </w:r>
                </w:p>
                <w:p w14:paraId="6C8A3C93">
                  <w:pPr>
                    <w:pStyle w:val="48"/>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right="0"/>
                    <w:rPr>
                      <w:rFonts w:hint="default" w:ascii="Times New Roman" w:hAnsi="Times New Roman" w:eastAsia="宋体" w:cs="Times New Roman"/>
                      <w:color w:val="auto"/>
                      <w:kern w:val="2"/>
                      <w:sz w:val="18"/>
                      <w:szCs w:val="18"/>
                    </w:rPr>
                  </w:pPr>
                  <w:r>
                    <w:rPr>
                      <w:rFonts w:hint="default" w:ascii="Times New Roman" w:hAnsi="Times New Roman" w:eastAsia="宋体" w:cs="Times New Roman"/>
                      <w:color w:val="auto"/>
                      <w:kern w:val="2"/>
                      <w:sz w:val="18"/>
                      <w:szCs w:val="18"/>
                    </w:rPr>
                    <w:t>3选用事故煤泥水池时</w:t>
                  </w:r>
                  <w:r>
                    <w:rPr>
                      <w:rFonts w:hint="default" w:ascii="Times New Roman" w:hAnsi="Times New Roman" w:eastAsia="宋体" w:cs="Times New Roman"/>
                      <w:color w:val="auto"/>
                      <w:kern w:val="2"/>
                      <w:sz w:val="18"/>
                      <w:szCs w:val="18"/>
                      <w:highlight w:val="none"/>
                    </w:rPr>
                    <w:t>，其有效容积应为厂内最大一台设备有效容积的1.2倍～1.</w:t>
                  </w:r>
                  <w:r>
                    <w:rPr>
                      <w:rFonts w:hint="default" w:ascii="Times New Roman" w:hAnsi="Times New Roman" w:eastAsia="宋体" w:cs="Times New Roman"/>
                      <w:color w:val="auto"/>
                      <w:kern w:val="2"/>
                      <w:sz w:val="18"/>
                      <w:szCs w:val="18"/>
                    </w:rPr>
                    <w:t>5倍。事故煤泥水池可不设澄清水池。</w:t>
                  </w:r>
                </w:p>
                <w:p w14:paraId="70779F62">
                  <w:pPr>
                    <w:pStyle w:val="48"/>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kern w:val="2"/>
                      <w:sz w:val="18"/>
                      <w:szCs w:val="18"/>
                    </w:rPr>
                    <w:t>4事故煤泥水在事故处理完毕后，应能及时返回到煤泥水系统中。</w:t>
                  </w:r>
                </w:p>
              </w:tc>
              <w:tc>
                <w:tcPr>
                  <w:tcW w:w="3135" w:type="dxa"/>
                  <w:shd w:val="clear" w:color="auto" w:fill="auto"/>
                  <w:vAlign w:val="center"/>
                </w:tcPr>
                <w:p w14:paraId="4E9CAF38">
                  <w:pPr>
                    <w:pStyle w:val="48"/>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rPr>
                      <w:rFonts w:hint="eastAsia"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sz w:val="18"/>
                      <w:szCs w:val="18"/>
                    </w:rPr>
                    <w:t>选用事故煤泥水池时，其有效容积应为厂内最大一台设备有效容积的1.2~1.5倍，本项目有效容积最大的设备为</w:t>
                  </w:r>
                  <w:r>
                    <w:rPr>
                      <w:rFonts w:hint="eastAsia" w:ascii="Times New Roman" w:hAnsi="Times New Roman" w:cs="Times New Roman"/>
                      <w:color w:val="auto"/>
                      <w:sz w:val="18"/>
                      <w:szCs w:val="18"/>
                      <w:lang w:eastAsia="zh-CN"/>
                    </w:rPr>
                    <w:t>循环</w:t>
                  </w:r>
                  <w:r>
                    <w:rPr>
                      <w:rFonts w:hint="eastAsia" w:ascii="Times New Roman" w:hAnsi="Times New Roman" w:eastAsia="宋体" w:cs="Times New Roman"/>
                      <w:color w:val="auto"/>
                      <w:sz w:val="18"/>
                      <w:szCs w:val="18"/>
                      <w:lang w:eastAsia="zh-CN"/>
                    </w:rPr>
                    <w:t>水池</w:t>
                  </w:r>
                  <w:r>
                    <w:rPr>
                      <w:rFonts w:hint="default" w:ascii="Times New Roman" w:hAnsi="Times New Roman" w:eastAsia="宋体" w:cs="Times New Roman"/>
                      <w:color w:val="auto"/>
                      <w:sz w:val="18"/>
                      <w:szCs w:val="18"/>
                    </w:rPr>
                    <w:t>，容积为</w:t>
                  </w:r>
                  <w:r>
                    <w:rPr>
                      <w:rFonts w:hint="eastAsia" w:ascii="Times New Roman" w:hAnsi="Times New Roman" w:eastAsia="宋体" w:cs="Times New Roman"/>
                      <w:color w:val="auto"/>
                      <w:sz w:val="18"/>
                      <w:szCs w:val="18"/>
                      <w:lang w:val="en-US" w:eastAsia="zh-CN"/>
                    </w:rPr>
                    <w:t>1</w:t>
                  </w:r>
                  <w:r>
                    <w:rPr>
                      <w:rFonts w:hint="eastAsia" w:ascii="Times New Roman" w:hAnsi="Times New Roman" w:cs="Times New Roman"/>
                      <w:color w:val="auto"/>
                      <w:sz w:val="18"/>
                      <w:szCs w:val="18"/>
                      <w:lang w:val="en-US" w:eastAsia="zh-CN"/>
                    </w:rPr>
                    <w:t>0</w:t>
                  </w:r>
                  <w:r>
                    <w:rPr>
                      <w:rFonts w:hint="eastAsia" w:ascii="Times New Roman" w:hAnsi="Times New Roman" w:eastAsia="宋体" w:cs="Times New Roman"/>
                      <w:color w:val="auto"/>
                      <w:sz w:val="18"/>
                      <w:szCs w:val="18"/>
                      <w:lang w:val="en-US" w:eastAsia="zh-CN"/>
                    </w:rPr>
                    <w:t>0</w:t>
                  </w:r>
                  <w:r>
                    <w:rPr>
                      <w:rFonts w:hint="default" w:ascii="Times New Roman" w:hAnsi="Times New Roman" w:eastAsia="宋体" w:cs="Times New Roman"/>
                      <w:color w:val="auto"/>
                      <w:sz w:val="18"/>
                      <w:szCs w:val="18"/>
                    </w:rPr>
                    <w:t>m</w:t>
                  </w:r>
                  <w:r>
                    <w:rPr>
                      <w:rFonts w:hint="default" w:ascii="Times New Roman" w:hAnsi="Times New Roman" w:eastAsia="宋体" w:cs="Times New Roman"/>
                      <w:color w:val="auto"/>
                      <w:sz w:val="18"/>
                      <w:szCs w:val="18"/>
                      <w:vertAlign w:val="superscript"/>
                    </w:rPr>
                    <w:t>3</w:t>
                  </w:r>
                  <w:r>
                    <w:rPr>
                      <w:rFonts w:hint="default" w:ascii="Times New Roman" w:hAnsi="Times New Roman" w:eastAsia="宋体" w:cs="Times New Roman"/>
                      <w:color w:val="auto"/>
                      <w:sz w:val="18"/>
                      <w:szCs w:val="18"/>
                    </w:rPr>
                    <w:t>，</w:t>
                  </w:r>
                  <w:r>
                    <w:rPr>
                      <w:rStyle w:val="65"/>
                      <w:rFonts w:hint="default" w:ascii="Times New Roman" w:hAnsi="Times New Roman" w:eastAsia="宋体" w:cs="Times New Roman"/>
                      <w:color w:val="auto"/>
                      <w:sz w:val="18"/>
                      <w:szCs w:val="18"/>
                    </w:rPr>
                    <w:t>故</w:t>
                  </w:r>
                  <w:r>
                    <w:rPr>
                      <w:rFonts w:hint="default" w:ascii="Times New Roman" w:hAnsi="Times New Roman" w:eastAsia="宋体" w:cs="Times New Roman"/>
                      <w:color w:val="auto"/>
                      <w:sz w:val="18"/>
                      <w:szCs w:val="18"/>
                    </w:rPr>
                    <w:t>应建设一座有效容积不低于</w:t>
                  </w:r>
                  <w:r>
                    <w:rPr>
                      <w:rFonts w:hint="eastAsia" w:ascii="Times New Roman" w:hAnsi="Times New Roman" w:cs="Times New Roman"/>
                      <w:color w:val="auto"/>
                      <w:sz w:val="18"/>
                      <w:szCs w:val="18"/>
                      <w:lang w:val="en-US" w:eastAsia="zh-CN"/>
                    </w:rPr>
                    <w:t>120</w:t>
                  </w:r>
                  <w:r>
                    <w:rPr>
                      <w:rFonts w:hint="default" w:ascii="Times New Roman" w:hAnsi="Times New Roman" w:eastAsia="宋体" w:cs="Times New Roman"/>
                      <w:color w:val="auto"/>
                      <w:sz w:val="18"/>
                      <w:szCs w:val="18"/>
                    </w:rPr>
                    <w:t>m</w:t>
                  </w:r>
                  <w:r>
                    <w:rPr>
                      <w:rFonts w:hint="default" w:ascii="Times New Roman" w:hAnsi="Times New Roman" w:eastAsia="宋体" w:cs="Times New Roman"/>
                      <w:color w:val="auto"/>
                      <w:sz w:val="18"/>
                      <w:szCs w:val="18"/>
                      <w:vertAlign w:val="superscript"/>
                    </w:rPr>
                    <w:t>3</w:t>
                  </w:r>
                  <w:r>
                    <w:rPr>
                      <w:rFonts w:hint="default" w:ascii="Times New Roman" w:hAnsi="Times New Roman" w:eastAsia="宋体" w:cs="Times New Roman"/>
                      <w:color w:val="auto"/>
                      <w:sz w:val="18"/>
                      <w:szCs w:val="18"/>
                    </w:rPr>
                    <w:t>的事故池。本项目建设一座</w:t>
                  </w:r>
                  <w:r>
                    <w:rPr>
                      <w:rFonts w:hint="eastAsia" w:ascii="Times New Roman" w:hAnsi="Times New Roman" w:cs="Times New Roman"/>
                      <w:color w:val="auto"/>
                      <w:sz w:val="18"/>
                      <w:szCs w:val="18"/>
                      <w:lang w:val="en-US" w:eastAsia="zh-CN"/>
                    </w:rPr>
                    <w:t>15</w:t>
                  </w:r>
                  <w:r>
                    <w:rPr>
                      <w:rFonts w:hint="eastAsia" w:ascii="Times New Roman" w:hAnsi="Times New Roman" w:eastAsia="宋体" w:cs="Times New Roman"/>
                      <w:color w:val="auto"/>
                      <w:sz w:val="18"/>
                      <w:szCs w:val="18"/>
                      <w:lang w:val="en-US" w:eastAsia="zh-CN"/>
                    </w:rPr>
                    <w:t>0</w:t>
                  </w:r>
                  <w:r>
                    <w:rPr>
                      <w:rFonts w:hint="default" w:ascii="Times New Roman" w:hAnsi="Times New Roman" w:eastAsia="宋体" w:cs="Times New Roman"/>
                      <w:color w:val="auto"/>
                      <w:sz w:val="18"/>
                      <w:szCs w:val="18"/>
                    </w:rPr>
                    <w:t>m</w:t>
                  </w:r>
                  <w:r>
                    <w:rPr>
                      <w:rFonts w:hint="default" w:ascii="Times New Roman" w:hAnsi="Times New Roman" w:eastAsia="宋体" w:cs="Times New Roman"/>
                      <w:color w:val="auto"/>
                      <w:sz w:val="18"/>
                      <w:szCs w:val="18"/>
                      <w:vertAlign w:val="superscript"/>
                    </w:rPr>
                    <w:t>3</w:t>
                  </w:r>
                  <w:r>
                    <w:rPr>
                      <w:rFonts w:hint="default" w:ascii="Times New Roman" w:hAnsi="Times New Roman" w:eastAsia="宋体" w:cs="Times New Roman"/>
                      <w:color w:val="auto"/>
                      <w:sz w:val="18"/>
                      <w:szCs w:val="18"/>
                    </w:rPr>
                    <w:t>防渗事故池</w:t>
                  </w:r>
                  <w:r>
                    <w:rPr>
                      <w:rFonts w:hint="default" w:ascii="Times New Roman" w:hAnsi="Times New Roman" w:eastAsia="宋体" w:cs="Times New Roman"/>
                      <w:color w:val="auto"/>
                      <w:kern w:val="2"/>
                      <w:sz w:val="18"/>
                      <w:szCs w:val="18"/>
                    </w:rPr>
                    <w:t>，容积设置可满足事故状态下的废水储存，满足《煤炭洗选工程设计规范》（GB50359-2016）要求。</w:t>
                  </w:r>
                </w:p>
              </w:tc>
              <w:tc>
                <w:tcPr>
                  <w:tcW w:w="838" w:type="dxa"/>
                  <w:shd w:val="clear" w:color="auto" w:fill="auto"/>
                  <w:vAlign w:val="center"/>
                </w:tcPr>
                <w:p w14:paraId="6F544D02">
                  <w:pPr>
                    <w:keepNext/>
                    <w:keepLines w:val="0"/>
                    <w:pageBreakBefore w:val="0"/>
                    <w:widowControl w:val="0"/>
                    <w:suppressLineNumbers w:val="0"/>
                    <w:kinsoku/>
                    <w:wordWrap w:val="0"/>
                    <w:overflowPunct/>
                    <w:topLinePunct w:val="0"/>
                    <w:bidi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sz w:val="18"/>
                      <w:szCs w:val="18"/>
                    </w:rPr>
                    <w:t>符合</w:t>
                  </w:r>
                </w:p>
              </w:tc>
            </w:tr>
          </w:tbl>
          <w:p w14:paraId="392A642A">
            <w:pPr>
              <w:keepNext w:val="0"/>
              <w:keepLines w:val="0"/>
              <w:pageBreakBefore w:val="0"/>
              <w:widowControl w:val="0"/>
              <w:kinsoku/>
              <w:wordWrap/>
              <w:overflowPunct/>
              <w:topLinePunct w:val="0"/>
              <w:autoSpaceDE/>
              <w:autoSpaceDN/>
              <w:bidi w:val="0"/>
              <w:adjustRightInd/>
              <w:snapToGrid/>
              <w:spacing w:after="0" w:line="460" w:lineRule="exact"/>
              <w:textAlignment w:val="auto"/>
              <w:rPr>
                <w:b/>
                <w:bCs/>
                <w:color w:val="auto"/>
              </w:rPr>
            </w:pPr>
            <w:r>
              <w:rPr>
                <w:b/>
                <w:bCs/>
                <w:color w:val="auto"/>
              </w:rPr>
              <w:t>1.</w:t>
            </w:r>
            <w:r>
              <w:rPr>
                <w:rFonts w:hint="eastAsia"/>
                <w:b/>
                <w:bCs/>
                <w:color w:val="auto"/>
                <w:lang w:val="en-US" w:eastAsia="zh-CN"/>
              </w:rPr>
              <w:t>8</w:t>
            </w:r>
            <w:r>
              <w:rPr>
                <w:b/>
                <w:bCs/>
                <w:color w:val="auto"/>
              </w:rPr>
              <w:t>规划选址符合性分析</w:t>
            </w:r>
          </w:p>
          <w:p w14:paraId="390490DD">
            <w:pPr>
              <w:pStyle w:val="771"/>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color w:val="auto"/>
                <w:lang w:val="zh-CN" w:eastAsia="zh-CN"/>
              </w:rPr>
            </w:pPr>
            <w:r>
              <w:rPr>
                <w:rFonts w:hint="eastAsia"/>
                <w:color w:val="auto"/>
                <w:lang w:val="zh-CN" w:eastAsia="zh-CN"/>
              </w:rPr>
              <w:t>1、规划用地可行性分析</w:t>
            </w:r>
          </w:p>
          <w:p w14:paraId="14AA7BCF">
            <w:pPr>
              <w:pStyle w:val="771"/>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b/>
                <w:bCs/>
                <w:color w:val="auto"/>
                <w:lang w:val="zh-CN" w:eastAsia="zh-CN"/>
              </w:rPr>
            </w:pPr>
            <w:r>
              <w:rPr>
                <w:rFonts w:hint="eastAsia"/>
                <w:color w:val="auto"/>
                <w:lang w:val="zh-CN" w:eastAsia="zh-CN"/>
              </w:rPr>
              <w:t>本项目位于</w:t>
            </w:r>
            <w:r>
              <w:rPr>
                <w:rFonts w:hint="eastAsia" w:ascii="Times New Roman" w:hAnsi="Times New Roman" w:cs="Times New Roman"/>
                <w:bCs/>
                <w:color w:val="auto"/>
                <w:lang w:val="en-US" w:eastAsia="zh-CN"/>
              </w:rPr>
              <w:t>淮南市八公山区</w:t>
            </w:r>
            <w:r>
              <w:rPr>
                <w:rFonts w:hint="eastAsia" w:cs="Times New Roman"/>
                <w:bCs/>
                <w:color w:val="auto"/>
                <w:lang w:val="en-US" w:eastAsia="zh-CN"/>
              </w:rPr>
              <w:t>淮南</w:t>
            </w:r>
            <w:r>
              <w:rPr>
                <w:rFonts w:hint="eastAsia"/>
                <w:color w:val="auto"/>
                <w:lang w:eastAsia="zh-CN"/>
              </w:rPr>
              <w:t>舜岳水泥有限责任公司厂区内</w:t>
            </w:r>
            <w:r>
              <w:rPr>
                <w:rFonts w:hint="eastAsia"/>
                <w:color w:val="auto"/>
                <w:lang w:val="zh-CN" w:eastAsia="zh-CN"/>
              </w:rPr>
              <w:t>，距离</w:t>
            </w:r>
            <w:r>
              <w:rPr>
                <w:rFonts w:hint="eastAsia" w:ascii="Times New Roman" w:hAnsi="Times New Roman" w:cs="Times New Roman"/>
                <w:bCs/>
                <w:color w:val="auto"/>
                <w:lang w:val="en-US" w:eastAsia="zh-CN"/>
              </w:rPr>
              <w:t>八公山风景</w:t>
            </w:r>
            <w:r>
              <w:rPr>
                <w:rFonts w:hint="eastAsia" w:cs="Times New Roman"/>
                <w:bCs/>
                <w:color w:val="auto"/>
                <w:lang w:val="en-US" w:eastAsia="zh-CN"/>
              </w:rPr>
              <w:t>名胜</w:t>
            </w:r>
            <w:r>
              <w:rPr>
                <w:rFonts w:hint="eastAsia" w:ascii="Times New Roman" w:hAnsi="Times New Roman" w:cs="Times New Roman"/>
                <w:bCs/>
                <w:color w:val="auto"/>
                <w:lang w:val="en-US" w:eastAsia="zh-CN"/>
              </w:rPr>
              <w:t>区</w:t>
            </w:r>
            <w:r>
              <w:rPr>
                <w:rFonts w:hint="eastAsia" w:cs="Times New Roman"/>
                <w:bCs/>
                <w:color w:val="auto"/>
                <w:lang w:val="en-US" w:eastAsia="zh-CN"/>
              </w:rPr>
              <w:t>边界最近直线距离</w:t>
            </w:r>
            <w:r>
              <w:rPr>
                <w:rFonts w:hint="eastAsia" w:ascii="Times New Roman" w:hAnsi="Times New Roman" w:cs="Times New Roman"/>
                <w:bCs/>
                <w:color w:val="auto"/>
                <w:lang w:val="en-US" w:eastAsia="zh-CN"/>
              </w:rPr>
              <w:t>约</w:t>
            </w:r>
            <w:r>
              <w:rPr>
                <w:rFonts w:hint="eastAsia" w:cs="Times New Roman"/>
                <w:bCs/>
                <w:color w:val="auto"/>
                <w:lang w:val="en-US" w:eastAsia="zh-CN"/>
              </w:rPr>
              <w:t>243</w:t>
            </w:r>
            <w:r>
              <w:rPr>
                <w:rFonts w:hint="eastAsia" w:ascii="Times New Roman" w:hAnsi="Times New Roman" w:cs="Times New Roman"/>
                <w:bCs/>
                <w:color w:val="auto"/>
                <w:lang w:val="en-US" w:eastAsia="zh-CN"/>
              </w:rPr>
              <w:t>m，</w:t>
            </w:r>
            <w:r>
              <w:rPr>
                <w:rFonts w:hint="eastAsia"/>
                <w:color w:val="auto"/>
                <w:lang w:val="zh-CN" w:eastAsia="zh-CN"/>
              </w:rPr>
              <w:t>项目所在地用地性</w:t>
            </w:r>
            <w:r>
              <w:rPr>
                <w:color w:val="auto"/>
                <w:lang w:val="zh-CN"/>
              </w:rPr>
              <w:t>质为工业用</w:t>
            </w:r>
            <w:r>
              <w:rPr>
                <w:rFonts w:hint="eastAsia"/>
                <w:color w:val="auto"/>
                <w:lang w:eastAsia="zh-CN"/>
              </w:rPr>
              <w:t>地，厂区四周为厂区</w:t>
            </w:r>
            <w:r>
              <w:rPr>
                <w:rFonts w:hint="eastAsia"/>
                <w:color w:val="auto"/>
                <w:lang w:val="en-US" w:eastAsia="zh-CN"/>
              </w:rPr>
              <w:t>道路和</w:t>
            </w:r>
            <w:r>
              <w:rPr>
                <w:rFonts w:hint="eastAsia"/>
                <w:color w:val="auto"/>
                <w:lang w:eastAsia="zh-CN"/>
              </w:rPr>
              <w:t>水泥厂内建构筑物</w:t>
            </w:r>
            <w:r>
              <w:rPr>
                <w:rFonts w:hint="eastAsia"/>
                <w:color w:val="auto"/>
                <w:lang w:val="zh-CN" w:eastAsia="zh-CN"/>
              </w:rPr>
              <w:t>，在采取本环评中要求的污染防治措施后，各项污染物均可达标排放，对周边环境影响很小</w:t>
            </w:r>
            <w:r>
              <w:rPr>
                <w:rFonts w:hint="eastAsia" w:ascii="Times New Roman" w:cs="Times New Roman"/>
                <w:bCs/>
                <w:color w:val="auto"/>
                <w:lang w:val="en-US" w:eastAsia="zh-CN"/>
              </w:rPr>
              <w:t>。</w:t>
            </w:r>
            <w:r>
              <w:rPr>
                <w:rFonts w:hint="eastAsia" w:cs="Times New Roman"/>
                <w:bCs/>
                <w:color w:val="auto"/>
                <w:lang w:val="en-US" w:eastAsia="zh-CN"/>
              </w:rPr>
              <w:t>因此，项目规划用地可行。</w:t>
            </w:r>
          </w:p>
          <w:p w14:paraId="5911E483">
            <w:pPr>
              <w:pStyle w:val="771"/>
              <w:keepNext w:val="0"/>
              <w:keepLines w:val="0"/>
              <w:pageBreakBefore w:val="0"/>
              <w:widowControl w:val="0"/>
              <w:kinsoku/>
              <w:wordWrap/>
              <w:overflowPunct/>
              <w:topLinePunct w:val="0"/>
              <w:autoSpaceDE/>
              <w:autoSpaceDN/>
              <w:bidi w:val="0"/>
              <w:adjustRightInd/>
              <w:snapToGrid/>
              <w:spacing w:line="460" w:lineRule="exact"/>
              <w:textAlignment w:val="auto"/>
              <w:rPr>
                <w:color w:val="auto"/>
                <w:lang w:val="zh-CN"/>
              </w:rPr>
            </w:pPr>
            <w:r>
              <w:rPr>
                <w:rFonts w:hint="eastAsia"/>
                <w:color w:val="auto"/>
                <w:lang w:val="zh-CN"/>
              </w:rPr>
              <w:t>2、</w:t>
            </w:r>
            <w:r>
              <w:rPr>
                <w:color w:val="auto"/>
                <w:lang w:val="zh-CN"/>
              </w:rPr>
              <w:t>环境相容性分析</w:t>
            </w:r>
          </w:p>
          <w:p w14:paraId="4AF7F8F6">
            <w:pPr>
              <w:pStyle w:val="771"/>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ascii="Times New Roman" w:hAnsi="Times New Roman" w:eastAsia="宋体" w:cs="Times New Roman"/>
                <w:color w:val="auto"/>
                <w:lang w:val="en-US" w:eastAsia="zh-CN"/>
              </w:rPr>
            </w:pPr>
            <w:r>
              <w:rPr>
                <w:rFonts w:ascii="Times New Roman" w:hAnsi="Times New Roman" w:eastAsia="宋体" w:cs="Times New Roman"/>
                <w:color w:val="auto"/>
                <w:lang w:val="zh-CN"/>
              </w:rPr>
              <w:t>根据现场踏勘，</w:t>
            </w:r>
            <w:r>
              <w:rPr>
                <w:rFonts w:hint="eastAsia"/>
                <w:color w:val="auto"/>
                <w:lang w:val="en-US" w:eastAsia="zh-CN"/>
              </w:rPr>
              <w:t>本项目</w:t>
            </w:r>
            <w:r>
              <w:rPr>
                <w:rFonts w:hint="eastAsia" w:ascii="Times New Roman" w:hAnsi="Times New Roman" w:eastAsia="宋体" w:cs="Times New Roman"/>
                <w:color w:val="auto"/>
                <w:lang w:val="zh-CN"/>
              </w:rPr>
              <w:t>租赁</w:t>
            </w:r>
            <w:r>
              <w:rPr>
                <w:rFonts w:hint="eastAsia" w:ascii="Times New Roman" w:hAnsi="Times New Roman" w:cs="Times New Roman"/>
                <w:bCs/>
                <w:color w:val="auto"/>
                <w:lang w:val="en-US" w:eastAsia="zh-CN"/>
              </w:rPr>
              <w:t>淮南市八公山区</w:t>
            </w:r>
            <w:r>
              <w:rPr>
                <w:rFonts w:hint="eastAsia" w:cs="Times New Roman"/>
                <w:bCs/>
                <w:color w:val="auto"/>
                <w:lang w:val="en-US" w:eastAsia="zh-CN"/>
              </w:rPr>
              <w:t>淮南</w:t>
            </w:r>
            <w:r>
              <w:rPr>
                <w:rFonts w:hint="eastAsia"/>
                <w:color w:val="auto"/>
                <w:lang w:eastAsia="zh-CN"/>
              </w:rPr>
              <w:t>舜岳水泥有限责任公司厂区内现有闲置厂房进行建设</w:t>
            </w:r>
            <w:r>
              <w:rPr>
                <w:rFonts w:hint="eastAsia" w:ascii="Times New Roman" w:hAnsi="Times New Roman" w:eastAsia="宋体" w:cs="Times New Roman"/>
                <w:color w:val="auto"/>
                <w:lang w:val="en-US" w:eastAsia="zh-CN"/>
              </w:rPr>
              <w:t>。</w:t>
            </w:r>
            <w:r>
              <w:rPr>
                <w:color w:val="auto"/>
                <w:lang w:val="zh-CN"/>
              </w:rPr>
              <w:t>项目所在区域既不涉及饮用水源保护区、自然保护区等依法设立的自然、文化保护地，也不</w:t>
            </w:r>
            <w:r>
              <w:rPr>
                <w:rFonts w:hint="eastAsia"/>
                <w:color w:val="auto"/>
                <w:lang w:val="zh-CN"/>
              </w:rPr>
              <w:t>涉及</w:t>
            </w:r>
            <w:r>
              <w:rPr>
                <w:color w:val="auto"/>
                <w:lang w:val="zh-CN"/>
              </w:rPr>
              <w:t>基本农田、基本森林、重要湿地等生态敏感与脆弱区，同时也不是</w:t>
            </w:r>
            <w:r>
              <w:rPr>
                <w:rFonts w:hint="eastAsia"/>
                <w:color w:val="auto"/>
                <w:lang w:val="zh-CN"/>
              </w:rPr>
              <w:t>具有</w:t>
            </w:r>
            <w:r>
              <w:rPr>
                <w:color w:val="auto"/>
                <w:lang w:val="zh-CN"/>
              </w:rPr>
              <w:t>历史、文化、科</w:t>
            </w:r>
            <w:r>
              <w:rPr>
                <w:rFonts w:ascii="Times New Roman" w:hAnsi="Times New Roman" w:eastAsia="宋体" w:cs="Times New Roman"/>
                <w:color w:val="auto"/>
                <w:lang w:val="zh-CN"/>
              </w:rPr>
              <w:t>学、民族意义的保护区及社会</w:t>
            </w:r>
            <w:r>
              <w:rPr>
                <w:color w:val="auto"/>
                <w:lang w:val="zh-CN"/>
              </w:rPr>
              <w:t>关注区。</w:t>
            </w:r>
          </w:p>
          <w:p w14:paraId="069DD5E8">
            <w:pPr>
              <w:pStyle w:val="771"/>
              <w:keepNext w:val="0"/>
              <w:keepLines w:val="0"/>
              <w:pageBreakBefore w:val="0"/>
              <w:widowControl w:val="0"/>
              <w:kinsoku/>
              <w:wordWrap/>
              <w:overflowPunct/>
              <w:topLinePunct w:val="0"/>
              <w:autoSpaceDE/>
              <w:autoSpaceDN/>
              <w:bidi w:val="0"/>
              <w:adjustRightInd/>
              <w:snapToGrid/>
              <w:spacing w:line="460" w:lineRule="exact"/>
              <w:textAlignment w:val="auto"/>
              <w:rPr>
                <w:rFonts w:hint="default"/>
                <w:color w:val="auto"/>
                <w:lang w:val="en-US" w:eastAsia="zh-CN"/>
              </w:rPr>
            </w:pPr>
            <w:r>
              <w:rPr>
                <w:rFonts w:hint="eastAsia"/>
                <w:color w:val="auto"/>
                <w:lang w:val="en-US" w:eastAsia="zh-CN"/>
              </w:rPr>
              <w:t>根据工程分析，</w:t>
            </w:r>
            <w:r>
              <w:rPr>
                <w:rFonts w:hint="default"/>
                <w:color w:val="auto"/>
              </w:rPr>
              <w:t>本项目自身产污环节较少，污染物相对简单，在落实本次</w:t>
            </w:r>
            <w:r>
              <w:rPr>
                <w:rFonts w:hint="default"/>
                <w:color w:val="auto"/>
                <w:lang w:val="zh-CN" w:eastAsia="zh-CN"/>
              </w:rPr>
              <w:t>环评提出的相关污染防治措施，并认真履行</w:t>
            </w:r>
            <w:r>
              <w:rPr>
                <w:rFonts w:hint="eastAsia"/>
                <w:color w:val="auto"/>
                <w:lang w:val="zh-CN" w:eastAsia="zh-CN"/>
              </w:rPr>
              <w:t>“</w:t>
            </w:r>
            <w:r>
              <w:rPr>
                <w:rFonts w:hint="default"/>
                <w:color w:val="auto"/>
                <w:lang w:val="zh-CN" w:eastAsia="zh-CN"/>
              </w:rPr>
              <w:t>三同时</w:t>
            </w:r>
            <w:r>
              <w:rPr>
                <w:rFonts w:hint="eastAsia"/>
                <w:color w:val="auto"/>
                <w:lang w:val="zh-CN" w:eastAsia="zh-CN"/>
              </w:rPr>
              <w:t>”</w:t>
            </w:r>
            <w:r>
              <w:rPr>
                <w:rFonts w:hint="default"/>
                <w:color w:val="auto"/>
                <w:lang w:val="zh-CN" w:eastAsia="zh-CN"/>
              </w:rPr>
              <w:t>制度后，各污染物均可实现达标排放，且不会降低评价区域原有功能级别，对区域环境影响较小</w:t>
            </w:r>
            <w:r>
              <w:rPr>
                <w:rFonts w:hint="eastAsia"/>
                <w:color w:val="auto"/>
                <w:lang w:val="en-US" w:eastAsia="zh-CN"/>
              </w:rPr>
              <w:t>。</w:t>
            </w:r>
          </w:p>
          <w:p w14:paraId="72418198">
            <w:pPr>
              <w:pStyle w:val="771"/>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color w:val="auto"/>
                <w:lang w:val="zh-CN" w:eastAsia="zh-CN"/>
              </w:rPr>
            </w:pPr>
            <w:r>
              <w:rPr>
                <w:rFonts w:hint="default"/>
                <w:color w:val="auto"/>
                <w:lang w:val="zh-CN" w:eastAsia="zh-CN"/>
              </w:rPr>
              <w:t>综上</w:t>
            </w:r>
            <w:r>
              <w:rPr>
                <w:rFonts w:hint="eastAsia"/>
                <w:color w:val="auto"/>
                <w:lang w:val="en-US" w:eastAsia="zh-CN"/>
              </w:rPr>
              <w:t>分析</w:t>
            </w:r>
            <w:r>
              <w:rPr>
                <w:rFonts w:hint="default"/>
                <w:color w:val="auto"/>
                <w:lang w:val="zh-CN" w:eastAsia="zh-CN"/>
              </w:rPr>
              <w:t>，</w:t>
            </w:r>
            <w:r>
              <w:rPr>
                <w:rFonts w:hint="eastAsia"/>
                <w:color w:val="auto"/>
                <w:lang w:val="en-US" w:eastAsia="zh-CN"/>
              </w:rPr>
              <w:t>本项目与周边环境相容性较好</w:t>
            </w:r>
            <w:r>
              <w:rPr>
                <w:rFonts w:hint="eastAsia"/>
                <w:color w:val="auto"/>
                <w:lang w:val="zh-CN" w:eastAsia="zh-CN"/>
              </w:rPr>
              <w:t>，</w:t>
            </w:r>
            <w:r>
              <w:rPr>
                <w:rFonts w:hint="default"/>
                <w:color w:val="auto"/>
                <w:lang w:val="zh-CN" w:eastAsia="zh-CN"/>
              </w:rPr>
              <w:t>选址较为合理。</w:t>
            </w:r>
          </w:p>
          <w:p w14:paraId="00E279E9">
            <w:pPr>
              <w:pStyle w:val="771"/>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color w:val="auto"/>
                <w:lang w:val="en-US" w:eastAsia="zh-CN"/>
              </w:rPr>
            </w:pPr>
            <w:r>
              <w:rPr>
                <w:rFonts w:hint="eastAsia"/>
                <w:color w:val="auto"/>
                <w:lang w:val="en-US" w:eastAsia="zh-CN"/>
              </w:rPr>
              <w:t>3、区域配套</w:t>
            </w:r>
          </w:p>
          <w:p w14:paraId="414F8F3C">
            <w:pPr>
              <w:pStyle w:val="771"/>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color w:val="auto"/>
                <w:lang w:val="en-US" w:eastAsia="zh-CN"/>
              </w:rPr>
            </w:pPr>
            <w:r>
              <w:rPr>
                <w:rFonts w:hint="eastAsia"/>
                <w:color w:val="auto"/>
                <w:lang w:val="en-US" w:eastAsia="zh-CN"/>
              </w:rPr>
              <w:t>本项目位于淮南市八公山区淮南</w:t>
            </w:r>
            <w:r>
              <w:rPr>
                <w:rFonts w:hint="eastAsia"/>
                <w:color w:val="auto"/>
                <w:lang w:val="zh-CN" w:eastAsia="zh-CN"/>
              </w:rPr>
              <w:t>舜岳水泥有限责任公司</w:t>
            </w:r>
            <w:r>
              <w:rPr>
                <w:rFonts w:hint="eastAsia"/>
                <w:color w:val="auto"/>
                <w:lang w:val="en-US" w:eastAsia="zh-CN"/>
              </w:rPr>
              <w:t>厂区内，项目区域范围基础设施完善，本项目所在区域西侧约570m为交通主干道S102（二通路），交通较为便利。</w:t>
            </w:r>
          </w:p>
          <w:p w14:paraId="3C96B466">
            <w:pPr>
              <w:pStyle w:val="771"/>
              <w:keepNext w:val="0"/>
              <w:keepLines w:val="0"/>
              <w:pageBreakBefore w:val="0"/>
              <w:widowControl w:val="0"/>
              <w:kinsoku/>
              <w:wordWrap/>
              <w:overflowPunct/>
              <w:topLinePunct w:val="0"/>
              <w:autoSpaceDE/>
              <w:autoSpaceDN/>
              <w:bidi w:val="0"/>
              <w:adjustRightInd/>
              <w:snapToGrid/>
              <w:spacing w:line="460" w:lineRule="exact"/>
              <w:textAlignment w:val="auto"/>
              <w:rPr>
                <w:rFonts w:hint="eastAsia"/>
                <w:color w:val="auto"/>
                <w:lang w:val="en-US" w:eastAsia="zh-CN"/>
              </w:rPr>
            </w:pPr>
            <w:r>
              <w:rPr>
                <w:rFonts w:hint="eastAsia"/>
                <w:color w:val="auto"/>
                <w:lang w:val="en-US" w:eastAsia="zh-CN"/>
              </w:rPr>
              <w:t>综上，从规划用地可行性、环境相容性、区域配套等方面考量，本项目选址符合国家及地方的政策、规划要求，选址较为合理。</w:t>
            </w:r>
          </w:p>
        </w:tc>
      </w:tr>
      <w:bookmarkEnd w:id="13"/>
    </w:tbl>
    <w:p w14:paraId="141FC895">
      <w:pPr>
        <w:pStyle w:val="48"/>
        <w:spacing w:before="120" w:beforeLines="50" w:beforeAutospacing="0" w:after="0" w:afterAutospacing="0" w:line="360" w:lineRule="auto"/>
        <w:rPr>
          <w:rFonts w:ascii="Times New Roman" w:hAnsi="Times New Roman"/>
          <w:snapToGrid w:val="0"/>
          <w:color w:val="auto"/>
          <w:sz w:val="28"/>
          <w:szCs w:val="28"/>
          <w:lang w:val="en-US"/>
        </w:rPr>
        <w:sectPr>
          <w:pgSz w:w="11907" w:h="16840"/>
          <w:pgMar w:top="1440" w:right="1440" w:bottom="1440" w:left="1440" w:header="851" w:footer="851" w:gutter="0"/>
          <w:pgNumType w:fmt="decimal"/>
          <w:cols w:space="720" w:num="1"/>
          <w:docGrid w:linePitch="312" w:charSpace="0"/>
        </w:sectPr>
      </w:pPr>
      <w:bookmarkStart w:id="15" w:name="_Toc69030994"/>
    </w:p>
    <w:p w14:paraId="6FCF9E35">
      <w:pPr>
        <w:pStyle w:val="3"/>
        <w:bidi w:val="0"/>
        <w:spacing w:after="0" w:line="240" w:lineRule="auto"/>
        <w:rPr>
          <w:color w:val="auto"/>
        </w:rPr>
      </w:pPr>
      <w:bookmarkStart w:id="16" w:name="OLE_LINK23"/>
      <w:r>
        <w:rPr>
          <w:color w:val="auto"/>
        </w:rPr>
        <w:t>二、建设项目工程分析</w:t>
      </w:r>
      <w:bookmarkEnd w:id="15"/>
    </w:p>
    <w:tbl>
      <w:tblPr>
        <w:tblStyle w:val="5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2"/>
        <w:gridCol w:w="8927"/>
      </w:tblGrid>
      <w:tr w14:paraId="649BF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7" w:hRule="atLeast"/>
          <w:jc w:val="center"/>
        </w:trPr>
        <w:tc>
          <w:tcPr>
            <w:tcW w:w="704" w:type="dxa"/>
            <w:vAlign w:val="center"/>
          </w:tcPr>
          <w:p w14:paraId="63B4AC42">
            <w:pPr>
              <w:adjustRightInd w:val="0"/>
              <w:snapToGrid w:val="0"/>
              <w:spacing w:after="0"/>
              <w:jc w:val="center"/>
              <w:rPr>
                <w:color w:val="auto"/>
                <w:szCs w:val="21"/>
              </w:rPr>
            </w:pPr>
            <w:r>
              <w:rPr>
                <w:color w:val="auto"/>
              </w:rPr>
              <w:t>建设内容</w:t>
            </w:r>
          </w:p>
        </w:tc>
        <w:tc>
          <w:tcPr>
            <w:tcW w:w="8394" w:type="dxa"/>
          </w:tcPr>
          <w:p w14:paraId="33AE9A0D">
            <w:pPr>
              <w:pStyle w:val="180"/>
              <w:keepNext w:val="0"/>
              <w:keepLines w:val="0"/>
              <w:pageBreakBefore w:val="0"/>
              <w:framePr w:hSpace="0" w:wrap="auto" w:vAnchor="margin" w:hAnchor="text" w:xAlign="left" w:yAlign="inline"/>
              <w:widowControl/>
              <w:numPr>
                <w:ilvl w:val="0"/>
                <w:numId w:val="0"/>
              </w:numPr>
              <w:kinsoku/>
              <w:wordWrap/>
              <w:overflowPunct/>
              <w:topLinePunct w:val="0"/>
              <w:autoSpaceDE/>
              <w:autoSpaceDN/>
              <w:bidi w:val="0"/>
              <w:adjustRightInd/>
              <w:snapToGrid/>
              <w:spacing w:after="0" w:line="360" w:lineRule="auto"/>
              <w:textAlignment w:val="auto"/>
              <w:rPr>
                <w:color w:val="auto"/>
              </w:rPr>
            </w:pPr>
            <w:r>
              <w:rPr>
                <w:rFonts w:hint="eastAsia" w:ascii="Times New Roman" w:hAnsi="Times New Roman" w:eastAsia="宋体" w:cs="Times New Roman"/>
                <w:b/>
                <w:color w:val="auto"/>
                <w:sz w:val="24"/>
                <w:lang w:val="en-US" w:eastAsia="zh-CN" w:bidi="en-US"/>
              </w:rPr>
              <w:t>2.1</w:t>
            </w:r>
            <w:r>
              <w:rPr>
                <w:rFonts w:hint="eastAsia"/>
                <w:color w:val="auto"/>
              </w:rPr>
              <w:t>项目概况</w:t>
            </w:r>
          </w:p>
          <w:p w14:paraId="472279C6">
            <w:pPr>
              <w:keepNext w:val="0"/>
              <w:keepLines w:val="0"/>
              <w:pageBreakBefore w:val="0"/>
              <w:widowControl/>
              <w:suppressLineNumbers w:val="0"/>
              <w:kinsoku/>
              <w:wordWrap/>
              <w:overflowPunct/>
              <w:topLinePunct w:val="0"/>
              <w:autoSpaceDE/>
              <w:autoSpaceDN/>
              <w:bidi w:val="0"/>
              <w:adjustRightInd/>
              <w:snapToGrid/>
              <w:spacing w:after="0" w:line="360" w:lineRule="auto"/>
              <w:ind w:left="0" w:firstLine="480" w:firstLineChars="200"/>
              <w:jc w:val="both"/>
              <w:textAlignment w:val="auto"/>
              <w:rPr>
                <w:rFonts w:hint="eastAsia"/>
                <w:color w:val="auto"/>
                <w:lang w:val="en-US" w:eastAsia="zh-CN"/>
              </w:rPr>
            </w:pPr>
            <w:r>
              <w:rPr>
                <w:rFonts w:hint="eastAsia"/>
                <w:color w:val="auto"/>
                <w:lang w:eastAsia="zh-CN"/>
              </w:rPr>
              <w:t>淮南市鹏骏新材料科技发展有限公司</w:t>
            </w:r>
            <w:r>
              <w:rPr>
                <w:rFonts w:hint="eastAsia"/>
                <w:color w:val="auto"/>
              </w:rPr>
              <w:t>成立于</w:t>
            </w:r>
            <w:r>
              <w:rPr>
                <w:color w:val="auto"/>
              </w:rPr>
              <w:t>20</w:t>
            </w:r>
            <w:r>
              <w:rPr>
                <w:rFonts w:hint="eastAsia"/>
                <w:color w:val="auto"/>
                <w:lang w:val="en-US" w:eastAsia="zh-CN"/>
              </w:rPr>
              <w:t>25</w:t>
            </w:r>
            <w:r>
              <w:rPr>
                <w:rFonts w:hint="eastAsia"/>
                <w:color w:val="auto"/>
              </w:rPr>
              <w:t>年</w:t>
            </w:r>
            <w:r>
              <w:rPr>
                <w:rFonts w:hint="eastAsia"/>
                <w:color w:val="auto"/>
                <w:lang w:val="en-US" w:eastAsia="zh-CN"/>
              </w:rPr>
              <w:t>12</w:t>
            </w:r>
            <w:r>
              <w:rPr>
                <w:rFonts w:hint="eastAsia"/>
                <w:color w:val="auto"/>
              </w:rPr>
              <w:t>月，专业从事</w:t>
            </w:r>
            <w:r>
              <w:rPr>
                <w:rFonts w:hint="eastAsia"/>
                <w:color w:val="auto"/>
                <w:lang w:eastAsia="zh-CN"/>
              </w:rPr>
              <w:t>煤炭洗选</w:t>
            </w:r>
            <w:r>
              <w:rPr>
                <w:rFonts w:hint="eastAsia"/>
                <w:color w:val="auto"/>
              </w:rPr>
              <w:t>业务，公司</w:t>
            </w:r>
            <w:r>
              <w:rPr>
                <w:rFonts w:hint="eastAsia"/>
                <w:color w:val="auto"/>
                <w:lang w:eastAsia="zh-CN"/>
              </w:rPr>
              <w:t>租用</w:t>
            </w:r>
            <w:r>
              <w:rPr>
                <w:rFonts w:hint="eastAsia"/>
                <w:color w:val="auto"/>
              </w:rPr>
              <w:t>安徽省淮南市八公山区</w:t>
            </w:r>
            <w:r>
              <w:rPr>
                <w:rFonts w:hint="eastAsia"/>
                <w:color w:val="auto"/>
                <w:lang w:eastAsia="zh-CN"/>
              </w:rPr>
              <w:t>淮南舜岳水泥有限责任公司厂区内闲置场地</w:t>
            </w:r>
            <w:r>
              <w:rPr>
                <w:rFonts w:hint="eastAsia"/>
                <w:color w:val="auto"/>
                <w:lang w:val="en-US" w:eastAsia="zh-CN"/>
              </w:rPr>
              <w:t>，利用场地内现有闲置厂房及输送栈桥，购置洗煤设备及配套设施，建设水洗跳汰洗选生产线。由</w:t>
            </w:r>
            <w:r>
              <w:rPr>
                <w:rFonts w:hint="eastAsia"/>
                <w:color w:val="auto"/>
                <w:lang w:eastAsia="zh-CN"/>
              </w:rPr>
              <w:t>淮南舜岳水泥有限责任公司提供破碎后原煤，经过</w:t>
            </w:r>
            <w:r>
              <w:rPr>
                <w:rFonts w:hint="eastAsia"/>
                <w:color w:val="auto"/>
                <w:lang w:val="en-US" w:eastAsia="zh-CN"/>
              </w:rPr>
              <w:t>水洗跳汰洗选生产线</w:t>
            </w:r>
            <w:r>
              <w:rPr>
                <w:rFonts w:hint="eastAsia"/>
                <w:color w:val="auto"/>
                <w:lang w:eastAsia="zh-CN"/>
              </w:rPr>
              <w:t>可将上游的废弃物（煤矸石）直接转化为下游的生产原料（胶凝材料原料），形成“废料-原料”的闭环产业链，胶凝材料可用作</w:t>
            </w:r>
            <w:r>
              <w:rPr>
                <w:rFonts w:hint="eastAsia" w:cs="Times New Roman"/>
                <w:color w:val="auto"/>
                <w:highlight w:val="none"/>
                <w:lang w:val="en-US" w:eastAsia="zh-CN"/>
              </w:rPr>
              <w:t>水泥的掺合料，提高水泥性能，在水泥生产中替代约15%的水泥熟料。</w:t>
            </w:r>
            <w:r>
              <w:rPr>
                <w:rFonts w:hint="eastAsia"/>
                <w:color w:val="auto"/>
                <w:lang w:eastAsia="zh-CN"/>
              </w:rPr>
              <w:t>项目建成后年洗选原煤</w:t>
            </w:r>
            <w:r>
              <w:rPr>
                <w:rFonts w:hint="eastAsia"/>
                <w:color w:val="auto"/>
                <w:lang w:val="en-US" w:eastAsia="zh-CN"/>
              </w:rPr>
              <w:t>200万吨。</w:t>
            </w:r>
          </w:p>
          <w:p w14:paraId="13D3D0BC">
            <w:pPr>
              <w:pStyle w:val="181"/>
              <w:keepNext w:val="0"/>
              <w:keepLines w:val="0"/>
              <w:pageBreakBefore w:val="0"/>
              <w:widowControl/>
              <w:kinsoku/>
              <w:overflowPunct/>
              <w:topLinePunct w:val="0"/>
              <w:autoSpaceDE/>
              <w:autoSpaceDN/>
              <w:bidi w:val="0"/>
              <w:adjustRightInd/>
              <w:snapToGrid/>
              <w:spacing w:line="360" w:lineRule="auto"/>
              <w:ind w:firstLine="480"/>
              <w:textAlignment w:val="auto"/>
              <w:rPr>
                <w:color w:val="auto"/>
              </w:rPr>
            </w:pPr>
            <w:r>
              <w:rPr>
                <w:rFonts w:hint="eastAsia"/>
                <w:color w:val="auto"/>
                <w:lang w:val="en-US" w:eastAsia="zh-CN"/>
              </w:rPr>
              <w:t>2025</w:t>
            </w:r>
            <w:r>
              <w:rPr>
                <w:color w:val="auto"/>
              </w:rPr>
              <w:t>年</w:t>
            </w:r>
            <w:r>
              <w:rPr>
                <w:rFonts w:hint="eastAsia"/>
                <w:color w:val="auto"/>
                <w:lang w:val="en-US" w:eastAsia="zh-CN"/>
              </w:rPr>
              <w:t>12</w:t>
            </w:r>
            <w:r>
              <w:rPr>
                <w:color w:val="auto"/>
              </w:rPr>
              <w:t>月</w:t>
            </w:r>
            <w:r>
              <w:rPr>
                <w:rFonts w:hint="eastAsia"/>
                <w:color w:val="auto"/>
                <w:lang w:val="en-US" w:eastAsia="zh-CN"/>
              </w:rPr>
              <w:t>11</w:t>
            </w:r>
            <w:r>
              <w:rPr>
                <w:color w:val="auto"/>
              </w:rPr>
              <w:t>日</w:t>
            </w:r>
            <w:r>
              <w:rPr>
                <w:rFonts w:hint="eastAsia"/>
                <w:color w:val="auto"/>
              </w:rPr>
              <w:t>，本项目</w:t>
            </w:r>
            <w:r>
              <w:rPr>
                <w:color w:val="auto"/>
              </w:rPr>
              <w:t>取得</w:t>
            </w:r>
            <w:r>
              <w:rPr>
                <w:rFonts w:hint="eastAsia"/>
                <w:color w:val="auto"/>
                <w:lang w:eastAsia="zh-CN"/>
              </w:rPr>
              <w:t>淮南市八公山区发展和改革委员会</w:t>
            </w:r>
            <w:r>
              <w:rPr>
                <w:color w:val="auto"/>
              </w:rPr>
              <w:t>关于本项目的</w:t>
            </w:r>
            <w:r>
              <w:rPr>
                <w:rFonts w:hint="eastAsia"/>
                <w:color w:val="auto"/>
              </w:rPr>
              <w:t>备案</w:t>
            </w:r>
            <w:r>
              <w:rPr>
                <w:color w:val="auto"/>
                <w:lang w:val="zh-CN"/>
              </w:rPr>
              <w:t>，项目备案号为</w:t>
            </w:r>
            <w:r>
              <w:rPr>
                <w:rFonts w:hint="eastAsia"/>
                <w:color w:val="auto"/>
                <w:lang w:val="en-US" w:eastAsia="zh-CN"/>
              </w:rPr>
              <w:t>2512-340405-04-05-211695</w:t>
            </w:r>
            <w:r>
              <w:rPr>
                <w:color w:val="auto"/>
                <w:lang w:val="zh-CN"/>
              </w:rPr>
              <w:t>。</w:t>
            </w:r>
          </w:p>
          <w:p w14:paraId="2285BDC9">
            <w:pPr>
              <w:pStyle w:val="181"/>
              <w:spacing w:line="360" w:lineRule="auto"/>
              <w:ind w:firstLine="480"/>
              <w:rPr>
                <w:color w:val="auto"/>
              </w:rPr>
            </w:pPr>
            <w:r>
              <w:rPr>
                <w:rFonts w:hint="eastAsia"/>
                <w:color w:val="auto"/>
              </w:rPr>
              <w:t>根据《中华人民共和国环境保护法</w:t>
            </w:r>
            <w:r>
              <w:rPr>
                <w:rFonts w:hint="eastAsia"/>
                <w:color w:val="auto"/>
                <w:lang w:eastAsia="zh-CN"/>
              </w:rPr>
              <w:t>》《</w:t>
            </w:r>
            <w:r>
              <w:rPr>
                <w:rFonts w:hint="eastAsia"/>
                <w:color w:val="auto"/>
              </w:rPr>
              <w:t>中华人民共和国环境影响评价法</w:t>
            </w:r>
            <w:r>
              <w:rPr>
                <w:rFonts w:hint="eastAsia"/>
                <w:color w:val="auto"/>
                <w:lang w:eastAsia="zh-CN"/>
              </w:rPr>
              <w:t>》《</w:t>
            </w:r>
            <w:r>
              <w:rPr>
                <w:rFonts w:hint="eastAsia"/>
                <w:color w:val="auto"/>
              </w:rPr>
              <w:t>建设项目环境保护管理条例》（国令第682号）、《建设项目环境影响评价分类管理名录》（2021年版）等法规文件。</w:t>
            </w:r>
            <w:r>
              <w:rPr>
                <w:rFonts w:hint="eastAsia"/>
                <w:color w:val="auto"/>
                <w:lang w:eastAsia="zh-CN"/>
              </w:rPr>
              <w:t>本项目属于“四</w:t>
            </w:r>
            <w:r>
              <w:rPr>
                <w:rFonts w:hint="eastAsia"/>
                <w:color w:val="auto"/>
              </w:rPr>
              <w:t>、</w:t>
            </w:r>
            <w:r>
              <w:rPr>
                <w:rFonts w:hint="eastAsia"/>
                <w:color w:val="auto"/>
                <w:lang w:eastAsia="zh-CN"/>
              </w:rPr>
              <w:t>煤炭开采和洗选业</w:t>
            </w:r>
            <w:r>
              <w:rPr>
                <w:rFonts w:hint="eastAsia"/>
                <w:color w:val="auto"/>
                <w:lang w:val="en-US" w:eastAsia="zh-CN"/>
              </w:rPr>
              <w:t xml:space="preserve"> 06</w:t>
            </w:r>
            <w:r>
              <w:rPr>
                <w:rFonts w:hint="eastAsia"/>
                <w:color w:val="auto"/>
                <w:lang w:eastAsia="zh-CN"/>
              </w:rPr>
              <w:t>”</w:t>
            </w:r>
            <w:r>
              <w:rPr>
                <w:rFonts w:hint="eastAsia"/>
                <w:color w:val="auto"/>
              </w:rPr>
              <w:t>中的</w:t>
            </w:r>
            <w:r>
              <w:rPr>
                <w:rFonts w:hint="eastAsia"/>
                <w:color w:val="auto"/>
                <w:lang w:eastAsia="zh-CN"/>
              </w:rPr>
              <w:t>“</w:t>
            </w:r>
            <w:r>
              <w:rPr>
                <w:rFonts w:hint="eastAsia"/>
                <w:color w:val="auto"/>
                <w:lang w:val="en-US" w:eastAsia="zh-CN"/>
              </w:rPr>
              <w:t>6</w:t>
            </w:r>
            <w:r>
              <w:rPr>
                <w:rFonts w:hint="eastAsia"/>
                <w:color w:val="auto"/>
              </w:rPr>
              <w:t>、</w:t>
            </w:r>
            <w:r>
              <w:rPr>
                <w:rFonts w:hint="eastAsia"/>
                <w:color w:val="auto"/>
                <w:lang w:eastAsia="zh-CN"/>
              </w:rPr>
              <w:t>其他煤炭采选 069”</w:t>
            </w:r>
            <w:r>
              <w:rPr>
                <w:rFonts w:hint="eastAsia"/>
                <w:color w:val="auto"/>
              </w:rPr>
              <w:t>中的</w:t>
            </w:r>
            <w:r>
              <w:rPr>
                <w:rFonts w:hint="eastAsia"/>
                <w:color w:val="auto"/>
                <w:lang w:eastAsia="zh-CN"/>
              </w:rPr>
              <w:t>“煤炭洗选、配煤”</w:t>
            </w:r>
            <w:r>
              <w:rPr>
                <w:rFonts w:hint="eastAsia"/>
                <w:color w:val="auto"/>
              </w:rPr>
              <w:t>，故确定</w:t>
            </w:r>
            <w:r>
              <w:rPr>
                <w:rFonts w:hint="eastAsia"/>
                <w:color w:val="auto"/>
                <w:lang w:eastAsia="zh-CN"/>
              </w:rPr>
              <w:t>本项目环评类别</w:t>
            </w:r>
            <w:r>
              <w:rPr>
                <w:rFonts w:hint="eastAsia"/>
                <w:color w:val="auto"/>
              </w:rPr>
              <w:t>为环境影响报告表。</w:t>
            </w:r>
          </w:p>
          <w:p w14:paraId="4DA8E957">
            <w:pPr>
              <w:pStyle w:val="181"/>
              <w:spacing w:line="360" w:lineRule="auto"/>
              <w:ind w:firstLine="480"/>
              <w:rPr>
                <w:color w:val="auto"/>
              </w:rPr>
            </w:pPr>
            <w:r>
              <w:rPr>
                <w:color w:val="auto"/>
              </w:rPr>
              <w:t>为此，</w:t>
            </w:r>
            <w:r>
              <w:rPr>
                <w:rFonts w:hint="eastAsia"/>
                <w:color w:val="auto"/>
                <w:lang w:eastAsia="zh-CN"/>
              </w:rPr>
              <w:t>淮南市鹏骏新材料科技发展有限公司</w:t>
            </w:r>
            <w:r>
              <w:rPr>
                <w:color w:val="auto"/>
              </w:rPr>
              <w:t>委托</w:t>
            </w:r>
            <w:r>
              <w:rPr>
                <w:rFonts w:hint="eastAsia"/>
                <w:color w:val="auto"/>
                <w:lang w:eastAsia="zh-CN"/>
              </w:rPr>
              <w:t>淮南环顺环境科技有限公司</w:t>
            </w:r>
            <w:r>
              <w:rPr>
                <w:color w:val="auto"/>
              </w:rPr>
              <w:t>承担本项目环境影响评价工作。</w:t>
            </w:r>
            <w:r>
              <w:rPr>
                <w:rFonts w:hint="eastAsia"/>
                <w:color w:val="auto"/>
              </w:rPr>
              <w:t>接受委托后，我公司组织技术人员收集相关资料并进行现场踏勘调查，在了解项目所在地及周围环境概况后，本着客观、公正、科学、规范的原则，编制了本环境影响报告表。</w:t>
            </w:r>
          </w:p>
          <w:p w14:paraId="131BCDE3">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表 </w:t>
            </w:r>
            <w:r>
              <w:rPr>
                <w:rFonts w:hint="eastAsia"/>
                <w:color w:val="auto"/>
                <w:lang w:val="en-US" w:eastAsia="zh-CN"/>
              </w:rPr>
              <w:t>2</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1</w:t>
            </w:r>
            <w:r>
              <w:rPr>
                <w:color w:val="auto"/>
              </w:rPr>
              <w:fldChar w:fldCharType="end"/>
            </w:r>
            <w:r>
              <w:rPr>
                <w:rFonts w:hint="eastAsia"/>
                <w:color w:val="auto"/>
                <w:lang w:val="en-US" w:eastAsia="zh-CN"/>
              </w:rPr>
              <w:t xml:space="preserve"> </w:t>
            </w:r>
            <w:r>
              <w:rPr>
                <w:color w:val="auto"/>
              </w:rPr>
              <w:t>项目环评分类管理类别判定</w:t>
            </w:r>
          </w:p>
          <w:tbl>
            <w:tblPr>
              <w:tblStyle w:val="5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9"/>
              <w:gridCol w:w="2371"/>
              <w:gridCol w:w="1950"/>
              <w:gridCol w:w="2145"/>
              <w:gridCol w:w="1746"/>
            </w:tblGrid>
            <w:tr w14:paraId="15BB9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2860" w:type="dxa"/>
                  <w:gridSpan w:val="2"/>
                  <w:tcBorders>
                    <w:tl2br w:val="single" w:color="auto" w:sz="4" w:space="0"/>
                  </w:tcBorders>
                  <w:vAlign w:val="center"/>
                </w:tcPr>
                <w:p w14:paraId="1DB83C06">
                  <w:pPr>
                    <w:pStyle w:val="287"/>
                    <w:framePr w:hSpace="0" w:wrap="auto" w:vAnchor="margin" w:hAnchor="text" w:xAlign="left" w:yAlign="inline"/>
                    <w:ind w:left="0" w:leftChars="0" w:right="0" w:rightChars="0" w:firstLine="0" w:firstLineChars="0"/>
                    <w:jc w:val="center"/>
                    <w:rPr>
                      <w:color w:val="auto"/>
                      <w:sz w:val="18"/>
                      <w:szCs w:val="18"/>
                    </w:rPr>
                  </w:pPr>
                  <w:r>
                    <w:rPr>
                      <w:rFonts w:hint="eastAsia"/>
                      <w:color w:val="auto"/>
                      <w:sz w:val="18"/>
                      <w:szCs w:val="18"/>
                      <w:lang w:val="en-US" w:eastAsia="zh-CN"/>
                    </w:rPr>
                    <w:t xml:space="preserve">          </w:t>
                  </w:r>
                  <w:r>
                    <w:rPr>
                      <w:color w:val="auto"/>
                      <w:sz w:val="18"/>
                      <w:szCs w:val="18"/>
                    </w:rPr>
                    <w:t>环评类别</w:t>
                  </w:r>
                </w:p>
                <w:p w14:paraId="58762DF9">
                  <w:pPr>
                    <w:pStyle w:val="287"/>
                    <w:framePr w:hSpace="0" w:wrap="auto" w:vAnchor="margin" w:hAnchor="text" w:xAlign="left" w:yAlign="inline"/>
                    <w:ind w:left="0" w:leftChars="0" w:right="0" w:rightChars="0" w:firstLine="0" w:firstLineChars="0"/>
                    <w:jc w:val="both"/>
                    <w:rPr>
                      <w:color w:val="auto"/>
                      <w:sz w:val="18"/>
                      <w:szCs w:val="18"/>
                    </w:rPr>
                  </w:pPr>
                  <w:r>
                    <w:rPr>
                      <w:color w:val="auto"/>
                      <w:sz w:val="18"/>
                      <w:szCs w:val="18"/>
                    </w:rPr>
                    <w:t>项目类别</w:t>
                  </w:r>
                </w:p>
              </w:tc>
              <w:tc>
                <w:tcPr>
                  <w:tcW w:w="1950" w:type="dxa"/>
                  <w:vAlign w:val="center"/>
                </w:tcPr>
                <w:p w14:paraId="0D83E120">
                  <w:pPr>
                    <w:pStyle w:val="287"/>
                    <w:framePr w:hSpace="0" w:wrap="auto" w:vAnchor="margin" w:hAnchor="text" w:xAlign="left" w:yAlign="inline"/>
                    <w:ind w:left="0" w:leftChars="0" w:right="0" w:rightChars="0" w:firstLine="0" w:firstLineChars="0"/>
                    <w:jc w:val="center"/>
                    <w:rPr>
                      <w:color w:val="auto"/>
                      <w:sz w:val="18"/>
                      <w:szCs w:val="18"/>
                    </w:rPr>
                  </w:pPr>
                  <w:r>
                    <w:rPr>
                      <w:color w:val="auto"/>
                      <w:sz w:val="18"/>
                      <w:szCs w:val="18"/>
                    </w:rPr>
                    <w:t>报告书</w:t>
                  </w:r>
                </w:p>
              </w:tc>
              <w:tc>
                <w:tcPr>
                  <w:tcW w:w="2145" w:type="dxa"/>
                  <w:vAlign w:val="center"/>
                </w:tcPr>
                <w:p w14:paraId="06813C36">
                  <w:pPr>
                    <w:pStyle w:val="287"/>
                    <w:framePr w:hSpace="0" w:wrap="auto" w:vAnchor="margin" w:hAnchor="text" w:xAlign="left" w:yAlign="inline"/>
                    <w:ind w:left="0" w:leftChars="0" w:right="0" w:rightChars="0" w:firstLine="0" w:firstLineChars="0"/>
                    <w:jc w:val="center"/>
                    <w:rPr>
                      <w:color w:val="auto"/>
                      <w:sz w:val="18"/>
                      <w:szCs w:val="18"/>
                    </w:rPr>
                  </w:pPr>
                  <w:r>
                    <w:rPr>
                      <w:color w:val="auto"/>
                      <w:sz w:val="18"/>
                      <w:szCs w:val="18"/>
                    </w:rPr>
                    <w:t>报告表</w:t>
                  </w:r>
                </w:p>
              </w:tc>
              <w:tc>
                <w:tcPr>
                  <w:tcW w:w="1745" w:type="dxa"/>
                  <w:vAlign w:val="center"/>
                </w:tcPr>
                <w:p w14:paraId="2697DE8E">
                  <w:pPr>
                    <w:pStyle w:val="287"/>
                    <w:framePr w:hSpace="0" w:wrap="auto" w:vAnchor="margin" w:hAnchor="text" w:xAlign="left" w:yAlign="inline"/>
                    <w:ind w:left="0" w:leftChars="0" w:right="0" w:rightChars="0" w:firstLine="0" w:firstLineChars="0"/>
                    <w:jc w:val="center"/>
                    <w:rPr>
                      <w:color w:val="auto"/>
                      <w:sz w:val="18"/>
                      <w:szCs w:val="18"/>
                    </w:rPr>
                  </w:pPr>
                  <w:r>
                    <w:rPr>
                      <w:color w:val="auto"/>
                      <w:sz w:val="18"/>
                      <w:szCs w:val="18"/>
                    </w:rPr>
                    <w:t>登记表</w:t>
                  </w:r>
                </w:p>
              </w:tc>
            </w:tr>
            <w:tr w14:paraId="4B1CC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8700" w:type="dxa"/>
                  <w:gridSpan w:val="5"/>
                  <w:vAlign w:val="center"/>
                </w:tcPr>
                <w:p w14:paraId="380A02C0">
                  <w:pPr>
                    <w:pStyle w:val="287"/>
                    <w:framePr w:hSpace="0" w:wrap="auto" w:vAnchor="margin" w:hAnchor="text" w:xAlign="left" w:yAlign="inline"/>
                    <w:ind w:left="0" w:leftChars="0" w:right="0" w:rightChars="0" w:firstLine="0" w:firstLineChars="0"/>
                    <w:jc w:val="center"/>
                    <w:rPr>
                      <w:color w:val="auto"/>
                      <w:sz w:val="18"/>
                      <w:szCs w:val="18"/>
                    </w:rPr>
                  </w:pPr>
                  <w:r>
                    <w:rPr>
                      <w:rFonts w:hint="eastAsia"/>
                      <w:color w:val="auto"/>
                      <w:lang w:eastAsia="zh-CN"/>
                    </w:rPr>
                    <w:t>四</w:t>
                  </w:r>
                  <w:r>
                    <w:rPr>
                      <w:rFonts w:hint="eastAsia"/>
                      <w:color w:val="auto"/>
                    </w:rPr>
                    <w:t>、</w:t>
                  </w:r>
                  <w:r>
                    <w:rPr>
                      <w:rFonts w:hint="eastAsia"/>
                      <w:color w:val="auto"/>
                      <w:lang w:eastAsia="zh-CN"/>
                    </w:rPr>
                    <w:t>煤炭开采和洗选业</w:t>
                  </w:r>
                  <w:r>
                    <w:rPr>
                      <w:rFonts w:hint="eastAsia"/>
                      <w:color w:val="auto"/>
                      <w:lang w:val="en-US" w:eastAsia="zh-CN"/>
                    </w:rPr>
                    <w:t xml:space="preserve"> 06</w:t>
                  </w:r>
                </w:p>
              </w:tc>
            </w:tr>
            <w:tr w14:paraId="0D08D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4" w:hRule="atLeast"/>
                <w:jc w:val="center"/>
              </w:trPr>
              <w:tc>
                <w:tcPr>
                  <w:tcW w:w="489" w:type="dxa"/>
                  <w:vAlign w:val="center"/>
                </w:tcPr>
                <w:p w14:paraId="21F623CB">
                  <w:pPr>
                    <w:pStyle w:val="287"/>
                    <w:framePr w:hSpace="0" w:wrap="auto" w:vAnchor="margin" w:hAnchor="text" w:xAlign="left" w:yAlign="inline"/>
                    <w:ind w:left="0" w:leftChars="0" w:right="0" w:rightChars="0" w:firstLine="0" w:firstLineChars="0"/>
                    <w:jc w:val="center"/>
                    <w:rPr>
                      <w:rFonts w:hint="default" w:eastAsia="宋体"/>
                      <w:color w:val="auto"/>
                      <w:sz w:val="18"/>
                      <w:szCs w:val="18"/>
                      <w:lang w:val="en-US" w:eastAsia="zh-CN"/>
                    </w:rPr>
                  </w:pPr>
                  <w:r>
                    <w:rPr>
                      <w:rFonts w:hint="eastAsia"/>
                      <w:color w:val="auto"/>
                      <w:lang w:val="en-US" w:eastAsia="zh-CN"/>
                    </w:rPr>
                    <w:t>6</w:t>
                  </w:r>
                </w:p>
              </w:tc>
              <w:tc>
                <w:tcPr>
                  <w:tcW w:w="2371" w:type="dxa"/>
                  <w:vAlign w:val="center"/>
                </w:tcPr>
                <w:p w14:paraId="5DF4EBF7">
                  <w:pPr>
                    <w:keepNext w:val="0"/>
                    <w:keepLines w:val="0"/>
                    <w:widowControl/>
                    <w:suppressLineNumbers w:val="0"/>
                    <w:jc w:val="left"/>
                    <w:rPr>
                      <w:color w:val="auto"/>
                      <w:sz w:val="18"/>
                      <w:szCs w:val="18"/>
                    </w:rPr>
                  </w:pPr>
                  <w:r>
                    <w:rPr>
                      <w:rFonts w:hint="eastAsia" w:ascii="Times New Roman" w:hAnsi="Times New Roman" w:eastAsia="宋体" w:cs="宋体"/>
                      <w:color w:val="auto"/>
                      <w:kern w:val="2"/>
                      <w:sz w:val="18"/>
                      <w:szCs w:val="18"/>
                      <w:lang w:val="en-US" w:eastAsia="zh-CN" w:bidi="ar-SA"/>
                    </w:rPr>
                    <w:t>烟煤和无烟煤开采洗选061；褐煤开采洗选062；其他煤炭采选069</w:t>
                  </w:r>
                </w:p>
              </w:tc>
              <w:tc>
                <w:tcPr>
                  <w:tcW w:w="1950" w:type="dxa"/>
                  <w:vAlign w:val="center"/>
                </w:tcPr>
                <w:p w14:paraId="6871CA17">
                  <w:pPr>
                    <w:pStyle w:val="287"/>
                    <w:framePr w:hSpace="0" w:wrap="auto" w:vAnchor="margin" w:hAnchor="text" w:xAlign="left" w:yAlign="inline"/>
                    <w:ind w:left="0" w:leftChars="0" w:right="0" w:rightChars="0" w:firstLine="0" w:firstLineChars="0"/>
                    <w:jc w:val="center"/>
                    <w:rPr>
                      <w:rFonts w:hint="eastAsia" w:eastAsia="宋体"/>
                      <w:color w:val="auto"/>
                      <w:sz w:val="18"/>
                      <w:szCs w:val="18"/>
                      <w:lang w:eastAsia="zh-CN"/>
                    </w:rPr>
                  </w:pPr>
                  <w:r>
                    <w:rPr>
                      <w:rFonts w:hint="eastAsia"/>
                      <w:color w:val="auto"/>
                      <w:sz w:val="18"/>
                      <w:szCs w:val="18"/>
                      <w:lang w:eastAsia="zh-CN"/>
                    </w:rPr>
                    <w:t>煤炭开采</w:t>
                  </w:r>
                </w:p>
              </w:tc>
              <w:tc>
                <w:tcPr>
                  <w:tcW w:w="2145" w:type="dxa"/>
                  <w:vAlign w:val="center"/>
                </w:tcPr>
                <w:p w14:paraId="641D454E">
                  <w:pPr>
                    <w:pStyle w:val="287"/>
                    <w:framePr w:hSpace="0" w:wrap="auto" w:vAnchor="margin" w:hAnchor="text" w:xAlign="left" w:yAlign="inline"/>
                    <w:ind w:left="0" w:leftChars="0" w:right="0" w:rightChars="0" w:firstLine="0" w:firstLineChars="0"/>
                    <w:jc w:val="center"/>
                    <w:rPr>
                      <w:color w:val="auto"/>
                      <w:sz w:val="18"/>
                      <w:szCs w:val="18"/>
                    </w:rPr>
                  </w:pPr>
                  <w:r>
                    <w:rPr>
                      <w:rFonts w:hint="eastAsia"/>
                      <w:color w:val="auto"/>
                      <w:sz w:val="18"/>
                      <w:szCs w:val="18"/>
                      <w:lang w:eastAsia="zh-CN"/>
                    </w:rPr>
                    <w:t>煤炭洗选、配煤；煤炭储存、集运；风井场地、瓦斯抽放站；矿区修复治理工程（含煤矿火烧区治理工程）</w:t>
                  </w:r>
                </w:p>
              </w:tc>
              <w:tc>
                <w:tcPr>
                  <w:tcW w:w="1745" w:type="dxa"/>
                  <w:vAlign w:val="center"/>
                </w:tcPr>
                <w:p w14:paraId="50BC0363">
                  <w:pPr>
                    <w:pStyle w:val="287"/>
                    <w:framePr w:hSpace="0" w:wrap="auto" w:vAnchor="margin" w:hAnchor="text" w:xAlign="left" w:yAlign="inline"/>
                    <w:ind w:left="0" w:leftChars="0" w:right="0" w:rightChars="0" w:firstLine="0" w:firstLineChars="0"/>
                    <w:jc w:val="center"/>
                    <w:rPr>
                      <w:color w:val="auto"/>
                      <w:sz w:val="18"/>
                      <w:szCs w:val="18"/>
                    </w:rPr>
                  </w:pPr>
                  <w:r>
                    <w:rPr>
                      <w:color w:val="auto"/>
                      <w:sz w:val="18"/>
                      <w:szCs w:val="18"/>
                    </w:rPr>
                    <w:t>/</w:t>
                  </w:r>
                </w:p>
              </w:tc>
            </w:tr>
          </w:tbl>
          <w:p w14:paraId="01BEE3B7">
            <w:pPr>
              <w:pStyle w:val="180"/>
              <w:keepNext w:val="0"/>
              <w:keepLines w:val="0"/>
              <w:pageBreakBefore w:val="0"/>
              <w:framePr w:hSpace="0" w:wrap="auto" w:vAnchor="margin" w:hAnchor="text" w:xAlign="left" w:yAlign="inline"/>
              <w:widowControl/>
              <w:numPr>
                <w:ilvl w:val="0"/>
                <w:numId w:val="0"/>
              </w:numPr>
              <w:kinsoku/>
              <w:wordWrap/>
              <w:overflowPunct/>
              <w:topLinePunct w:val="0"/>
              <w:autoSpaceDE/>
              <w:autoSpaceDN/>
              <w:bidi w:val="0"/>
              <w:adjustRightInd/>
              <w:snapToGrid w:val="0"/>
              <w:spacing w:line="360" w:lineRule="auto"/>
              <w:ind w:firstLine="482" w:firstLineChars="200"/>
              <w:textAlignment w:val="auto"/>
              <w:rPr>
                <w:rFonts w:hint="eastAsia" w:ascii="Times New Roman" w:hAnsi="Times New Roman" w:cs="Times New Roman" w:eastAsiaTheme="minorEastAsia"/>
                <w:b/>
                <w:color w:val="auto"/>
                <w:sz w:val="24"/>
                <w:lang w:val="en-US" w:eastAsia="zh-CN" w:bidi="en-US"/>
              </w:rPr>
            </w:pPr>
          </w:p>
          <w:p w14:paraId="76CB4010">
            <w:pPr>
              <w:pStyle w:val="180"/>
              <w:keepNext w:val="0"/>
              <w:keepLines w:val="0"/>
              <w:pageBreakBefore w:val="0"/>
              <w:framePr w:hSpace="0" w:wrap="auto" w:vAnchor="margin" w:hAnchor="text" w:xAlign="left" w:yAlign="inline"/>
              <w:widowControl/>
              <w:numPr>
                <w:ilvl w:val="0"/>
                <w:numId w:val="0"/>
              </w:numPr>
              <w:kinsoku/>
              <w:wordWrap/>
              <w:overflowPunct/>
              <w:topLinePunct w:val="0"/>
              <w:autoSpaceDE/>
              <w:autoSpaceDN/>
              <w:bidi w:val="0"/>
              <w:adjustRightInd/>
              <w:snapToGrid w:val="0"/>
              <w:spacing w:line="360" w:lineRule="auto"/>
              <w:textAlignment w:val="auto"/>
              <w:rPr>
                <w:rFonts w:eastAsiaTheme="minorEastAsia"/>
                <w:color w:val="auto"/>
              </w:rPr>
            </w:pPr>
            <w:r>
              <w:rPr>
                <w:rFonts w:hint="eastAsia" w:ascii="Times New Roman" w:hAnsi="Times New Roman" w:cs="Times New Roman" w:eastAsiaTheme="minorEastAsia"/>
                <w:b/>
                <w:color w:val="auto"/>
                <w:sz w:val="24"/>
                <w:lang w:val="en-US" w:eastAsia="zh-CN" w:bidi="en-US"/>
              </w:rPr>
              <w:t>2.2</w:t>
            </w:r>
            <w:r>
              <w:rPr>
                <w:rFonts w:hint="eastAsia"/>
                <w:color w:val="auto"/>
              </w:rPr>
              <w:t>项目组成</w:t>
            </w:r>
          </w:p>
          <w:p w14:paraId="1D1C71FB">
            <w:pPr>
              <w:pStyle w:val="181"/>
              <w:keepNext w:val="0"/>
              <w:keepLines w:val="0"/>
              <w:pageBreakBefore w:val="0"/>
              <w:widowControl/>
              <w:numPr>
                <w:ilvl w:val="0"/>
                <w:numId w:val="0"/>
              </w:numPr>
              <w:kinsoku/>
              <w:wordWrap/>
              <w:overflowPunct/>
              <w:topLinePunct w:val="0"/>
              <w:autoSpaceDE/>
              <w:autoSpaceDN/>
              <w:bidi w:val="0"/>
              <w:adjustRightInd/>
              <w:snapToGrid w:val="0"/>
              <w:spacing w:line="360" w:lineRule="auto"/>
              <w:ind w:left="0" w:leftChars="0" w:firstLine="482" w:firstLineChars="200"/>
              <w:textAlignment w:val="auto"/>
              <w:rPr>
                <w:b/>
                <w:color w:val="auto"/>
              </w:rPr>
            </w:pPr>
            <w:r>
              <w:rPr>
                <w:rFonts w:hint="eastAsia" w:ascii="Times New Roman" w:hAnsi="Times New Roman" w:eastAsia="宋体" w:cs="Times New Roman"/>
                <w:b/>
                <w:color w:val="auto"/>
                <w:sz w:val="24"/>
                <w:lang w:val="en-US" w:eastAsia="zh-CN" w:bidi="en-US"/>
              </w:rPr>
              <w:t>2.2.1</w:t>
            </w:r>
            <w:r>
              <w:rPr>
                <w:b/>
                <w:color w:val="auto"/>
              </w:rPr>
              <w:t xml:space="preserve"> </w:t>
            </w:r>
            <w:r>
              <w:rPr>
                <w:rFonts w:hint="eastAsia"/>
                <w:b/>
                <w:color w:val="auto"/>
              </w:rPr>
              <w:t>基本概况</w:t>
            </w:r>
          </w:p>
          <w:p w14:paraId="68A01302">
            <w:pPr>
              <w:pStyle w:val="771"/>
              <w:bidi w:val="0"/>
              <w:rPr>
                <w:rFonts w:hint="eastAsia"/>
                <w:color w:val="auto"/>
                <w:lang w:eastAsia="zh-CN"/>
              </w:rPr>
            </w:pPr>
            <w:r>
              <w:rPr>
                <w:rFonts w:hint="eastAsia"/>
                <w:color w:val="auto"/>
              </w:rPr>
              <w:t>（1）项目名称：</w:t>
            </w:r>
            <w:r>
              <w:rPr>
                <w:rFonts w:hint="eastAsia"/>
                <w:color w:val="auto"/>
                <w:lang w:eastAsia="zh-CN"/>
              </w:rPr>
              <w:t>胶凝材料原料洗选及综合深加工开发利用项目</w:t>
            </w:r>
          </w:p>
          <w:p w14:paraId="417BA022">
            <w:pPr>
              <w:pStyle w:val="771"/>
              <w:bidi w:val="0"/>
              <w:rPr>
                <w:rFonts w:hint="eastAsia"/>
                <w:color w:val="auto"/>
                <w:lang w:eastAsia="zh-CN"/>
              </w:rPr>
            </w:pPr>
            <w:r>
              <w:rPr>
                <w:rFonts w:hint="eastAsia"/>
                <w:color w:val="auto"/>
              </w:rPr>
              <w:t>（2）建设单位：</w:t>
            </w:r>
            <w:r>
              <w:rPr>
                <w:rFonts w:hint="eastAsia"/>
                <w:color w:val="auto"/>
                <w:lang w:eastAsia="zh-CN"/>
              </w:rPr>
              <w:t>淮南市鹏骏新材料科技发展有限公司</w:t>
            </w:r>
          </w:p>
          <w:p w14:paraId="409A6D12">
            <w:pPr>
              <w:pStyle w:val="771"/>
              <w:bidi w:val="0"/>
              <w:rPr>
                <w:color w:val="auto"/>
              </w:rPr>
            </w:pPr>
            <w:r>
              <w:rPr>
                <w:rFonts w:hint="eastAsia"/>
                <w:color w:val="auto"/>
              </w:rPr>
              <w:t>（3）建设性质：新建</w:t>
            </w:r>
          </w:p>
          <w:p w14:paraId="2E2041C0">
            <w:pPr>
              <w:pStyle w:val="771"/>
              <w:bidi w:val="0"/>
              <w:rPr>
                <w:rFonts w:hint="eastAsia"/>
                <w:color w:val="auto"/>
              </w:rPr>
            </w:pPr>
            <w:r>
              <w:rPr>
                <w:rFonts w:hint="eastAsia"/>
                <w:color w:val="auto"/>
              </w:rPr>
              <w:t>（4）建设规模：</w:t>
            </w:r>
            <w:r>
              <w:rPr>
                <w:rFonts w:hint="eastAsia"/>
                <w:color w:val="auto"/>
                <w:lang w:val="en-US" w:eastAsia="zh-CN"/>
              </w:rPr>
              <w:t>本项目租用淮南舜岳水泥有限责任公司现有场地约10000平方米，购置洗煤设备及配套设施，建设水洗跳汰洗选生产线。</w:t>
            </w:r>
            <w:r>
              <w:rPr>
                <w:rFonts w:hint="eastAsia"/>
                <w:color w:val="auto"/>
                <w:lang w:eastAsia="zh-CN"/>
              </w:rPr>
              <w:t>项目建成后年洗选原煤</w:t>
            </w:r>
            <w:r>
              <w:rPr>
                <w:rFonts w:hint="eastAsia"/>
                <w:color w:val="auto"/>
                <w:lang w:val="en-US" w:eastAsia="zh-CN"/>
              </w:rPr>
              <w:t>200万吨</w:t>
            </w:r>
            <w:r>
              <w:rPr>
                <w:rFonts w:hint="eastAsia"/>
                <w:color w:val="auto"/>
                <w:lang w:eastAsia="zh-CN"/>
              </w:rPr>
              <w:t>。</w:t>
            </w:r>
          </w:p>
          <w:p w14:paraId="3EF6A4C7">
            <w:pPr>
              <w:pStyle w:val="180"/>
              <w:framePr w:hSpace="0" w:wrap="auto" w:vAnchor="margin" w:hAnchor="text" w:xAlign="left" w:yAlign="inline"/>
              <w:numPr>
                <w:ilvl w:val="0"/>
                <w:numId w:val="0"/>
              </w:numPr>
              <w:spacing w:line="360" w:lineRule="auto"/>
              <w:ind w:left="902" w:leftChars="0" w:hanging="420" w:firstLineChars="0"/>
              <w:rPr>
                <w:color w:val="auto"/>
              </w:rPr>
            </w:pPr>
            <w:r>
              <w:rPr>
                <w:rFonts w:hint="eastAsia" w:ascii="Times New Roman" w:hAnsi="Times New Roman" w:eastAsia="宋体" w:cs="Times New Roman"/>
                <w:b/>
                <w:color w:val="auto"/>
                <w:sz w:val="24"/>
                <w:lang w:val="en-US" w:eastAsia="zh-CN" w:bidi="en-US"/>
              </w:rPr>
              <w:t>2.2.2</w:t>
            </w:r>
            <w:r>
              <w:rPr>
                <w:rFonts w:hint="eastAsia"/>
                <w:color w:val="auto"/>
              </w:rPr>
              <w:t xml:space="preserve"> 建设地点</w:t>
            </w:r>
          </w:p>
          <w:p w14:paraId="34A0342A">
            <w:pPr>
              <w:pStyle w:val="771"/>
              <w:bidi w:val="0"/>
              <w:rPr>
                <w:color w:val="auto"/>
              </w:rPr>
            </w:pPr>
            <w:r>
              <w:rPr>
                <w:rFonts w:hint="eastAsia"/>
                <w:color w:val="auto"/>
              </w:rPr>
              <w:t>本项目位于</w:t>
            </w:r>
            <w:r>
              <w:rPr>
                <w:rFonts w:hint="eastAsia"/>
                <w:color w:val="auto"/>
                <w:lang w:eastAsia="zh-CN"/>
              </w:rPr>
              <w:t>淮南市八公山区淮南舜岳水泥有限责任公司厂区内</w:t>
            </w:r>
            <w:r>
              <w:rPr>
                <w:rFonts w:hint="eastAsia"/>
                <w:color w:val="auto"/>
              </w:rPr>
              <w:t>，项目用地性质为工业用地</w:t>
            </w:r>
            <w:r>
              <w:rPr>
                <w:color w:val="auto"/>
              </w:rPr>
              <w:t>。本项目在</w:t>
            </w:r>
            <w:r>
              <w:rPr>
                <w:rFonts w:hint="eastAsia"/>
                <w:color w:val="auto"/>
                <w:lang w:eastAsia="zh-CN"/>
              </w:rPr>
              <w:t>已建成闲置</w:t>
            </w:r>
            <w:r>
              <w:rPr>
                <w:color w:val="auto"/>
              </w:rPr>
              <w:t>厂房内实施建设，</w:t>
            </w:r>
            <w:r>
              <w:rPr>
                <w:rFonts w:hint="eastAsia"/>
                <w:color w:val="auto"/>
              </w:rPr>
              <w:t>项目所在地</w:t>
            </w:r>
            <w:r>
              <w:rPr>
                <w:rFonts w:hint="eastAsia"/>
                <w:color w:val="auto"/>
                <w:lang w:eastAsia="zh-CN"/>
              </w:rPr>
              <w:t>厂界四周均为</w:t>
            </w:r>
            <w:r>
              <w:rPr>
                <w:rFonts w:hint="eastAsia"/>
                <w:color w:val="auto"/>
                <w:lang w:val="en-US" w:eastAsia="zh-CN"/>
              </w:rPr>
              <w:t>水泥厂内建筑物</w:t>
            </w:r>
            <w:r>
              <w:rPr>
                <w:rFonts w:hint="eastAsia"/>
                <w:color w:val="auto"/>
              </w:rPr>
              <w:t>。</w:t>
            </w:r>
          </w:p>
          <w:p w14:paraId="2E239F15">
            <w:pPr>
              <w:pStyle w:val="771"/>
              <w:bidi w:val="0"/>
              <w:rPr>
                <w:color w:val="auto"/>
              </w:rPr>
            </w:pPr>
            <w:r>
              <w:rPr>
                <w:color w:val="auto"/>
              </w:rPr>
              <w:t>项目周边环境概况详见</w:t>
            </w:r>
            <w:r>
              <w:rPr>
                <w:rFonts w:hint="eastAsia"/>
                <w:color w:val="auto"/>
                <w:lang w:eastAsia="zh-CN"/>
              </w:rPr>
              <w:t>下图</w:t>
            </w:r>
            <w:r>
              <w:rPr>
                <w:color w:val="auto"/>
              </w:rPr>
              <w:t>。</w:t>
            </w:r>
          </w:p>
          <w:p w14:paraId="71195EF1">
            <w:pPr>
              <w:pStyle w:val="286"/>
              <w:framePr w:hSpace="0" w:wrap="auto" w:vAnchor="margin" w:hAnchor="text" w:xAlign="left" w:yAlign="inline"/>
              <w:spacing w:line="360" w:lineRule="auto"/>
              <w:rPr>
                <w:rFonts w:hint="eastAsia" w:eastAsia="宋体"/>
                <w:color w:val="auto"/>
                <w:lang w:val="en-US" w:eastAsia="zh-CN"/>
              </w:rPr>
            </w:pPr>
            <w:r>
              <w:drawing>
                <wp:inline distT="0" distB="0" distL="114300" distR="114300">
                  <wp:extent cx="5588000" cy="3941445"/>
                  <wp:effectExtent l="9525" t="9525" r="22225" b="1143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24"/>
                          <a:stretch>
                            <a:fillRect/>
                          </a:stretch>
                        </pic:blipFill>
                        <pic:spPr>
                          <a:xfrm>
                            <a:off x="0" y="0"/>
                            <a:ext cx="5588000" cy="3941445"/>
                          </a:xfrm>
                          <a:prstGeom prst="rect">
                            <a:avLst/>
                          </a:prstGeom>
                          <a:noFill/>
                          <a:ln>
                            <a:solidFill>
                              <a:schemeClr val="tx1"/>
                            </a:solidFill>
                          </a:ln>
                        </pic:spPr>
                      </pic:pic>
                    </a:graphicData>
                  </a:graphic>
                </wp:inline>
              </w:drawing>
            </w:r>
          </w:p>
          <w:p w14:paraId="7911780D">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color w:val="auto"/>
                <w:lang w:val="en-US" w:eastAsia="zh-CN"/>
              </w:rPr>
            </w:pPr>
            <w:r>
              <w:rPr>
                <w:color w:val="auto"/>
              </w:rPr>
              <w:t xml:space="preserve">图 </w:t>
            </w:r>
            <w:r>
              <w:rPr>
                <w:rFonts w:hint="eastAsia"/>
                <w:color w:val="auto"/>
                <w:lang w:val="en-US" w:eastAsia="zh-CN"/>
              </w:rPr>
              <w:t>2</w:t>
            </w:r>
            <w:r>
              <w:rPr>
                <w:rFonts w:hint="eastAsia"/>
                <w:color w:val="auto"/>
                <w:lang w:eastAsia="zh-CN"/>
              </w:rPr>
              <w:t>-</w:t>
            </w:r>
            <w:r>
              <w:rPr>
                <w:color w:val="auto"/>
              </w:rPr>
              <w:fldChar w:fldCharType="begin"/>
            </w:r>
            <w:r>
              <w:rPr>
                <w:color w:val="auto"/>
              </w:rPr>
              <w:instrText xml:space="preserve"> SEQ 图 \* ARABIC \s 1 </w:instrText>
            </w:r>
            <w:r>
              <w:rPr>
                <w:color w:val="auto"/>
              </w:rPr>
              <w:fldChar w:fldCharType="separate"/>
            </w:r>
            <w:r>
              <w:rPr>
                <w:color w:val="auto"/>
              </w:rPr>
              <w:t>1</w:t>
            </w:r>
            <w:r>
              <w:rPr>
                <w:color w:val="auto"/>
              </w:rPr>
              <w:fldChar w:fldCharType="end"/>
            </w:r>
            <w:r>
              <w:rPr>
                <w:rFonts w:hint="eastAsia"/>
                <w:color w:val="auto"/>
                <w:lang w:val="en-US" w:eastAsia="zh-CN"/>
              </w:rPr>
              <w:t xml:space="preserve"> </w:t>
            </w:r>
            <w:r>
              <w:rPr>
                <w:color w:val="auto"/>
              </w:rPr>
              <w:t>项目周边环境概况</w:t>
            </w:r>
            <w:r>
              <w:rPr>
                <w:rFonts w:hint="eastAsia"/>
                <w:color w:val="auto"/>
              </w:rPr>
              <w:t>图</w:t>
            </w:r>
          </w:p>
          <w:p w14:paraId="641B39C3">
            <w:pPr>
              <w:pStyle w:val="180"/>
              <w:keepNext w:val="0"/>
              <w:keepLines w:val="0"/>
              <w:pageBreakBefore w:val="0"/>
              <w:framePr w:hSpace="0" w:wrap="auto" w:vAnchor="margin" w:hAnchor="text" w:xAlign="left" w:yAlign="inline"/>
              <w:widowControl/>
              <w:numPr>
                <w:ilvl w:val="0"/>
                <w:numId w:val="0"/>
              </w:numPr>
              <w:kinsoku/>
              <w:wordWrap/>
              <w:overflowPunct/>
              <w:topLinePunct w:val="0"/>
              <w:autoSpaceDE/>
              <w:autoSpaceDN/>
              <w:bidi w:val="0"/>
              <w:adjustRightInd/>
              <w:snapToGrid/>
              <w:spacing w:after="0"/>
              <w:ind w:left="0" w:leftChars="0" w:firstLine="482" w:firstLineChars="200"/>
              <w:textAlignment w:val="auto"/>
              <w:rPr>
                <w:color w:val="auto"/>
              </w:rPr>
            </w:pPr>
            <w:r>
              <w:rPr>
                <w:rFonts w:hint="eastAsia" w:ascii="Times New Roman" w:hAnsi="Times New Roman" w:eastAsia="宋体" w:cs="Times New Roman"/>
                <w:b/>
                <w:color w:val="auto"/>
                <w:sz w:val="24"/>
                <w:lang w:val="en-US" w:eastAsia="zh-CN" w:bidi="en-US"/>
              </w:rPr>
              <w:t>2.2.3</w:t>
            </w:r>
            <w:r>
              <w:rPr>
                <w:color w:val="auto"/>
              </w:rPr>
              <w:t xml:space="preserve"> </w:t>
            </w:r>
            <w:r>
              <w:rPr>
                <w:rFonts w:hint="eastAsia"/>
                <w:color w:val="auto"/>
              </w:rPr>
              <w:t>工程建设内容</w:t>
            </w:r>
          </w:p>
          <w:p w14:paraId="588FC66B">
            <w:pPr>
              <w:pStyle w:val="181"/>
              <w:keepNext w:val="0"/>
              <w:keepLines w:val="0"/>
              <w:pageBreakBefore w:val="0"/>
              <w:widowControl/>
              <w:kinsoku/>
              <w:wordWrap/>
              <w:overflowPunct/>
              <w:topLinePunct w:val="0"/>
              <w:autoSpaceDE/>
              <w:autoSpaceDN/>
              <w:bidi w:val="0"/>
              <w:adjustRightInd/>
              <w:snapToGrid/>
              <w:spacing w:after="0"/>
              <w:ind w:left="0" w:firstLine="480" w:firstLineChars="200"/>
              <w:textAlignment w:val="auto"/>
              <w:rPr>
                <w:rFonts w:hint="eastAsia" w:ascii="Times New Roman" w:hAnsi="Times New Roman" w:eastAsia="宋体" w:cs="Times New Roman"/>
                <w:color w:val="auto"/>
                <w:kern w:val="0"/>
                <w:sz w:val="24"/>
                <w:szCs w:val="24"/>
                <w:lang w:val="en-US" w:eastAsia="zh-CN" w:bidi="ar"/>
              </w:rPr>
            </w:pPr>
            <w:r>
              <w:rPr>
                <w:rFonts w:hint="eastAsia" w:cs="Times New Roman"/>
                <w:color w:val="auto"/>
                <w:kern w:val="0"/>
                <w:sz w:val="24"/>
                <w:szCs w:val="24"/>
                <w:lang w:val="en-US" w:eastAsia="zh-CN" w:bidi="ar"/>
              </w:rPr>
              <w:t>淮南市鹏骏新材料科技发展有限公司</w:t>
            </w:r>
            <w:r>
              <w:rPr>
                <w:rFonts w:hint="default" w:ascii="Times New Roman" w:hAnsi="Times New Roman" w:eastAsia="宋体" w:cs="Times New Roman"/>
                <w:color w:val="auto"/>
                <w:kern w:val="0"/>
                <w:sz w:val="24"/>
                <w:szCs w:val="24"/>
                <w:lang w:val="en-US" w:eastAsia="zh-CN" w:bidi="ar"/>
              </w:rPr>
              <w:t>租赁</w:t>
            </w:r>
            <w:r>
              <w:rPr>
                <w:rFonts w:hint="eastAsia"/>
                <w:color w:val="auto"/>
                <w:lang w:eastAsia="zh-CN"/>
              </w:rPr>
              <w:t>淮南市八公山区淮南舜岳水泥有限责任公司厂区内部分场地</w:t>
            </w:r>
            <w:r>
              <w:rPr>
                <w:rFonts w:hint="default" w:ascii="Times New Roman" w:hAnsi="Times New Roman" w:eastAsia="宋体" w:cs="Times New Roman"/>
                <w:color w:val="auto"/>
                <w:kern w:val="0"/>
                <w:sz w:val="24"/>
                <w:szCs w:val="24"/>
                <w:lang w:val="en-US" w:eastAsia="zh-CN" w:bidi="ar"/>
              </w:rPr>
              <w:t>进行生产建设。本项目不</w:t>
            </w:r>
            <w:r>
              <w:rPr>
                <w:rFonts w:hint="eastAsia" w:ascii="Times New Roman" w:hAnsi="Times New Roman" w:eastAsia="宋体" w:cs="Times New Roman"/>
                <w:color w:val="auto"/>
                <w:kern w:val="0"/>
                <w:sz w:val="24"/>
                <w:szCs w:val="24"/>
                <w:lang w:val="en-US" w:eastAsia="zh-CN" w:bidi="ar"/>
              </w:rPr>
              <w:t>涉及</w:t>
            </w:r>
            <w:r>
              <w:rPr>
                <w:rFonts w:hint="default" w:ascii="Times New Roman" w:hAnsi="Times New Roman" w:eastAsia="宋体" w:cs="Times New Roman"/>
                <w:color w:val="auto"/>
                <w:kern w:val="0"/>
                <w:sz w:val="24"/>
                <w:szCs w:val="24"/>
                <w:lang w:val="en-US" w:eastAsia="zh-CN" w:bidi="ar"/>
              </w:rPr>
              <w:t>原料破碎工艺</w:t>
            </w:r>
            <w:r>
              <w:rPr>
                <w:rFonts w:hint="eastAsia" w:ascii="Times New Roman" w:hAnsi="Times New Roman" w:eastAsia="宋体" w:cs="Times New Roman"/>
                <w:color w:val="auto"/>
                <w:kern w:val="0"/>
                <w:sz w:val="24"/>
                <w:szCs w:val="24"/>
                <w:lang w:val="en-US" w:eastAsia="zh-CN" w:bidi="ar"/>
              </w:rPr>
              <w:t>，原煤由淮南舜岳水泥有限责任公司提供</w:t>
            </w:r>
            <w:r>
              <w:rPr>
                <w:rFonts w:hint="eastAsia" w:cs="Times New Roman"/>
                <w:color w:val="auto"/>
                <w:kern w:val="0"/>
                <w:sz w:val="24"/>
                <w:szCs w:val="24"/>
                <w:lang w:val="en-US" w:eastAsia="zh-CN" w:bidi="ar"/>
              </w:rPr>
              <w:t>，由全封闭式传送带运送至本项目生产车间，不在本项目厂区范围内堆存</w:t>
            </w:r>
            <w:r>
              <w:rPr>
                <w:rFonts w:hint="eastAsia" w:ascii="Times New Roman" w:hAnsi="Times New Roman" w:eastAsia="宋体" w:cs="Times New Roman"/>
                <w:color w:val="auto"/>
                <w:kern w:val="0"/>
                <w:sz w:val="24"/>
                <w:szCs w:val="24"/>
                <w:lang w:val="en-US" w:eastAsia="zh-CN" w:bidi="ar"/>
              </w:rPr>
              <w:t>。</w:t>
            </w:r>
            <w:r>
              <w:rPr>
                <w:rFonts w:hint="eastAsia" w:cs="Times New Roman"/>
                <w:color w:val="auto"/>
                <w:kern w:val="0"/>
                <w:sz w:val="24"/>
                <w:szCs w:val="24"/>
                <w:lang w:val="en-US" w:eastAsia="zh-CN" w:bidi="ar"/>
              </w:rPr>
              <w:t>洗选后产品经全封闭式传送带运送至产品堆棚，产品运出采用车辆运输。</w:t>
            </w:r>
          </w:p>
          <w:p w14:paraId="0F30D8E3">
            <w:pPr>
              <w:pStyle w:val="181"/>
              <w:keepNext w:val="0"/>
              <w:keepLines w:val="0"/>
              <w:pageBreakBefore w:val="0"/>
              <w:widowControl/>
              <w:kinsoku/>
              <w:wordWrap/>
              <w:overflowPunct/>
              <w:topLinePunct w:val="0"/>
              <w:autoSpaceDE/>
              <w:autoSpaceDN/>
              <w:bidi w:val="0"/>
              <w:adjustRightInd/>
              <w:snapToGrid/>
              <w:spacing w:after="0"/>
              <w:ind w:left="0" w:firstLine="480" w:firstLineChars="200"/>
              <w:textAlignment w:val="auto"/>
              <w:rPr>
                <w:color w:val="auto"/>
              </w:rPr>
            </w:pPr>
            <w:r>
              <w:rPr>
                <w:color w:val="auto"/>
              </w:rPr>
              <w:t>主要建设内容详见</w:t>
            </w:r>
            <w:r>
              <w:rPr>
                <w:rFonts w:hint="eastAsia"/>
                <w:color w:val="auto"/>
                <w:lang w:eastAsia="zh-CN"/>
              </w:rPr>
              <w:t>下表</w:t>
            </w:r>
            <w:r>
              <w:rPr>
                <w:color w:val="auto"/>
              </w:rPr>
              <w:t>。</w:t>
            </w:r>
          </w:p>
          <w:p w14:paraId="6910F4E5">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2</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2</w:t>
            </w:r>
            <w:r>
              <w:rPr>
                <w:color w:val="auto"/>
              </w:rPr>
              <w:fldChar w:fldCharType="end"/>
            </w:r>
            <w:r>
              <w:rPr>
                <w:color w:val="auto"/>
              </w:rPr>
              <w:t xml:space="preserve"> 项目建设内容组成一览表</w:t>
            </w:r>
          </w:p>
          <w:tbl>
            <w:tblPr>
              <w:tblStyle w:val="53"/>
              <w:tblpPr w:leftFromText="180" w:rightFromText="180" w:vertAnchor="text" w:tblpXSpec="center" w:tblpY="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674"/>
              <w:gridCol w:w="345"/>
              <w:gridCol w:w="874"/>
              <w:gridCol w:w="5870"/>
              <w:gridCol w:w="938"/>
            </w:tblGrid>
            <w:tr w14:paraId="6A2EE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90" w:hRule="atLeast"/>
              </w:trPr>
              <w:tc>
                <w:tcPr>
                  <w:tcW w:w="387" w:type="pct"/>
                  <w:vAlign w:val="center"/>
                </w:tcPr>
                <w:p w14:paraId="21D90F46">
                  <w:pPr>
                    <w:pStyle w:val="287"/>
                    <w:framePr w:hSpace="0" w:wrap="auto" w:vAnchor="margin" w:hAnchor="text" w:xAlign="left" w:yAlign="inline"/>
                    <w:rPr>
                      <w:color w:val="auto"/>
                    </w:rPr>
                  </w:pPr>
                  <w:r>
                    <w:rPr>
                      <w:color w:val="auto"/>
                    </w:rPr>
                    <w:t>工程类别</w:t>
                  </w:r>
                </w:p>
              </w:tc>
              <w:tc>
                <w:tcPr>
                  <w:tcW w:w="700" w:type="pct"/>
                  <w:gridSpan w:val="2"/>
                  <w:vAlign w:val="center"/>
                </w:tcPr>
                <w:p w14:paraId="76970F8E">
                  <w:pPr>
                    <w:pStyle w:val="287"/>
                    <w:framePr w:hSpace="0" w:wrap="auto" w:vAnchor="margin" w:hAnchor="text" w:xAlign="left" w:yAlign="inline"/>
                    <w:rPr>
                      <w:color w:val="auto"/>
                    </w:rPr>
                  </w:pPr>
                  <w:r>
                    <w:rPr>
                      <w:color w:val="auto"/>
                    </w:rPr>
                    <w:t>工程名称</w:t>
                  </w:r>
                </w:p>
              </w:tc>
              <w:tc>
                <w:tcPr>
                  <w:tcW w:w="3372" w:type="pct"/>
                  <w:vAlign w:val="center"/>
                </w:tcPr>
                <w:p w14:paraId="6535F8C6">
                  <w:pPr>
                    <w:pStyle w:val="287"/>
                    <w:framePr w:hSpace="0" w:wrap="auto" w:vAnchor="margin" w:hAnchor="text" w:xAlign="left" w:yAlign="inline"/>
                    <w:rPr>
                      <w:color w:val="auto"/>
                    </w:rPr>
                  </w:pPr>
                  <w:r>
                    <w:rPr>
                      <w:color w:val="auto"/>
                    </w:rPr>
                    <w:t>工程建设内容</w:t>
                  </w:r>
                </w:p>
              </w:tc>
              <w:tc>
                <w:tcPr>
                  <w:tcW w:w="539" w:type="pct"/>
                  <w:vAlign w:val="center"/>
                </w:tcPr>
                <w:p w14:paraId="240BC171">
                  <w:pPr>
                    <w:pStyle w:val="287"/>
                    <w:framePr w:hSpace="0" w:wrap="auto" w:vAnchor="margin" w:hAnchor="text" w:xAlign="left" w:yAlign="inline"/>
                    <w:rPr>
                      <w:color w:val="auto"/>
                    </w:rPr>
                  </w:pPr>
                  <w:r>
                    <w:rPr>
                      <w:rFonts w:hint="eastAsia"/>
                      <w:color w:val="auto"/>
                    </w:rPr>
                    <w:t>备注</w:t>
                  </w:r>
                </w:p>
              </w:tc>
            </w:tr>
            <w:tr w14:paraId="22BA3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387" w:type="pct"/>
                  <w:vMerge w:val="restart"/>
                  <w:vAlign w:val="center"/>
                </w:tcPr>
                <w:p w14:paraId="28E21382">
                  <w:pPr>
                    <w:pStyle w:val="287"/>
                    <w:framePr w:hSpace="0" w:wrap="auto" w:vAnchor="margin" w:hAnchor="text" w:xAlign="left" w:yAlign="inline"/>
                    <w:rPr>
                      <w:color w:val="auto"/>
                    </w:rPr>
                  </w:pPr>
                  <w:r>
                    <w:rPr>
                      <w:color w:val="auto"/>
                    </w:rPr>
                    <w:t>主体</w:t>
                  </w:r>
                </w:p>
                <w:p w14:paraId="10253A62">
                  <w:pPr>
                    <w:pStyle w:val="287"/>
                    <w:framePr w:hSpace="0" w:wrap="auto" w:vAnchor="margin" w:hAnchor="text" w:xAlign="left" w:yAlign="inline"/>
                    <w:rPr>
                      <w:color w:val="auto"/>
                    </w:rPr>
                  </w:pPr>
                  <w:r>
                    <w:rPr>
                      <w:color w:val="auto"/>
                    </w:rPr>
                    <w:t>工程</w:t>
                  </w:r>
                </w:p>
              </w:tc>
              <w:tc>
                <w:tcPr>
                  <w:tcW w:w="700" w:type="pct"/>
                  <w:gridSpan w:val="2"/>
                  <w:shd w:val="clear" w:color="auto" w:fill="auto"/>
                  <w:vAlign w:val="center"/>
                </w:tcPr>
                <w:p w14:paraId="245C3B4A">
                  <w:pPr>
                    <w:pStyle w:val="287"/>
                    <w:framePr w:hSpace="0" w:wrap="auto" w:vAnchor="margin" w:hAnchor="text" w:xAlign="left" w:yAlign="inline"/>
                    <w:rPr>
                      <w:rFonts w:hint="default" w:ascii="Times New Roman" w:hAnsi="Times New Roman" w:eastAsia="宋体" w:cs="宋体"/>
                      <w:color w:val="auto"/>
                      <w:kern w:val="2"/>
                      <w:sz w:val="18"/>
                      <w:szCs w:val="22"/>
                      <w:lang w:val="en-US" w:eastAsia="zh-CN" w:bidi="ar-SA"/>
                    </w:rPr>
                  </w:pPr>
                  <w:r>
                    <w:rPr>
                      <w:rFonts w:hint="eastAsia" w:ascii="Times New Roman" w:hAnsi="Times New Roman" w:eastAsia="宋体" w:cs="Times New Roman"/>
                      <w:color w:val="auto"/>
                      <w:szCs w:val="21"/>
                    </w:rPr>
                    <w:t>数控跳汰洗选车间</w:t>
                  </w:r>
                </w:p>
              </w:tc>
              <w:tc>
                <w:tcPr>
                  <w:tcW w:w="3372" w:type="pct"/>
                  <w:shd w:val="clear" w:color="auto" w:fill="auto"/>
                  <w:vAlign w:val="center"/>
                </w:tcPr>
                <w:p w14:paraId="3BD6CD78">
                  <w:pPr>
                    <w:pStyle w:val="287"/>
                    <w:framePr w:hSpace="0" w:wrap="auto" w:vAnchor="margin" w:hAnchor="text" w:xAlign="left" w:yAlign="inline"/>
                    <w:rPr>
                      <w:rFonts w:ascii="Times New Roman" w:hAnsi="Times New Roman" w:eastAsia="宋体" w:cs="宋体"/>
                      <w:color w:val="auto"/>
                      <w:kern w:val="2"/>
                      <w:sz w:val="18"/>
                      <w:szCs w:val="22"/>
                      <w:lang w:val="zh-CN" w:eastAsia="zh-CN" w:bidi="ar-SA"/>
                    </w:rPr>
                  </w:pPr>
                  <w:r>
                    <w:rPr>
                      <w:rFonts w:hint="eastAsia"/>
                      <w:color w:val="auto"/>
                      <w:lang w:eastAsia="zh-CN"/>
                    </w:rPr>
                    <w:t>位于厂区东北侧，</w:t>
                  </w:r>
                  <w:r>
                    <w:rPr>
                      <w:rFonts w:hint="eastAsia" w:cs="Times New Roman"/>
                      <w:color w:val="auto"/>
                      <w:sz w:val="18"/>
                      <w:szCs w:val="18"/>
                      <w:highlight w:val="none"/>
                      <w:lang w:eastAsia="zh-CN"/>
                    </w:rPr>
                    <w:t>利用</w:t>
                  </w:r>
                  <w:r>
                    <w:rPr>
                      <w:rFonts w:hint="default" w:ascii="Times New Roman" w:hAnsi="Times New Roman" w:eastAsia="宋体" w:cs="Times New Roman"/>
                      <w:color w:val="auto"/>
                      <w:sz w:val="18"/>
                      <w:szCs w:val="18"/>
                      <w:highlight w:val="none"/>
                      <w:lang w:eastAsia="zh-CN"/>
                    </w:rPr>
                    <w:t>厂区内原有厂房作为</w:t>
                  </w:r>
                  <w:r>
                    <w:rPr>
                      <w:rFonts w:hint="eastAsia" w:eastAsia="宋体" w:cs="Times New Roman"/>
                      <w:color w:val="auto"/>
                      <w:sz w:val="18"/>
                      <w:szCs w:val="18"/>
                      <w:highlight w:val="none"/>
                      <w:lang w:eastAsia="zh-CN"/>
                    </w:rPr>
                    <w:t>本项目生产车间</w:t>
                  </w:r>
                  <w:r>
                    <w:rPr>
                      <w:rFonts w:hint="default" w:ascii="Times New Roman" w:hAnsi="Times New Roman" w:eastAsia="宋体" w:cs="Times New Roman"/>
                      <w:color w:val="auto"/>
                      <w:sz w:val="18"/>
                      <w:szCs w:val="18"/>
                      <w:highlight w:val="none"/>
                    </w:rPr>
                    <w:t>，</w:t>
                  </w:r>
                  <w:r>
                    <w:rPr>
                      <w:rFonts w:hint="eastAsia" w:eastAsia="宋体" w:cs="Times New Roman"/>
                      <w:color w:val="auto"/>
                      <w:sz w:val="18"/>
                      <w:szCs w:val="18"/>
                      <w:highlight w:val="none"/>
                      <w:lang w:eastAsia="zh-CN"/>
                    </w:rPr>
                    <w:t>层高</w:t>
                  </w:r>
                  <w:r>
                    <w:rPr>
                      <w:rFonts w:hint="eastAsia" w:eastAsia="宋体" w:cs="Times New Roman"/>
                      <w:color w:val="auto"/>
                      <w:sz w:val="18"/>
                      <w:szCs w:val="18"/>
                      <w:highlight w:val="none"/>
                      <w:lang w:val="en-US" w:eastAsia="zh-CN"/>
                    </w:rPr>
                    <w:t>16米，</w:t>
                  </w:r>
                  <w:r>
                    <w:rPr>
                      <w:rFonts w:hint="default" w:ascii="Times New Roman" w:hAnsi="Times New Roman" w:eastAsia="宋体" w:cs="Times New Roman"/>
                      <w:color w:val="auto"/>
                      <w:sz w:val="18"/>
                      <w:szCs w:val="18"/>
                      <w:highlight w:val="none"/>
                    </w:rPr>
                    <w:t>建筑面积</w:t>
                  </w:r>
                  <w:r>
                    <w:rPr>
                      <w:rFonts w:hint="default" w:ascii="Times New Roman" w:hAnsi="Times New Roman" w:eastAsia="宋体" w:cs="Times New Roman"/>
                      <w:color w:val="auto"/>
                      <w:sz w:val="18"/>
                      <w:szCs w:val="18"/>
                      <w:highlight w:val="none"/>
                      <w:lang w:eastAsia="zh-CN"/>
                    </w:rPr>
                    <w:t>约</w:t>
                  </w:r>
                  <w:r>
                    <w:rPr>
                      <w:rFonts w:hint="default" w:ascii="Times New Roman" w:hAnsi="Times New Roman" w:eastAsia="宋体" w:cs="Times New Roman"/>
                      <w:color w:val="auto"/>
                      <w:sz w:val="18"/>
                      <w:szCs w:val="18"/>
                      <w:highlight w:val="none"/>
                    </w:rPr>
                    <w:t>为</w:t>
                  </w:r>
                  <w:r>
                    <w:rPr>
                      <w:rFonts w:hint="eastAsia" w:eastAsia="宋体" w:cs="Times New Roman"/>
                      <w:color w:val="auto"/>
                      <w:sz w:val="18"/>
                      <w:szCs w:val="18"/>
                      <w:highlight w:val="none"/>
                      <w:lang w:val="en-US" w:eastAsia="zh-CN"/>
                    </w:rPr>
                    <w:t>16</w:t>
                  </w:r>
                  <w:r>
                    <w:rPr>
                      <w:rFonts w:hint="default" w:ascii="Times New Roman" w:hAnsi="Times New Roman" w:eastAsia="宋体" w:cs="Times New Roman"/>
                      <w:color w:val="auto"/>
                      <w:sz w:val="18"/>
                      <w:szCs w:val="18"/>
                      <w:highlight w:val="none"/>
                      <w:lang w:val="en-US" w:eastAsia="zh-CN"/>
                    </w:rPr>
                    <w:t>00</w:t>
                  </w:r>
                  <w:r>
                    <w:rPr>
                      <w:rFonts w:hint="default" w:ascii="Times New Roman" w:hAnsi="Times New Roman" w:eastAsia="宋体" w:cs="Times New Roman"/>
                      <w:color w:val="auto"/>
                      <w:sz w:val="18"/>
                      <w:szCs w:val="18"/>
                      <w:highlight w:val="none"/>
                    </w:rPr>
                    <w:t>m</w:t>
                  </w:r>
                  <w:r>
                    <w:rPr>
                      <w:rFonts w:hint="default" w:ascii="Times New Roman" w:hAnsi="Times New Roman" w:eastAsia="宋体" w:cs="Times New Roman"/>
                      <w:color w:val="auto"/>
                      <w:sz w:val="18"/>
                      <w:szCs w:val="18"/>
                      <w:highlight w:val="none"/>
                      <w:vertAlign w:val="superscript"/>
                    </w:rPr>
                    <w:t>2</w:t>
                  </w:r>
                  <w:r>
                    <w:rPr>
                      <w:rFonts w:hint="default" w:ascii="Times New Roman" w:hAnsi="Times New Roman" w:eastAsia="宋体" w:cs="Times New Roman"/>
                      <w:color w:val="auto"/>
                      <w:sz w:val="18"/>
                      <w:szCs w:val="18"/>
                      <w:highlight w:val="none"/>
                    </w:rPr>
                    <w:t>，内设</w:t>
                  </w:r>
                  <w:r>
                    <w:rPr>
                      <w:rFonts w:hint="default" w:ascii="Times New Roman" w:hAnsi="Times New Roman" w:eastAsia="宋体" w:cs="Times New Roman"/>
                      <w:color w:val="auto"/>
                      <w:sz w:val="18"/>
                      <w:szCs w:val="18"/>
                      <w:highlight w:val="none"/>
                      <w:lang w:eastAsia="zh-CN"/>
                    </w:rPr>
                    <w:t>跳汰</w:t>
                  </w:r>
                  <w:r>
                    <w:rPr>
                      <w:rFonts w:hint="default" w:ascii="Times New Roman" w:hAnsi="Times New Roman" w:eastAsia="宋体" w:cs="Times New Roman"/>
                      <w:color w:val="auto"/>
                      <w:sz w:val="18"/>
                      <w:szCs w:val="18"/>
                      <w:highlight w:val="none"/>
                    </w:rPr>
                    <w:t>洗选生产线1条，</w:t>
                  </w:r>
                  <w:r>
                    <w:rPr>
                      <w:rFonts w:hint="default" w:ascii="Times New Roman" w:hAnsi="Times New Roman" w:eastAsia="宋体" w:cs="Times New Roman"/>
                      <w:color w:val="auto"/>
                      <w:sz w:val="18"/>
                      <w:szCs w:val="18"/>
                      <w:highlight w:val="none"/>
                      <w:lang w:eastAsia="zh-CN"/>
                    </w:rPr>
                    <w:t>对</w:t>
                  </w:r>
                  <w:r>
                    <w:rPr>
                      <w:rFonts w:hint="eastAsia" w:cs="宋体"/>
                      <w:color w:val="auto"/>
                      <w:kern w:val="2"/>
                      <w:sz w:val="18"/>
                      <w:szCs w:val="22"/>
                      <w:lang w:val="zh-CN" w:eastAsia="zh-CN" w:bidi="ar-SA"/>
                    </w:rPr>
                    <w:t>破碎后的原煤</w:t>
                  </w:r>
                  <w:r>
                    <w:rPr>
                      <w:rFonts w:hint="default" w:ascii="Times New Roman" w:hAnsi="Times New Roman" w:eastAsia="宋体" w:cs="Times New Roman"/>
                      <w:color w:val="auto"/>
                      <w:sz w:val="18"/>
                      <w:szCs w:val="18"/>
                      <w:highlight w:val="none"/>
                      <w:lang w:eastAsia="zh-CN"/>
                    </w:rPr>
                    <w:t>进行洗选</w:t>
                  </w:r>
                  <w:r>
                    <w:rPr>
                      <w:rFonts w:hint="default" w:ascii="Times New Roman" w:hAnsi="Times New Roman" w:eastAsia="宋体" w:cs="Times New Roman"/>
                      <w:color w:val="auto"/>
                      <w:sz w:val="18"/>
                      <w:szCs w:val="18"/>
                      <w:highlight w:val="none"/>
                      <w:lang w:val="en-US" w:eastAsia="zh-CN"/>
                    </w:rPr>
                    <w:t>。</w:t>
                  </w:r>
                  <w:r>
                    <w:rPr>
                      <w:rFonts w:hint="eastAsia" w:cs="Times New Roman"/>
                      <w:color w:val="auto"/>
                      <w:sz w:val="18"/>
                      <w:szCs w:val="18"/>
                      <w:highlight w:val="none"/>
                      <w:lang w:val="en-US" w:eastAsia="zh-CN"/>
                    </w:rPr>
                    <w:t>原煤</w:t>
                  </w:r>
                  <w:r>
                    <w:rPr>
                      <w:rFonts w:hint="eastAsia" w:cs="宋体"/>
                      <w:color w:val="auto"/>
                      <w:kern w:val="2"/>
                      <w:sz w:val="18"/>
                      <w:szCs w:val="22"/>
                      <w:lang w:val="zh-CN" w:eastAsia="zh-CN" w:bidi="ar-SA"/>
                    </w:rPr>
                    <w:t>由淮南舜岳水泥有限责任公司提供。</w:t>
                  </w:r>
                </w:p>
              </w:tc>
              <w:tc>
                <w:tcPr>
                  <w:tcW w:w="539" w:type="pct"/>
                  <w:vAlign w:val="center"/>
                </w:tcPr>
                <w:p w14:paraId="1EA1A124">
                  <w:pPr>
                    <w:keepNext w:val="0"/>
                    <w:keepLines w:val="0"/>
                    <w:pageBreakBefore w:val="0"/>
                    <w:kinsoku/>
                    <w:wordWrap/>
                    <w:overflowPunct/>
                    <w:topLinePunct w:val="0"/>
                    <w:autoSpaceDE/>
                    <w:autoSpaceDN/>
                    <w:bidi w:val="0"/>
                    <w:spacing w:after="0" w:line="240" w:lineRule="auto"/>
                    <w:ind w:left="0" w:leftChars="0" w:right="0" w:rightChars="0" w:firstLine="0" w:firstLineChars="0"/>
                    <w:jc w:val="center"/>
                    <w:textAlignment w:val="auto"/>
                    <w:rPr>
                      <w:rFonts w:ascii="Times New Roman" w:hAnsi="Times New Roman" w:eastAsia="宋体" w:cs="宋体"/>
                      <w:color w:val="auto"/>
                      <w:kern w:val="2"/>
                      <w:sz w:val="18"/>
                      <w:szCs w:val="22"/>
                      <w:lang w:val="zh-CN" w:eastAsia="zh-CN" w:bidi="ar-SA"/>
                    </w:rPr>
                  </w:pPr>
                  <w:r>
                    <w:rPr>
                      <w:rFonts w:hint="eastAsia" w:cs="宋体"/>
                      <w:color w:val="auto"/>
                      <w:kern w:val="2"/>
                      <w:sz w:val="18"/>
                      <w:szCs w:val="22"/>
                      <w:lang w:val="zh-CN" w:eastAsia="zh-CN" w:bidi="ar-SA"/>
                    </w:rPr>
                    <w:t>依托现有厂房</w:t>
                  </w:r>
                  <w:r>
                    <w:rPr>
                      <w:rFonts w:hint="eastAsia" w:cs="宋体"/>
                      <w:color w:val="auto"/>
                      <w:kern w:val="2"/>
                      <w:sz w:val="18"/>
                      <w:szCs w:val="22"/>
                      <w:lang w:val="en-US" w:eastAsia="zh-CN" w:bidi="ar-SA"/>
                    </w:rPr>
                    <w:t>+新增生产设备</w:t>
                  </w:r>
                </w:p>
              </w:tc>
            </w:tr>
            <w:tr w14:paraId="100C5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387" w:type="pct"/>
                  <w:vMerge w:val="continue"/>
                  <w:vAlign w:val="center"/>
                </w:tcPr>
                <w:p w14:paraId="6B0AD60B">
                  <w:pPr>
                    <w:pStyle w:val="287"/>
                    <w:framePr w:hSpace="0" w:wrap="auto" w:vAnchor="margin" w:hAnchor="text" w:xAlign="left" w:yAlign="inline"/>
                    <w:rPr>
                      <w:color w:val="auto"/>
                    </w:rPr>
                  </w:pPr>
                </w:p>
              </w:tc>
              <w:tc>
                <w:tcPr>
                  <w:tcW w:w="700" w:type="pct"/>
                  <w:gridSpan w:val="2"/>
                  <w:vAlign w:val="center"/>
                </w:tcPr>
                <w:p w14:paraId="3B070520">
                  <w:pPr>
                    <w:pStyle w:val="287"/>
                    <w:framePr w:hSpace="0" w:wrap="auto" w:vAnchor="margin" w:hAnchor="text" w:xAlign="left" w:yAlign="inline"/>
                    <w:rPr>
                      <w:rFonts w:hint="default" w:eastAsia="宋体"/>
                      <w:color w:val="auto"/>
                      <w:lang w:val="en-US" w:eastAsia="zh-CN"/>
                    </w:rPr>
                  </w:pPr>
                  <w:r>
                    <w:rPr>
                      <w:rFonts w:hint="default" w:ascii="Times New Roman" w:hAnsi="Times New Roman" w:eastAsia="宋体" w:cs="Times New Roman"/>
                      <w:color w:val="auto"/>
                      <w:sz w:val="18"/>
                      <w:szCs w:val="18"/>
                      <w:highlight w:val="none"/>
                    </w:rPr>
                    <w:t>输料系统</w:t>
                  </w:r>
                </w:p>
              </w:tc>
              <w:tc>
                <w:tcPr>
                  <w:tcW w:w="3372" w:type="pct"/>
                  <w:vAlign w:val="center"/>
                </w:tcPr>
                <w:p w14:paraId="516FA678">
                  <w:pPr>
                    <w:pStyle w:val="287"/>
                    <w:framePr w:hSpace="0" w:wrap="auto" w:vAnchor="margin" w:hAnchor="text" w:xAlign="left" w:yAlign="inline"/>
                    <w:rPr>
                      <w:color w:val="auto"/>
                    </w:rPr>
                  </w:pPr>
                  <w:r>
                    <w:rPr>
                      <w:rFonts w:hint="eastAsia" w:cs="Times New Roman"/>
                      <w:color w:val="auto"/>
                      <w:sz w:val="18"/>
                      <w:szCs w:val="18"/>
                      <w:highlight w:val="none"/>
                      <w:lang w:eastAsia="zh-CN"/>
                    </w:rPr>
                    <w:t>采用租赁场地内现有闲置的</w:t>
                  </w:r>
                  <w:r>
                    <w:rPr>
                      <w:rFonts w:hint="default" w:ascii="Times New Roman" w:hAnsi="Times New Roman" w:eastAsia="宋体" w:cs="Times New Roman"/>
                      <w:color w:val="auto"/>
                      <w:sz w:val="18"/>
                      <w:szCs w:val="18"/>
                      <w:highlight w:val="none"/>
                    </w:rPr>
                    <w:t>全封闭式输料栈桥，输料栈桥链接洗选</w:t>
                  </w:r>
                  <w:r>
                    <w:rPr>
                      <w:rFonts w:hint="default" w:ascii="Times New Roman" w:hAnsi="Times New Roman" w:eastAsia="宋体" w:cs="Times New Roman"/>
                      <w:color w:val="auto"/>
                      <w:sz w:val="18"/>
                      <w:szCs w:val="18"/>
                      <w:highlight w:val="none"/>
                      <w:lang w:eastAsia="zh-CN"/>
                    </w:rPr>
                    <w:t>主厂房</w:t>
                  </w:r>
                  <w:r>
                    <w:rPr>
                      <w:rFonts w:hint="default" w:ascii="Times New Roman" w:hAnsi="Times New Roman" w:eastAsia="宋体" w:cs="Times New Roman"/>
                      <w:color w:val="auto"/>
                      <w:sz w:val="18"/>
                      <w:szCs w:val="18"/>
                      <w:highlight w:val="none"/>
                    </w:rPr>
                    <w:t>与原料</w:t>
                  </w:r>
                  <w:r>
                    <w:rPr>
                      <w:rFonts w:hint="eastAsia" w:cs="Times New Roman"/>
                      <w:color w:val="auto"/>
                      <w:sz w:val="18"/>
                      <w:szCs w:val="18"/>
                      <w:highlight w:val="none"/>
                      <w:lang w:eastAsia="zh-CN"/>
                    </w:rPr>
                    <w:t>库</w:t>
                  </w:r>
                  <w:r>
                    <w:rPr>
                      <w:rFonts w:hint="default" w:ascii="Times New Roman" w:hAnsi="Times New Roman" w:eastAsia="宋体" w:cs="Times New Roman"/>
                      <w:color w:val="auto"/>
                      <w:sz w:val="18"/>
                      <w:szCs w:val="18"/>
                      <w:highlight w:val="none"/>
                      <w:lang w:val="en-US" w:eastAsia="zh-CN"/>
                    </w:rPr>
                    <w:t>及成品</w:t>
                  </w:r>
                  <w:r>
                    <w:rPr>
                      <w:rFonts w:hint="eastAsia" w:ascii="Times New Roman" w:hAnsi="Times New Roman" w:eastAsia="宋体" w:cs="Times New Roman"/>
                      <w:color w:val="auto"/>
                      <w:sz w:val="18"/>
                      <w:szCs w:val="18"/>
                      <w:highlight w:val="none"/>
                      <w:lang w:val="en-US" w:eastAsia="zh-CN"/>
                    </w:rPr>
                    <w:t>堆棚</w:t>
                  </w:r>
                  <w:r>
                    <w:rPr>
                      <w:rFonts w:hint="default" w:ascii="Times New Roman" w:hAnsi="Times New Roman" w:eastAsia="宋体" w:cs="Times New Roman"/>
                      <w:color w:val="auto"/>
                      <w:sz w:val="18"/>
                      <w:szCs w:val="18"/>
                      <w:highlight w:val="none"/>
                    </w:rPr>
                    <w:t>。</w:t>
                  </w:r>
                </w:p>
              </w:tc>
              <w:tc>
                <w:tcPr>
                  <w:tcW w:w="539" w:type="pct"/>
                  <w:vAlign w:val="center"/>
                </w:tcPr>
                <w:p w14:paraId="79B29BA7">
                  <w:pPr>
                    <w:keepNext w:val="0"/>
                    <w:keepLines w:val="0"/>
                    <w:pageBreakBefore w:val="0"/>
                    <w:kinsoku/>
                    <w:wordWrap/>
                    <w:overflowPunct/>
                    <w:topLinePunct w:val="0"/>
                    <w:autoSpaceDE/>
                    <w:autoSpaceDN/>
                    <w:bidi w:val="0"/>
                    <w:spacing w:after="0" w:line="240" w:lineRule="auto"/>
                    <w:ind w:left="0" w:leftChars="0" w:right="0" w:rightChars="0" w:firstLine="0" w:firstLineChars="0"/>
                    <w:jc w:val="center"/>
                    <w:textAlignment w:val="auto"/>
                    <w:rPr>
                      <w:rFonts w:ascii="Times New Roman" w:hAnsi="Times New Roman" w:eastAsia="宋体" w:cs="宋体"/>
                      <w:color w:val="auto"/>
                      <w:kern w:val="2"/>
                      <w:sz w:val="18"/>
                      <w:szCs w:val="22"/>
                      <w:lang w:val="zh-CN" w:eastAsia="zh-CN" w:bidi="ar-SA"/>
                    </w:rPr>
                  </w:pPr>
                  <w:r>
                    <w:rPr>
                      <w:rFonts w:hint="eastAsia" w:cs="宋体"/>
                      <w:color w:val="auto"/>
                      <w:kern w:val="2"/>
                      <w:sz w:val="18"/>
                      <w:szCs w:val="22"/>
                      <w:lang w:val="zh-CN" w:eastAsia="zh-CN" w:bidi="ar-SA"/>
                    </w:rPr>
                    <w:t>依托现有</w:t>
                  </w:r>
                  <w:r>
                    <w:rPr>
                      <w:rFonts w:hint="default" w:ascii="Times New Roman" w:hAnsi="Times New Roman" w:eastAsia="宋体" w:cs="Times New Roman"/>
                      <w:color w:val="auto"/>
                      <w:sz w:val="18"/>
                      <w:szCs w:val="18"/>
                      <w:highlight w:val="none"/>
                    </w:rPr>
                    <w:t>输料栈桥</w:t>
                  </w:r>
                </w:p>
              </w:tc>
            </w:tr>
            <w:tr w14:paraId="1D4FF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387" w:type="pct"/>
                  <w:vAlign w:val="center"/>
                </w:tcPr>
                <w:p w14:paraId="1089CBC5">
                  <w:pPr>
                    <w:pStyle w:val="287"/>
                    <w:framePr w:hSpace="0" w:wrap="auto" w:vAnchor="margin" w:hAnchor="text" w:xAlign="left" w:yAlign="inline"/>
                    <w:rPr>
                      <w:color w:val="auto"/>
                    </w:rPr>
                  </w:pPr>
                  <w:r>
                    <w:rPr>
                      <w:color w:val="auto"/>
                    </w:rPr>
                    <w:t>辅助</w:t>
                  </w:r>
                </w:p>
                <w:p w14:paraId="5108AD3D">
                  <w:pPr>
                    <w:pStyle w:val="287"/>
                    <w:framePr w:hSpace="0" w:wrap="auto" w:vAnchor="margin" w:hAnchor="text" w:xAlign="left" w:yAlign="inline"/>
                    <w:rPr>
                      <w:color w:val="auto"/>
                    </w:rPr>
                  </w:pPr>
                  <w:r>
                    <w:rPr>
                      <w:color w:val="auto"/>
                    </w:rPr>
                    <w:t>工程</w:t>
                  </w:r>
                </w:p>
              </w:tc>
              <w:tc>
                <w:tcPr>
                  <w:tcW w:w="700" w:type="pct"/>
                  <w:gridSpan w:val="2"/>
                  <w:vAlign w:val="center"/>
                </w:tcPr>
                <w:p w14:paraId="1420CE2B">
                  <w:pPr>
                    <w:pStyle w:val="287"/>
                    <w:framePr w:hSpace="0" w:wrap="auto" w:vAnchor="margin" w:hAnchor="text" w:xAlign="left" w:yAlign="inline"/>
                    <w:rPr>
                      <w:rFonts w:hint="eastAsia" w:eastAsia="宋体"/>
                      <w:color w:val="auto"/>
                      <w:lang w:eastAsia="zh-CN"/>
                    </w:rPr>
                  </w:pPr>
                  <w:r>
                    <w:rPr>
                      <w:rFonts w:hint="eastAsia" w:cs="Times New Roman"/>
                      <w:color w:val="auto"/>
                      <w:szCs w:val="21"/>
                      <w:lang w:val="en-US" w:eastAsia="zh-CN"/>
                    </w:rPr>
                    <w:t>洗车平台</w:t>
                  </w:r>
                </w:p>
              </w:tc>
              <w:tc>
                <w:tcPr>
                  <w:tcW w:w="3372" w:type="pct"/>
                  <w:vAlign w:val="center"/>
                </w:tcPr>
                <w:p w14:paraId="5CD80B92">
                  <w:pPr>
                    <w:pStyle w:val="287"/>
                    <w:framePr w:hSpace="0" w:wrap="auto" w:vAnchor="margin" w:hAnchor="text" w:xAlign="left" w:yAlign="inline"/>
                    <w:rPr>
                      <w:rFonts w:hint="default"/>
                      <w:color w:val="auto"/>
                      <w:lang w:val="en-US" w:eastAsia="zh-CN"/>
                    </w:rPr>
                  </w:pPr>
                  <w:r>
                    <w:rPr>
                      <w:rFonts w:hint="eastAsia"/>
                      <w:color w:val="auto"/>
                      <w:lang w:val="en-US" w:eastAsia="zh-CN"/>
                    </w:rPr>
                    <w:t>运输车辆由淮南舜岳水泥有限责任公司调度，用于产品运出，</w:t>
                  </w:r>
                  <w:r>
                    <w:rPr>
                      <w:rFonts w:hint="eastAsia"/>
                      <w:lang w:val="en-US" w:eastAsia="zh-CN"/>
                    </w:rPr>
                    <w:t>本项目不涉及洗车内容，</w:t>
                  </w:r>
                  <w:r>
                    <w:rPr>
                      <w:rFonts w:hint="eastAsia"/>
                      <w:color w:val="auto"/>
                      <w:lang w:val="en-US" w:eastAsia="zh-CN"/>
                    </w:rPr>
                    <w:t>车辆冲洗依托水泥厂区出入口洗车平台。</w:t>
                  </w:r>
                </w:p>
              </w:tc>
              <w:tc>
                <w:tcPr>
                  <w:tcW w:w="539" w:type="pct"/>
                  <w:vAlign w:val="center"/>
                </w:tcPr>
                <w:p w14:paraId="7D39547D">
                  <w:pPr>
                    <w:pStyle w:val="287"/>
                    <w:framePr w:hSpace="0" w:wrap="auto" w:vAnchor="margin" w:hAnchor="text" w:xAlign="left" w:yAlign="inline"/>
                    <w:rPr>
                      <w:rFonts w:hint="eastAsia"/>
                      <w:color w:val="auto"/>
                      <w:lang w:val="zh-CN" w:eastAsia="zh-CN"/>
                    </w:rPr>
                  </w:pPr>
                  <w:r>
                    <w:rPr>
                      <w:rFonts w:hint="eastAsia"/>
                      <w:lang w:val="en-US" w:eastAsia="zh-CN"/>
                    </w:rPr>
                    <w:t>/</w:t>
                  </w:r>
                </w:p>
              </w:tc>
            </w:tr>
            <w:tr w14:paraId="6C61B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387" w:type="pct"/>
                  <w:vMerge w:val="restart"/>
                  <w:vAlign w:val="center"/>
                </w:tcPr>
                <w:p w14:paraId="2D56D6D6">
                  <w:pPr>
                    <w:pStyle w:val="287"/>
                    <w:framePr w:hSpace="0" w:wrap="auto" w:vAnchor="margin" w:hAnchor="text" w:xAlign="left" w:yAlign="inline"/>
                    <w:rPr>
                      <w:color w:val="auto"/>
                    </w:rPr>
                  </w:pPr>
                  <w:r>
                    <w:rPr>
                      <w:color w:val="auto"/>
                    </w:rPr>
                    <w:t>公用</w:t>
                  </w:r>
                </w:p>
                <w:p w14:paraId="5728FE9B">
                  <w:pPr>
                    <w:pStyle w:val="287"/>
                    <w:framePr w:hSpace="0" w:wrap="auto" w:vAnchor="margin" w:hAnchor="text" w:xAlign="left" w:yAlign="inline"/>
                    <w:rPr>
                      <w:color w:val="auto"/>
                    </w:rPr>
                  </w:pPr>
                  <w:r>
                    <w:rPr>
                      <w:color w:val="auto"/>
                    </w:rPr>
                    <w:t>工程</w:t>
                  </w:r>
                </w:p>
              </w:tc>
              <w:tc>
                <w:tcPr>
                  <w:tcW w:w="700" w:type="pct"/>
                  <w:gridSpan w:val="2"/>
                  <w:vAlign w:val="center"/>
                </w:tcPr>
                <w:p w14:paraId="7599B86F">
                  <w:pPr>
                    <w:pStyle w:val="287"/>
                    <w:framePr w:hSpace="0" w:wrap="auto" w:vAnchor="margin" w:hAnchor="text" w:xAlign="left" w:yAlign="inline"/>
                    <w:rPr>
                      <w:color w:val="auto"/>
                    </w:rPr>
                  </w:pPr>
                  <w:r>
                    <w:rPr>
                      <w:color w:val="auto"/>
                    </w:rPr>
                    <w:t>供电</w:t>
                  </w:r>
                </w:p>
              </w:tc>
              <w:tc>
                <w:tcPr>
                  <w:tcW w:w="3372" w:type="pct"/>
                  <w:vAlign w:val="center"/>
                </w:tcPr>
                <w:p w14:paraId="632D8AB5">
                  <w:pPr>
                    <w:pStyle w:val="287"/>
                    <w:framePr w:hSpace="0" w:wrap="auto" w:vAnchor="margin" w:hAnchor="text" w:xAlign="left" w:yAlign="inline"/>
                    <w:rPr>
                      <w:rFonts w:hint="eastAsia" w:eastAsia="宋体"/>
                      <w:color w:val="auto"/>
                      <w:lang w:eastAsia="zh-CN"/>
                    </w:rPr>
                  </w:pPr>
                  <w:r>
                    <w:rPr>
                      <w:rFonts w:hint="eastAsia"/>
                      <w:color w:val="auto"/>
                      <w:lang w:eastAsia="zh-CN"/>
                    </w:rPr>
                    <w:t>由市政供电系统供电</w:t>
                  </w:r>
                </w:p>
              </w:tc>
              <w:tc>
                <w:tcPr>
                  <w:tcW w:w="539" w:type="pct"/>
                  <w:vAlign w:val="center"/>
                </w:tcPr>
                <w:p w14:paraId="5BABAE18">
                  <w:pPr>
                    <w:keepNext w:val="0"/>
                    <w:keepLines w:val="0"/>
                    <w:pageBreakBefore w:val="0"/>
                    <w:kinsoku/>
                    <w:wordWrap/>
                    <w:overflowPunct/>
                    <w:topLinePunct w:val="0"/>
                    <w:autoSpaceDE/>
                    <w:autoSpaceDN/>
                    <w:bidi w:val="0"/>
                    <w:spacing w:after="0" w:line="240" w:lineRule="auto"/>
                    <w:ind w:left="0" w:leftChars="0" w:right="0" w:rightChars="0" w:firstLine="0" w:firstLineChars="0"/>
                    <w:jc w:val="center"/>
                    <w:textAlignment w:val="auto"/>
                    <w:rPr>
                      <w:rFonts w:ascii="Times New Roman" w:hAnsi="Times New Roman" w:eastAsia="宋体" w:cs="宋体"/>
                      <w:color w:val="auto"/>
                      <w:kern w:val="2"/>
                      <w:sz w:val="18"/>
                      <w:szCs w:val="22"/>
                      <w:lang w:val="zh-CN" w:eastAsia="zh-CN" w:bidi="ar-SA"/>
                    </w:rPr>
                  </w:pPr>
                  <w:r>
                    <w:rPr>
                      <w:rFonts w:hint="eastAsia" w:ascii="Times New Roman" w:hAnsi="Times New Roman" w:eastAsia="宋体" w:cs="宋体"/>
                      <w:color w:val="auto"/>
                      <w:kern w:val="2"/>
                      <w:sz w:val="18"/>
                      <w:szCs w:val="22"/>
                      <w:lang w:val="zh-CN" w:eastAsia="zh-CN" w:bidi="ar-SA"/>
                    </w:rPr>
                    <w:t>新建</w:t>
                  </w:r>
                </w:p>
              </w:tc>
            </w:tr>
            <w:tr w14:paraId="7F0AF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387" w:type="pct"/>
                  <w:vMerge w:val="continue"/>
                  <w:vAlign w:val="center"/>
                </w:tcPr>
                <w:p w14:paraId="55F52B46">
                  <w:pPr>
                    <w:pStyle w:val="287"/>
                    <w:framePr w:hSpace="0" w:wrap="auto" w:vAnchor="margin" w:hAnchor="text" w:xAlign="left" w:yAlign="inline"/>
                    <w:rPr>
                      <w:color w:val="auto"/>
                    </w:rPr>
                  </w:pPr>
                </w:p>
              </w:tc>
              <w:tc>
                <w:tcPr>
                  <w:tcW w:w="700" w:type="pct"/>
                  <w:gridSpan w:val="2"/>
                  <w:vAlign w:val="center"/>
                </w:tcPr>
                <w:p w14:paraId="04213D5D">
                  <w:pPr>
                    <w:pStyle w:val="287"/>
                    <w:framePr w:hSpace="0" w:wrap="auto" w:vAnchor="margin" w:hAnchor="text" w:xAlign="left" w:yAlign="inline"/>
                    <w:rPr>
                      <w:color w:val="auto"/>
                    </w:rPr>
                  </w:pPr>
                  <w:r>
                    <w:rPr>
                      <w:color w:val="auto"/>
                    </w:rPr>
                    <w:t>供水</w:t>
                  </w:r>
                </w:p>
              </w:tc>
              <w:tc>
                <w:tcPr>
                  <w:tcW w:w="3372" w:type="pct"/>
                  <w:vAlign w:val="center"/>
                </w:tcPr>
                <w:p w14:paraId="6FD3B782">
                  <w:pPr>
                    <w:pStyle w:val="287"/>
                    <w:framePr w:hSpace="0" w:wrap="auto" w:vAnchor="margin" w:hAnchor="text" w:xAlign="left" w:yAlign="inline"/>
                    <w:rPr>
                      <w:color w:val="auto"/>
                    </w:rPr>
                  </w:pPr>
                  <w:r>
                    <w:rPr>
                      <w:rFonts w:hint="eastAsia"/>
                      <w:color w:val="auto"/>
                      <w:lang w:eastAsia="zh-CN"/>
                    </w:rPr>
                    <w:t>由市政供水系统供水</w:t>
                  </w:r>
                </w:p>
              </w:tc>
              <w:tc>
                <w:tcPr>
                  <w:tcW w:w="539" w:type="pct"/>
                  <w:vAlign w:val="center"/>
                </w:tcPr>
                <w:p w14:paraId="0C113BA6">
                  <w:pPr>
                    <w:keepNext w:val="0"/>
                    <w:keepLines w:val="0"/>
                    <w:pageBreakBefore w:val="0"/>
                    <w:kinsoku/>
                    <w:wordWrap/>
                    <w:overflowPunct/>
                    <w:topLinePunct w:val="0"/>
                    <w:autoSpaceDE/>
                    <w:autoSpaceDN/>
                    <w:bidi w:val="0"/>
                    <w:spacing w:after="0" w:line="240" w:lineRule="auto"/>
                    <w:ind w:left="0" w:leftChars="0" w:right="0" w:rightChars="0" w:firstLine="0" w:firstLineChars="0"/>
                    <w:jc w:val="center"/>
                    <w:textAlignment w:val="auto"/>
                    <w:rPr>
                      <w:rFonts w:ascii="Times New Roman" w:hAnsi="Times New Roman" w:eastAsia="宋体" w:cs="宋体"/>
                      <w:color w:val="auto"/>
                      <w:kern w:val="2"/>
                      <w:sz w:val="18"/>
                      <w:szCs w:val="22"/>
                      <w:lang w:val="zh-CN" w:eastAsia="zh-CN" w:bidi="ar-SA"/>
                    </w:rPr>
                  </w:pPr>
                  <w:r>
                    <w:rPr>
                      <w:rFonts w:hint="eastAsia" w:ascii="Times New Roman" w:hAnsi="Times New Roman" w:eastAsia="宋体" w:cs="宋体"/>
                      <w:color w:val="auto"/>
                      <w:kern w:val="2"/>
                      <w:sz w:val="18"/>
                      <w:szCs w:val="22"/>
                      <w:lang w:val="zh-CN" w:eastAsia="zh-CN" w:bidi="ar-SA"/>
                    </w:rPr>
                    <w:t>新建</w:t>
                  </w:r>
                </w:p>
              </w:tc>
            </w:tr>
            <w:tr w14:paraId="4BCC0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387" w:type="pct"/>
                  <w:vMerge w:val="continue"/>
                  <w:vAlign w:val="center"/>
                </w:tcPr>
                <w:p w14:paraId="2E691884">
                  <w:pPr>
                    <w:pStyle w:val="287"/>
                    <w:framePr w:hSpace="0" w:wrap="auto" w:vAnchor="margin" w:hAnchor="text" w:xAlign="left" w:yAlign="inline"/>
                    <w:rPr>
                      <w:color w:val="auto"/>
                    </w:rPr>
                  </w:pPr>
                </w:p>
              </w:tc>
              <w:tc>
                <w:tcPr>
                  <w:tcW w:w="700" w:type="pct"/>
                  <w:gridSpan w:val="2"/>
                  <w:vAlign w:val="center"/>
                </w:tcPr>
                <w:p w14:paraId="07B0541D">
                  <w:pPr>
                    <w:pStyle w:val="287"/>
                    <w:framePr w:hSpace="0" w:wrap="auto" w:vAnchor="margin" w:hAnchor="text" w:xAlign="left" w:yAlign="inline"/>
                    <w:rPr>
                      <w:color w:val="auto"/>
                    </w:rPr>
                  </w:pPr>
                  <w:r>
                    <w:rPr>
                      <w:color w:val="auto"/>
                    </w:rPr>
                    <w:t>排水</w:t>
                  </w:r>
                </w:p>
              </w:tc>
              <w:tc>
                <w:tcPr>
                  <w:tcW w:w="3372" w:type="pct"/>
                  <w:vAlign w:val="center"/>
                </w:tcPr>
                <w:p w14:paraId="0D74991E">
                  <w:pPr>
                    <w:pStyle w:val="287"/>
                    <w:framePr w:hSpace="0" w:wrap="auto" w:vAnchor="margin" w:hAnchor="text" w:xAlign="left" w:yAlign="inline"/>
                    <w:rPr>
                      <w:color w:val="auto"/>
                    </w:rPr>
                  </w:pPr>
                  <w:r>
                    <w:rPr>
                      <w:rFonts w:hint="eastAsia"/>
                      <w:color w:val="auto"/>
                      <w:lang w:eastAsia="zh-CN"/>
                    </w:rPr>
                    <w:t>本项目厂区范围内不新建洗手池、卫生间等，厂区内不产生</w:t>
                  </w:r>
                  <w:r>
                    <w:rPr>
                      <w:color w:val="auto"/>
                    </w:rPr>
                    <w:t>生活污水</w:t>
                  </w:r>
                  <w:r>
                    <w:rPr>
                      <w:rFonts w:hint="eastAsia"/>
                      <w:color w:val="auto"/>
                      <w:lang w:eastAsia="zh-CN"/>
                    </w:rPr>
                    <w:t>，职工生活污水依托舜岳水泥厂内地埋式</w:t>
                  </w:r>
                  <w:r>
                    <w:rPr>
                      <w:color w:val="auto"/>
                    </w:rPr>
                    <w:t>化粪池处理</w:t>
                  </w:r>
                  <w:r>
                    <w:rPr>
                      <w:rFonts w:hint="eastAsia"/>
                      <w:color w:val="auto"/>
                      <w:lang w:eastAsia="zh-CN"/>
                    </w:rPr>
                    <w:t>后接入市政污水管网；</w:t>
                  </w:r>
                  <w:r>
                    <w:rPr>
                      <w:rFonts w:hint="eastAsia"/>
                      <w:color w:val="auto"/>
                    </w:rPr>
                    <w:t>生产废水</w:t>
                  </w:r>
                  <w:r>
                    <w:rPr>
                      <w:rFonts w:hint="eastAsia"/>
                      <w:color w:val="auto"/>
                      <w:lang w:eastAsia="zh-CN"/>
                    </w:rPr>
                    <w:t>实现闭路循环，不外排</w:t>
                  </w:r>
                  <w:r>
                    <w:rPr>
                      <w:color w:val="auto"/>
                    </w:rPr>
                    <w:t>。</w:t>
                  </w:r>
                </w:p>
              </w:tc>
              <w:tc>
                <w:tcPr>
                  <w:tcW w:w="539" w:type="pct"/>
                  <w:vAlign w:val="center"/>
                </w:tcPr>
                <w:p w14:paraId="7C911CB9">
                  <w:pPr>
                    <w:keepNext w:val="0"/>
                    <w:keepLines w:val="0"/>
                    <w:pageBreakBefore w:val="0"/>
                    <w:kinsoku/>
                    <w:wordWrap/>
                    <w:overflowPunct/>
                    <w:topLinePunct w:val="0"/>
                    <w:autoSpaceDE/>
                    <w:autoSpaceDN/>
                    <w:bidi w:val="0"/>
                    <w:spacing w:after="0" w:line="240" w:lineRule="auto"/>
                    <w:ind w:left="0" w:leftChars="0" w:right="0" w:rightChars="0" w:firstLine="0" w:firstLineChars="0"/>
                    <w:jc w:val="center"/>
                    <w:textAlignment w:val="auto"/>
                    <w:rPr>
                      <w:rFonts w:ascii="Times New Roman" w:hAnsi="Times New Roman" w:eastAsia="宋体" w:cs="宋体"/>
                      <w:color w:val="auto"/>
                      <w:kern w:val="2"/>
                      <w:sz w:val="18"/>
                      <w:szCs w:val="22"/>
                      <w:lang w:val="zh-CN" w:eastAsia="zh-CN" w:bidi="ar-SA"/>
                    </w:rPr>
                  </w:pPr>
                  <w:r>
                    <w:rPr>
                      <w:rFonts w:hint="eastAsia" w:cs="宋体"/>
                      <w:color w:val="auto"/>
                      <w:kern w:val="2"/>
                      <w:sz w:val="18"/>
                      <w:szCs w:val="22"/>
                      <w:lang w:val="zh-CN" w:eastAsia="zh-CN" w:bidi="ar-SA"/>
                    </w:rPr>
                    <w:t>依托现有</w:t>
                  </w:r>
                </w:p>
              </w:tc>
            </w:tr>
            <w:tr w14:paraId="4D781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atLeast"/>
              </w:trPr>
              <w:tc>
                <w:tcPr>
                  <w:tcW w:w="387" w:type="pct"/>
                  <w:vAlign w:val="center"/>
                </w:tcPr>
                <w:p w14:paraId="12368BB1">
                  <w:pPr>
                    <w:pStyle w:val="287"/>
                    <w:framePr w:hSpace="0" w:wrap="auto" w:vAnchor="margin" w:hAnchor="text" w:xAlign="left" w:yAlign="inline"/>
                    <w:rPr>
                      <w:color w:val="auto"/>
                    </w:rPr>
                  </w:pPr>
                  <w:r>
                    <w:rPr>
                      <w:color w:val="auto"/>
                    </w:rPr>
                    <w:t>储运</w:t>
                  </w:r>
                </w:p>
                <w:p w14:paraId="0EEBE62C">
                  <w:pPr>
                    <w:pStyle w:val="287"/>
                    <w:framePr w:hSpace="0" w:wrap="auto" w:vAnchor="margin" w:hAnchor="text" w:xAlign="left" w:yAlign="inline"/>
                    <w:rPr>
                      <w:color w:val="auto"/>
                    </w:rPr>
                  </w:pPr>
                  <w:r>
                    <w:rPr>
                      <w:color w:val="auto"/>
                    </w:rPr>
                    <w:t>工程</w:t>
                  </w:r>
                </w:p>
              </w:tc>
              <w:tc>
                <w:tcPr>
                  <w:tcW w:w="700" w:type="pct"/>
                  <w:gridSpan w:val="2"/>
                  <w:shd w:val="clear" w:color="auto" w:fill="auto"/>
                  <w:vAlign w:val="center"/>
                </w:tcPr>
                <w:p w14:paraId="3DA621D3">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olor w:val="auto"/>
                      <w:szCs w:val="21"/>
                      <w:highlight w:val="none"/>
                    </w:rPr>
                    <w:t>精煤</w:t>
                  </w:r>
                  <w:r>
                    <w:rPr>
                      <w:rFonts w:hint="eastAsia"/>
                      <w:color w:val="auto"/>
                      <w:szCs w:val="21"/>
                      <w:highlight w:val="none"/>
                      <w:lang w:eastAsia="zh-CN"/>
                    </w:rPr>
                    <w:t>堆棚、中煤堆棚、</w:t>
                  </w:r>
                  <w:r>
                    <w:rPr>
                      <w:rFonts w:hint="default" w:ascii="Times New Roman" w:hAnsi="Times New Roman" w:eastAsia="宋体" w:cs="Times New Roman"/>
                      <w:color w:val="auto"/>
                      <w:sz w:val="18"/>
                      <w:szCs w:val="18"/>
                      <w:highlight w:val="none"/>
                      <w:lang w:eastAsia="zh-CN"/>
                    </w:rPr>
                    <w:t>矸石</w:t>
                  </w:r>
                  <w:r>
                    <w:rPr>
                      <w:rFonts w:hint="eastAsia" w:eastAsia="宋体" w:cs="Times New Roman"/>
                      <w:color w:val="auto"/>
                      <w:sz w:val="18"/>
                      <w:szCs w:val="18"/>
                      <w:highlight w:val="none"/>
                      <w:lang w:eastAsia="zh-CN"/>
                    </w:rPr>
                    <w:t>（胶凝材料原料）</w:t>
                  </w:r>
                  <w:r>
                    <w:rPr>
                      <w:rFonts w:hint="default" w:ascii="Times New Roman" w:hAnsi="Times New Roman" w:eastAsia="宋体" w:cs="Times New Roman"/>
                      <w:color w:val="auto"/>
                      <w:sz w:val="18"/>
                      <w:szCs w:val="18"/>
                      <w:highlight w:val="none"/>
                      <w:lang w:eastAsia="zh-CN"/>
                    </w:rPr>
                    <w:t>堆棚</w:t>
                  </w:r>
                </w:p>
              </w:tc>
              <w:tc>
                <w:tcPr>
                  <w:tcW w:w="3372" w:type="pct"/>
                  <w:shd w:val="clear" w:color="auto" w:fill="auto"/>
                  <w:vAlign w:val="center"/>
                </w:tcPr>
                <w:p w14:paraId="54934B3D">
                  <w:pPr>
                    <w:pStyle w:val="287"/>
                    <w:framePr w:hSpace="0" w:wrap="auto" w:vAnchor="margin" w:hAnchor="text" w:xAlign="left" w:yAlign="inline"/>
                    <w:rPr>
                      <w:rFonts w:hint="default" w:ascii="Times New Roman" w:hAnsi="Times New Roman" w:eastAsia="宋体" w:cs="宋体"/>
                      <w:color w:val="auto"/>
                      <w:kern w:val="2"/>
                      <w:sz w:val="18"/>
                      <w:szCs w:val="22"/>
                      <w:lang w:val="en-US" w:eastAsia="zh-CN" w:bidi="ar-SA"/>
                    </w:rPr>
                  </w:pPr>
                  <w:r>
                    <w:rPr>
                      <w:rFonts w:hint="default" w:ascii="Times New Roman" w:hAnsi="Times New Roman" w:eastAsia="宋体" w:cs="宋体"/>
                      <w:color w:val="auto"/>
                      <w:kern w:val="2"/>
                      <w:sz w:val="18"/>
                      <w:szCs w:val="22"/>
                      <w:lang w:val="en-US" w:eastAsia="zh-CN" w:bidi="ar-SA"/>
                    </w:rPr>
                    <w:t>位于厂区</w:t>
                  </w:r>
                  <w:r>
                    <w:rPr>
                      <w:rFonts w:hint="eastAsia" w:ascii="Times New Roman" w:hAnsi="Times New Roman" w:eastAsia="宋体" w:cs="宋体"/>
                      <w:color w:val="auto"/>
                      <w:kern w:val="2"/>
                      <w:sz w:val="18"/>
                      <w:szCs w:val="22"/>
                      <w:lang w:val="en-US" w:eastAsia="zh-CN" w:bidi="ar-SA"/>
                    </w:rPr>
                    <w:t>西南</w:t>
                  </w:r>
                  <w:r>
                    <w:rPr>
                      <w:rFonts w:hint="default" w:ascii="Times New Roman" w:hAnsi="Times New Roman" w:eastAsia="宋体" w:cs="宋体"/>
                      <w:color w:val="auto"/>
                      <w:kern w:val="2"/>
                      <w:sz w:val="18"/>
                      <w:szCs w:val="22"/>
                      <w:lang w:val="en-US" w:eastAsia="zh-CN" w:bidi="ar-SA"/>
                    </w:rPr>
                    <w:t>侧</w:t>
                  </w:r>
                  <w:r>
                    <w:rPr>
                      <w:rFonts w:hint="eastAsia" w:ascii="Times New Roman" w:hAnsi="Times New Roman" w:eastAsia="宋体" w:cs="宋体"/>
                      <w:color w:val="auto"/>
                      <w:kern w:val="2"/>
                      <w:sz w:val="18"/>
                      <w:szCs w:val="22"/>
                      <w:lang w:val="en-US" w:eastAsia="zh-CN" w:bidi="ar-SA"/>
                    </w:rPr>
                    <w:t>1座</w:t>
                  </w:r>
                  <w:r>
                    <w:rPr>
                      <w:rFonts w:hint="default" w:ascii="Times New Roman" w:hAnsi="Times New Roman" w:eastAsia="宋体" w:cs="宋体"/>
                      <w:color w:val="auto"/>
                      <w:kern w:val="2"/>
                      <w:sz w:val="18"/>
                      <w:szCs w:val="22"/>
                      <w:lang w:val="en-US" w:eastAsia="zh-CN" w:bidi="ar-SA"/>
                    </w:rPr>
                    <w:t>φ</w:t>
                  </w:r>
                  <w:r>
                    <w:rPr>
                      <w:rFonts w:hint="eastAsia" w:ascii="Times New Roman" w:hAnsi="Times New Roman" w:eastAsia="宋体" w:cs="宋体"/>
                      <w:color w:val="auto"/>
                      <w:kern w:val="2"/>
                      <w:sz w:val="18"/>
                      <w:szCs w:val="22"/>
                      <w:lang w:val="en-US" w:eastAsia="zh-CN" w:bidi="ar-SA"/>
                    </w:rPr>
                    <w:t>6</w:t>
                  </w:r>
                  <w:r>
                    <w:rPr>
                      <w:rFonts w:hint="default" w:ascii="Times New Roman" w:hAnsi="Times New Roman" w:eastAsia="宋体" w:cs="宋体"/>
                      <w:color w:val="auto"/>
                      <w:kern w:val="2"/>
                      <w:sz w:val="18"/>
                      <w:szCs w:val="22"/>
                      <w:lang w:val="en-US" w:eastAsia="zh-CN" w:bidi="ar-SA"/>
                    </w:rPr>
                    <w:t>0m</w:t>
                  </w:r>
                  <w:r>
                    <w:rPr>
                      <w:rFonts w:hint="eastAsia" w:ascii="Times New Roman" w:hAnsi="Times New Roman" w:eastAsia="宋体" w:cs="宋体"/>
                      <w:color w:val="auto"/>
                      <w:kern w:val="2"/>
                      <w:sz w:val="18"/>
                      <w:szCs w:val="22"/>
                      <w:lang w:val="en-US" w:eastAsia="zh-CN" w:bidi="ar-SA"/>
                    </w:rPr>
                    <w:t>圆形现有厂房内</w:t>
                  </w:r>
                  <w:r>
                    <w:rPr>
                      <w:rFonts w:hint="default" w:ascii="Times New Roman" w:hAnsi="Times New Roman" w:eastAsia="宋体" w:cs="宋体"/>
                      <w:color w:val="auto"/>
                      <w:kern w:val="2"/>
                      <w:sz w:val="18"/>
                      <w:szCs w:val="22"/>
                      <w:lang w:val="en-US" w:eastAsia="zh-CN" w:bidi="ar-SA"/>
                    </w:rPr>
                    <w:t>，</w:t>
                  </w:r>
                  <w:r>
                    <w:rPr>
                      <w:rFonts w:hint="eastAsia" w:ascii="Times New Roman" w:hAnsi="Times New Roman" w:eastAsia="宋体" w:cs="宋体"/>
                      <w:color w:val="auto"/>
                      <w:kern w:val="2"/>
                      <w:sz w:val="18"/>
                      <w:szCs w:val="22"/>
                      <w:lang w:val="en-US" w:eastAsia="zh-CN" w:bidi="ar-SA"/>
                    </w:rPr>
                    <w:t>设置独立堆存区域，分别为</w:t>
                  </w:r>
                  <w:r>
                    <w:rPr>
                      <w:rFonts w:hint="eastAsia" w:ascii="Times New Roman" w:hAnsi="Times New Roman" w:eastAsia="宋体" w:cs="宋体"/>
                      <w:color w:val="auto"/>
                      <w:kern w:val="2"/>
                      <w:sz w:val="18"/>
                      <w:szCs w:val="22"/>
                      <w:lang w:val="zh-CN" w:eastAsia="zh-CN" w:bidi="ar-SA"/>
                    </w:rPr>
                    <w:t>精煤堆棚、中煤堆棚、</w:t>
                  </w:r>
                  <w:r>
                    <w:rPr>
                      <w:rFonts w:hint="default" w:ascii="Times New Roman" w:hAnsi="Times New Roman" w:eastAsia="宋体" w:cs="宋体"/>
                      <w:color w:val="auto"/>
                      <w:kern w:val="2"/>
                      <w:sz w:val="18"/>
                      <w:szCs w:val="22"/>
                      <w:lang w:val="zh-CN" w:eastAsia="zh-CN" w:bidi="ar-SA"/>
                    </w:rPr>
                    <w:t>矸石</w:t>
                  </w:r>
                  <w:r>
                    <w:rPr>
                      <w:rFonts w:hint="eastAsia" w:ascii="Times New Roman" w:hAnsi="Times New Roman" w:eastAsia="宋体" w:cs="宋体"/>
                      <w:color w:val="auto"/>
                      <w:kern w:val="2"/>
                      <w:sz w:val="18"/>
                      <w:szCs w:val="22"/>
                      <w:lang w:val="zh-CN" w:eastAsia="zh-CN" w:bidi="ar-SA"/>
                    </w:rPr>
                    <w:t>（胶凝材料原料）</w:t>
                  </w:r>
                  <w:r>
                    <w:rPr>
                      <w:rFonts w:hint="default" w:ascii="Times New Roman" w:hAnsi="Times New Roman" w:eastAsia="宋体" w:cs="宋体"/>
                      <w:color w:val="auto"/>
                      <w:kern w:val="2"/>
                      <w:sz w:val="18"/>
                      <w:szCs w:val="22"/>
                      <w:lang w:val="zh-CN" w:eastAsia="zh-CN" w:bidi="ar-SA"/>
                    </w:rPr>
                    <w:t>堆棚</w:t>
                  </w:r>
                  <w:r>
                    <w:rPr>
                      <w:rFonts w:hint="eastAsia" w:ascii="Times New Roman" w:hAnsi="Times New Roman" w:eastAsia="宋体" w:cs="宋体"/>
                      <w:color w:val="auto"/>
                      <w:kern w:val="2"/>
                      <w:sz w:val="18"/>
                      <w:szCs w:val="22"/>
                      <w:lang w:val="en-US" w:eastAsia="zh-CN" w:bidi="ar-SA"/>
                    </w:rPr>
                    <w:t>，</w:t>
                  </w:r>
                  <w:r>
                    <w:rPr>
                      <w:rFonts w:hint="default" w:ascii="Times New Roman" w:hAnsi="Times New Roman" w:eastAsia="宋体" w:cs="宋体"/>
                      <w:color w:val="auto"/>
                      <w:kern w:val="2"/>
                      <w:sz w:val="18"/>
                      <w:szCs w:val="22"/>
                      <w:lang w:val="en-US" w:eastAsia="zh-CN" w:bidi="ar-SA"/>
                    </w:rPr>
                    <w:t>有效储存量</w:t>
                  </w:r>
                  <w:r>
                    <w:rPr>
                      <w:rFonts w:hint="eastAsia" w:ascii="Times New Roman" w:hAnsi="Times New Roman" w:eastAsia="宋体" w:cs="宋体"/>
                      <w:color w:val="auto"/>
                      <w:kern w:val="2"/>
                      <w:sz w:val="18"/>
                      <w:szCs w:val="22"/>
                      <w:lang w:val="en-US" w:eastAsia="zh-CN" w:bidi="ar-SA"/>
                    </w:rPr>
                    <w:t>8500</w:t>
                  </w:r>
                  <w:r>
                    <w:rPr>
                      <w:rFonts w:hint="default" w:ascii="Times New Roman" w:hAnsi="Times New Roman" w:eastAsia="宋体" w:cs="宋体"/>
                      <w:color w:val="auto"/>
                      <w:kern w:val="2"/>
                      <w:sz w:val="18"/>
                      <w:szCs w:val="22"/>
                      <w:lang w:val="en-US" w:eastAsia="zh-CN" w:bidi="ar-SA"/>
                    </w:rPr>
                    <w:t>t</w:t>
                  </w:r>
                  <w:r>
                    <w:rPr>
                      <w:rFonts w:hint="default" w:ascii="Times New Roman" w:hAnsi="Times New Roman" w:eastAsia="宋体" w:cs="宋体"/>
                      <w:color w:val="auto"/>
                      <w:kern w:val="2"/>
                      <w:sz w:val="18"/>
                      <w:szCs w:val="22"/>
                      <w:lang w:val="zh-CN" w:eastAsia="zh-CN" w:bidi="ar-SA"/>
                    </w:rPr>
                    <w:t>。</w:t>
                  </w:r>
                  <w:r>
                    <w:rPr>
                      <w:rFonts w:hint="eastAsia" w:ascii="Times New Roman" w:hAnsi="Times New Roman" w:eastAsia="宋体" w:cs="宋体"/>
                      <w:color w:val="auto"/>
                      <w:kern w:val="2"/>
                      <w:sz w:val="18"/>
                      <w:szCs w:val="22"/>
                      <w:lang w:val="zh-CN" w:eastAsia="zh-CN" w:bidi="ar-SA"/>
                    </w:rPr>
                    <w:t>厂房</w:t>
                  </w:r>
                  <w:r>
                    <w:rPr>
                      <w:rFonts w:hint="default" w:ascii="Times New Roman" w:hAnsi="Times New Roman" w:eastAsia="宋体" w:cs="宋体"/>
                      <w:color w:val="auto"/>
                      <w:kern w:val="2"/>
                      <w:sz w:val="18"/>
                      <w:szCs w:val="22"/>
                      <w:lang w:val="zh-CN" w:eastAsia="zh-CN" w:bidi="ar-SA"/>
                    </w:rPr>
                    <w:t>采取全封闭式结构，地面硬化，堆棚下部设置围堰、顶部搭棚密封，再采取洒水喷淋</w:t>
                  </w:r>
                  <w:r>
                    <w:rPr>
                      <w:rFonts w:hint="eastAsia" w:cs="宋体"/>
                      <w:color w:val="auto"/>
                      <w:kern w:val="2"/>
                      <w:sz w:val="18"/>
                      <w:szCs w:val="22"/>
                      <w:lang w:val="zh-CN" w:eastAsia="zh-CN" w:bidi="ar-SA"/>
                    </w:rPr>
                    <w:t>抑尘</w:t>
                  </w:r>
                  <w:r>
                    <w:rPr>
                      <w:rFonts w:hint="default" w:ascii="Times New Roman" w:hAnsi="Times New Roman" w:eastAsia="宋体" w:cs="宋体"/>
                      <w:color w:val="auto"/>
                      <w:kern w:val="2"/>
                      <w:sz w:val="18"/>
                      <w:szCs w:val="22"/>
                      <w:lang w:val="zh-CN" w:eastAsia="zh-CN" w:bidi="ar-SA"/>
                    </w:rPr>
                    <w:t>措施</w:t>
                  </w:r>
                  <w:r>
                    <w:rPr>
                      <w:rFonts w:hint="default" w:ascii="Times New Roman" w:hAnsi="Times New Roman" w:eastAsia="宋体" w:cs="宋体"/>
                      <w:color w:val="auto"/>
                      <w:kern w:val="2"/>
                      <w:sz w:val="18"/>
                      <w:szCs w:val="22"/>
                      <w:lang w:val="en-US" w:eastAsia="zh-CN" w:bidi="ar-SA"/>
                    </w:rPr>
                    <w:t>。</w:t>
                  </w:r>
                </w:p>
              </w:tc>
              <w:tc>
                <w:tcPr>
                  <w:tcW w:w="539" w:type="pct"/>
                  <w:shd w:val="clear" w:color="auto" w:fill="auto"/>
                  <w:vAlign w:val="center"/>
                </w:tcPr>
                <w:p w14:paraId="07C4E1B5">
                  <w:pPr>
                    <w:keepNext w:val="0"/>
                    <w:keepLines w:val="0"/>
                    <w:pageBreakBefore w:val="0"/>
                    <w:kinsoku/>
                    <w:wordWrap/>
                    <w:overflowPunct/>
                    <w:topLinePunct w:val="0"/>
                    <w:autoSpaceDE/>
                    <w:autoSpaceDN/>
                    <w:bidi w:val="0"/>
                    <w:spacing w:after="0" w:line="240" w:lineRule="auto"/>
                    <w:ind w:left="0" w:leftChars="0" w:right="0" w:rightChars="0" w:firstLine="0" w:firstLineChars="0"/>
                    <w:jc w:val="center"/>
                    <w:textAlignment w:val="auto"/>
                    <w:rPr>
                      <w:rFonts w:ascii="Times New Roman" w:hAnsi="Times New Roman" w:eastAsia="宋体" w:cs="宋体"/>
                      <w:color w:val="auto"/>
                      <w:kern w:val="2"/>
                      <w:sz w:val="18"/>
                      <w:szCs w:val="22"/>
                      <w:lang w:val="zh-CN" w:eastAsia="zh-CN" w:bidi="ar-SA"/>
                    </w:rPr>
                  </w:pPr>
                  <w:r>
                    <w:rPr>
                      <w:rFonts w:hint="eastAsia" w:cs="宋体"/>
                      <w:color w:val="auto"/>
                      <w:kern w:val="2"/>
                      <w:sz w:val="18"/>
                      <w:szCs w:val="22"/>
                      <w:lang w:val="zh-CN" w:eastAsia="zh-CN" w:bidi="ar-SA"/>
                    </w:rPr>
                    <w:t>依托现有厂房</w:t>
                  </w:r>
                </w:p>
              </w:tc>
            </w:tr>
            <w:tr w14:paraId="79036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83" w:hRule="atLeast"/>
              </w:trPr>
              <w:tc>
                <w:tcPr>
                  <w:tcW w:w="387" w:type="pct"/>
                  <w:vMerge w:val="restart"/>
                  <w:vAlign w:val="center"/>
                </w:tcPr>
                <w:p w14:paraId="6B6FD174">
                  <w:pPr>
                    <w:pStyle w:val="287"/>
                    <w:framePr w:hSpace="0" w:wrap="auto" w:vAnchor="margin" w:hAnchor="text" w:xAlign="left" w:yAlign="inline"/>
                    <w:rPr>
                      <w:color w:val="auto"/>
                    </w:rPr>
                  </w:pPr>
                  <w:r>
                    <w:rPr>
                      <w:color w:val="auto"/>
                    </w:rPr>
                    <w:t>环保</w:t>
                  </w:r>
                </w:p>
                <w:p w14:paraId="62C868E5">
                  <w:pPr>
                    <w:pStyle w:val="287"/>
                    <w:framePr w:hSpace="0" w:wrap="auto" w:vAnchor="margin" w:hAnchor="text" w:xAlign="left" w:yAlign="inline"/>
                    <w:rPr>
                      <w:color w:val="auto"/>
                    </w:rPr>
                  </w:pPr>
                  <w:r>
                    <w:rPr>
                      <w:color w:val="auto"/>
                    </w:rPr>
                    <w:t>工程</w:t>
                  </w:r>
                </w:p>
              </w:tc>
              <w:tc>
                <w:tcPr>
                  <w:tcW w:w="198" w:type="pct"/>
                  <w:vMerge w:val="restart"/>
                  <w:vAlign w:val="center"/>
                </w:tcPr>
                <w:p w14:paraId="4EB38BDF">
                  <w:pPr>
                    <w:pStyle w:val="287"/>
                    <w:framePr w:hSpace="0" w:wrap="auto" w:vAnchor="margin" w:hAnchor="text" w:xAlign="left" w:yAlign="inline"/>
                    <w:rPr>
                      <w:color w:val="auto"/>
                    </w:rPr>
                  </w:pPr>
                  <w:r>
                    <w:rPr>
                      <w:color w:val="auto"/>
                    </w:rPr>
                    <w:t>废水治理</w:t>
                  </w:r>
                </w:p>
              </w:tc>
              <w:tc>
                <w:tcPr>
                  <w:tcW w:w="502" w:type="pct"/>
                  <w:vAlign w:val="center"/>
                </w:tcPr>
                <w:p w14:paraId="583CA728">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textAlignment w:val="auto"/>
                    <w:rPr>
                      <w:rFonts w:hint="eastAsia" w:eastAsia="宋体"/>
                      <w:color w:val="auto"/>
                      <w:lang w:eastAsia="zh-CN"/>
                    </w:rPr>
                  </w:pPr>
                  <w:r>
                    <w:rPr>
                      <w:rFonts w:hint="eastAsia"/>
                      <w:color w:val="auto"/>
                      <w:lang w:eastAsia="zh-CN"/>
                    </w:rPr>
                    <w:t>生产废水</w:t>
                  </w:r>
                </w:p>
              </w:tc>
              <w:tc>
                <w:tcPr>
                  <w:tcW w:w="3372" w:type="pct"/>
                  <w:vAlign w:val="center"/>
                </w:tcPr>
                <w:p w14:paraId="52B936E3">
                  <w:pPr>
                    <w:keepNext w:val="0"/>
                    <w:keepLines w:val="0"/>
                    <w:pageBreakBefore w:val="0"/>
                    <w:kinsoku/>
                    <w:wordWrap/>
                    <w:overflowPunct/>
                    <w:topLinePunct w:val="0"/>
                    <w:autoSpaceDE/>
                    <w:autoSpaceDN/>
                    <w:bidi w:val="0"/>
                    <w:adjustRightInd/>
                    <w:snapToGrid/>
                    <w:spacing w:after="0" w:line="240" w:lineRule="auto"/>
                    <w:textAlignment w:val="auto"/>
                    <w:rPr>
                      <w:color w:val="auto"/>
                    </w:rPr>
                  </w:pPr>
                  <w:r>
                    <w:rPr>
                      <w:rFonts w:hint="default" w:ascii="Times New Roman" w:hAnsi="Times New Roman" w:eastAsia="宋体" w:cs="宋体"/>
                      <w:color w:val="auto"/>
                      <w:kern w:val="2"/>
                      <w:sz w:val="18"/>
                      <w:szCs w:val="22"/>
                      <w:lang w:val="en-US" w:eastAsia="zh-CN" w:bidi="ar-SA"/>
                    </w:rPr>
                    <w:t>采用</w:t>
                  </w:r>
                  <w:r>
                    <w:rPr>
                      <w:rFonts w:hint="eastAsia" w:cs="宋体"/>
                      <w:color w:val="auto"/>
                      <w:kern w:val="2"/>
                      <w:sz w:val="18"/>
                      <w:szCs w:val="22"/>
                      <w:lang w:val="en-US" w:eastAsia="zh-CN" w:bidi="ar-SA"/>
                    </w:rPr>
                    <w:t>“</w:t>
                  </w:r>
                  <w:r>
                    <w:rPr>
                      <w:rFonts w:hint="default" w:ascii="Times New Roman" w:hAnsi="Times New Roman" w:eastAsia="宋体" w:cs="宋体"/>
                      <w:color w:val="auto"/>
                      <w:kern w:val="2"/>
                      <w:sz w:val="18"/>
                      <w:szCs w:val="22"/>
                      <w:lang w:val="en-US" w:eastAsia="zh-CN" w:bidi="ar-SA"/>
                    </w:rPr>
                    <w:t>浓缩+压滤</w:t>
                  </w:r>
                  <w:r>
                    <w:rPr>
                      <w:rFonts w:hint="eastAsia" w:cs="宋体"/>
                      <w:color w:val="auto"/>
                      <w:kern w:val="2"/>
                      <w:sz w:val="18"/>
                      <w:szCs w:val="22"/>
                      <w:lang w:val="en-US" w:eastAsia="zh-CN" w:bidi="ar-SA"/>
                    </w:rPr>
                    <w:t>”</w:t>
                  </w:r>
                  <w:r>
                    <w:rPr>
                      <w:rFonts w:hint="default" w:ascii="Times New Roman" w:hAnsi="Times New Roman" w:eastAsia="宋体" w:cs="宋体"/>
                      <w:color w:val="auto"/>
                      <w:kern w:val="2"/>
                      <w:sz w:val="18"/>
                      <w:szCs w:val="22"/>
                      <w:lang w:val="en-US" w:eastAsia="zh-CN" w:bidi="ar-SA"/>
                    </w:rPr>
                    <w:t>工艺，设1座</w:t>
                  </w:r>
                  <w:r>
                    <w:rPr>
                      <w:rFonts w:hint="eastAsia" w:ascii="Times New Roman" w:hAnsi="Times New Roman" w:eastAsia="宋体" w:cs="宋体"/>
                      <w:color w:val="auto"/>
                      <w:kern w:val="2"/>
                      <w:sz w:val="18"/>
                      <w:szCs w:val="22"/>
                      <w:lang w:val="en-US" w:eastAsia="zh-CN" w:bidi="ar-SA"/>
                    </w:rPr>
                    <w:t>550</w:t>
                  </w:r>
                  <w:r>
                    <w:rPr>
                      <w:rFonts w:hint="default" w:ascii="Times New Roman" w:hAnsi="Times New Roman" w:eastAsia="宋体" w:cs="宋体"/>
                      <w:color w:val="auto"/>
                      <w:kern w:val="2"/>
                      <w:sz w:val="18"/>
                      <w:szCs w:val="22"/>
                      <w:lang w:val="en-US" w:eastAsia="zh-CN" w:bidi="ar-SA"/>
                    </w:rPr>
                    <w:t>m</w:t>
                  </w:r>
                  <w:r>
                    <w:rPr>
                      <w:rFonts w:hint="eastAsia" w:ascii="Times New Roman" w:hAnsi="Times New Roman" w:eastAsia="宋体" w:cs="宋体"/>
                      <w:color w:val="auto"/>
                      <w:kern w:val="2"/>
                      <w:sz w:val="18"/>
                      <w:szCs w:val="22"/>
                      <w:vertAlign w:val="superscript"/>
                      <w:lang w:val="en-US" w:eastAsia="zh-CN" w:bidi="ar-SA"/>
                    </w:rPr>
                    <w:t>3</w:t>
                  </w:r>
                  <w:r>
                    <w:rPr>
                      <w:rFonts w:hint="default" w:ascii="Times New Roman" w:hAnsi="Times New Roman" w:eastAsia="宋体" w:cs="宋体"/>
                      <w:color w:val="auto"/>
                      <w:kern w:val="2"/>
                      <w:sz w:val="18"/>
                      <w:szCs w:val="22"/>
                      <w:lang w:val="en-US" w:eastAsia="zh-CN" w:bidi="ar-SA"/>
                    </w:rPr>
                    <w:t>的</w:t>
                  </w:r>
                  <w:r>
                    <w:rPr>
                      <w:rFonts w:hint="eastAsia" w:ascii="Times New Roman" w:hAnsi="Times New Roman" w:eastAsia="宋体" w:cs="宋体"/>
                      <w:color w:val="auto"/>
                      <w:kern w:val="2"/>
                      <w:sz w:val="18"/>
                      <w:szCs w:val="22"/>
                      <w:lang w:val="en-US" w:eastAsia="zh-CN" w:bidi="ar-SA"/>
                    </w:rPr>
                    <w:t>锥形浓缩罐</w:t>
                  </w:r>
                  <w:r>
                    <w:rPr>
                      <w:rFonts w:hint="default" w:ascii="Times New Roman" w:hAnsi="Times New Roman" w:eastAsia="宋体" w:cs="宋体"/>
                      <w:color w:val="auto"/>
                      <w:kern w:val="2"/>
                      <w:sz w:val="18"/>
                      <w:szCs w:val="22"/>
                      <w:lang w:val="en-US" w:eastAsia="zh-CN" w:bidi="ar-SA"/>
                    </w:rPr>
                    <w:t>，1座</w:t>
                  </w:r>
                  <w:r>
                    <w:rPr>
                      <w:rFonts w:hint="eastAsia" w:ascii="Times New Roman" w:hAnsi="Times New Roman" w:eastAsia="宋体" w:cs="宋体"/>
                      <w:color w:val="auto"/>
                      <w:kern w:val="2"/>
                      <w:sz w:val="18"/>
                      <w:szCs w:val="22"/>
                      <w:lang w:val="en-US" w:eastAsia="zh-CN" w:bidi="ar-SA"/>
                    </w:rPr>
                    <w:t>1</w:t>
                  </w:r>
                  <w:r>
                    <w:rPr>
                      <w:rFonts w:hint="default" w:ascii="Times New Roman" w:hAnsi="Times New Roman" w:eastAsia="宋体" w:cs="宋体"/>
                      <w:color w:val="auto"/>
                      <w:kern w:val="2"/>
                      <w:sz w:val="18"/>
                      <w:szCs w:val="22"/>
                      <w:lang w:val="en-US" w:eastAsia="zh-CN" w:bidi="ar-SA"/>
                    </w:rPr>
                    <w:t>00m</w:t>
                  </w:r>
                  <w:r>
                    <w:rPr>
                      <w:rFonts w:hint="default" w:ascii="Times New Roman" w:hAnsi="Times New Roman" w:eastAsia="宋体" w:cs="宋体"/>
                      <w:color w:val="auto"/>
                      <w:kern w:val="2"/>
                      <w:sz w:val="18"/>
                      <w:szCs w:val="22"/>
                      <w:vertAlign w:val="superscript"/>
                      <w:lang w:val="en-US" w:eastAsia="zh-CN" w:bidi="ar-SA"/>
                    </w:rPr>
                    <w:t>3</w:t>
                  </w:r>
                  <w:r>
                    <w:rPr>
                      <w:rFonts w:hint="default" w:ascii="Times New Roman" w:hAnsi="Times New Roman" w:eastAsia="宋体" w:cs="宋体"/>
                      <w:color w:val="auto"/>
                      <w:kern w:val="2"/>
                      <w:sz w:val="18"/>
                      <w:szCs w:val="22"/>
                      <w:lang w:val="en-US" w:eastAsia="zh-CN" w:bidi="ar-SA"/>
                    </w:rPr>
                    <w:t xml:space="preserve"> 循环水池。煤泥水一级闭路循环，</w:t>
                  </w:r>
                  <w:r>
                    <w:rPr>
                      <w:rFonts w:hint="eastAsia" w:ascii="Times New Roman" w:hAnsi="Times New Roman" w:eastAsia="宋体" w:cs="宋体"/>
                      <w:color w:val="auto"/>
                      <w:kern w:val="2"/>
                      <w:sz w:val="18"/>
                      <w:szCs w:val="22"/>
                      <w:lang w:val="en-US" w:eastAsia="zh-CN" w:bidi="ar-SA"/>
                    </w:rPr>
                    <w:t>实现闭路循环，不外排。</w:t>
                  </w:r>
                </w:p>
              </w:tc>
              <w:tc>
                <w:tcPr>
                  <w:tcW w:w="539" w:type="pct"/>
                  <w:vAlign w:val="center"/>
                </w:tcPr>
                <w:p w14:paraId="771A4825">
                  <w:pPr>
                    <w:pStyle w:val="287"/>
                    <w:keepNext w:val="0"/>
                    <w:keepLines w:val="0"/>
                    <w:pageBreakBefore w:val="0"/>
                    <w:framePr w:hSpace="0" w:wrap="auto" w:vAnchor="margin" w:hAnchor="text" w:xAlign="left" w:yAlign="inline"/>
                    <w:kinsoku/>
                    <w:wordWrap/>
                    <w:overflowPunct/>
                    <w:topLinePunct w:val="0"/>
                    <w:autoSpaceDE/>
                    <w:autoSpaceDN/>
                    <w:bidi w:val="0"/>
                    <w:spacing w:line="240" w:lineRule="auto"/>
                    <w:ind w:left="0" w:leftChars="0" w:right="0" w:rightChars="0" w:firstLine="0" w:firstLineChars="0"/>
                    <w:jc w:val="center"/>
                    <w:textAlignment w:val="auto"/>
                    <w:rPr>
                      <w:rFonts w:hint="eastAsia" w:eastAsia="宋体"/>
                      <w:color w:val="auto"/>
                      <w:lang w:eastAsia="zh-CN"/>
                    </w:rPr>
                  </w:pPr>
                  <w:r>
                    <w:rPr>
                      <w:rFonts w:hint="eastAsia"/>
                      <w:color w:val="auto"/>
                      <w:lang w:eastAsia="zh-CN"/>
                    </w:rPr>
                    <w:t>新建</w:t>
                  </w:r>
                </w:p>
              </w:tc>
            </w:tr>
            <w:tr w14:paraId="11494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60" w:hRule="atLeast"/>
              </w:trPr>
              <w:tc>
                <w:tcPr>
                  <w:tcW w:w="387" w:type="pct"/>
                  <w:vMerge w:val="continue"/>
                  <w:vAlign w:val="center"/>
                </w:tcPr>
                <w:p w14:paraId="60D9E4F6">
                  <w:pPr>
                    <w:pStyle w:val="287"/>
                    <w:framePr w:hSpace="0" w:wrap="auto" w:vAnchor="margin" w:hAnchor="text" w:xAlign="left" w:yAlign="inline"/>
                    <w:rPr>
                      <w:color w:val="auto"/>
                    </w:rPr>
                  </w:pPr>
                </w:p>
              </w:tc>
              <w:tc>
                <w:tcPr>
                  <w:tcW w:w="198" w:type="pct"/>
                  <w:vMerge w:val="continue"/>
                  <w:vAlign w:val="center"/>
                </w:tcPr>
                <w:p w14:paraId="5A8714D8">
                  <w:pPr>
                    <w:pStyle w:val="287"/>
                    <w:framePr w:hSpace="0" w:wrap="auto" w:vAnchor="margin" w:hAnchor="text" w:xAlign="left" w:yAlign="inline"/>
                    <w:rPr>
                      <w:color w:val="auto"/>
                    </w:rPr>
                  </w:pPr>
                </w:p>
              </w:tc>
              <w:tc>
                <w:tcPr>
                  <w:tcW w:w="502" w:type="pct"/>
                  <w:vAlign w:val="center"/>
                </w:tcPr>
                <w:p w14:paraId="3B110C2C">
                  <w:pPr>
                    <w:pStyle w:val="287"/>
                    <w:framePr w:hSpace="0" w:wrap="auto" w:vAnchor="margin" w:hAnchor="text" w:xAlign="left" w:yAlign="inline"/>
                    <w:rPr>
                      <w:rFonts w:hint="eastAsia" w:eastAsia="宋体"/>
                      <w:color w:val="auto"/>
                      <w:lang w:eastAsia="zh-CN"/>
                    </w:rPr>
                  </w:pPr>
                  <w:r>
                    <w:rPr>
                      <w:rFonts w:hint="eastAsia"/>
                      <w:color w:val="auto"/>
                      <w:lang w:eastAsia="zh-CN"/>
                    </w:rPr>
                    <w:t>生活污水</w:t>
                  </w:r>
                </w:p>
              </w:tc>
              <w:tc>
                <w:tcPr>
                  <w:tcW w:w="3372" w:type="pct"/>
                  <w:vAlign w:val="center"/>
                </w:tcPr>
                <w:p w14:paraId="08A2873C">
                  <w:pPr>
                    <w:pStyle w:val="287"/>
                    <w:framePr w:hSpace="0" w:wrap="auto" w:vAnchor="margin" w:hAnchor="text" w:xAlign="left" w:yAlign="inline"/>
                    <w:rPr>
                      <w:rFonts w:hint="eastAsia" w:eastAsia="宋体"/>
                      <w:color w:val="auto"/>
                      <w:lang w:eastAsia="zh-CN"/>
                    </w:rPr>
                  </w:pPr>
                  <w:r>
                    <w:rPr>
                      <w:rFonts w:hint="eastAsia"/>
                      <w:color w:val="auto"/>
                      <w:lang w:eastAsia="zh-CN"/>
                    </w:rPr>
                    <w:t>生活污水依托舜岳水泥厂内地埋式</w:t>
                  </w:r>
                  <w:r>
                    <w:rPr>
                      <w:color w:val="auto"/>
                    </w:rPr>
                    <w:t>化粪池处理</w:t>
                  </w:r>
                  <w:r>
                    <w:rPr>
                      <w:rFonts w:hint="eastAsia"/>
                      <w:color w:val="auto"/>
                      <w:lang w:eastAsia="zh-CN"/>
                    </w:rPr>
                    <w:t>后接入市政污水管网，汇入八公山区污水处理厂处理。</w:t>
                  </w:r>
                </w:p>
              </w:tc>
              <w:tc>
                <w:tcPr>
                  <w:tcW w:w="539" w:type="pct"/>
                  <w:vAlign w:val="center"/>
                </w:tcPr>
                <w:p w14:paraId="161F7CEB">
                  <w:pPr>
                    <w:pStyle w:val="287"/>
                    <w:keepNext w:val="0"/>
                    <w:keepLines w:val="0"/>
                    <w:pageBreakBefore w:val="0"/>
                    <w:framePr w:hSpace="0" w:wrap="auto" w:vAnchor="margin" w:hAnchor="text" w:xAlign="left" w:yAlign="inline"/>
                    <w:kinsoku/>
                    <w:wordWrap/>
                    <w:overflowPunct/>
                    <w:topLinePunct w:val="0"/>
                    <w:autoSpaceDE/>
                    <w:autoSpaceDN/>
                    <w:bidi w:val="0"/>
                    <w:spacing w:line="240" w:lineRule="auto"/>
                    <w:ind w:left="0" w:leftChars="0" w:right="0" w:rightChars="0" w:firstLine="0" w:firstLineChars="0"/>
                    <w:jc w:val="center"/>
                    <w:textAlignment w:val="auto"/>
                    <w:rPr>
                      <w:rFonts w:hint="eastAsia"/>
                      <w:color w:val="auto"/>
                      <w:lang w:eastAsia="zh-CN"/>
                    </w:rPr>
                  </w:pPr>
                  <w:r>
                    <w:rPr>
                      <w:rFonts w:hint="eastAsia"/>
                      <w:color w:val="auto"/>
                      <w:lang w:eastAsia="zh-CN"/>
                    </w:rPr>
                    <w:t>依托</w:t>
                  </w:r>
                </w:p>
              </w:tc>
            </w:tr>
            <w:tr w14:paraId="0F05F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22" w:hRule="atLeast"/>
              </w:trPr>
              <w:tc>
                <w:tcPr>
                  <w:tcW w:w="387" w:type="pct"/>
                  <w:vMerge w:val="continue"/>
                  <w:vAlign w:val="center"/>
                </w:tcPr>
                <w:p w14:paraId="03A7F5DE">
                  <w:pPr>
                    <w:pStyle w:val="287"/>
                    <w:framePr w:hSpace="0" w:wrap="auto" w:vAnchor="margin" w:hAnchor="text" w:xAlign="left" w:yAlign="inline"/>
                    <w:rPr>
                      <w:color w:val="auto"/>
                    </w:rPr>
                  </w:pPr>
                </w:p>
              </w:tc>
              <w:tc>
                <w:tcPr>
                  <w:tcW w:w="198" w:type="pct"/>
                  <w:vMerge w:val="continue"/>
                  <w:vAlign w:val="center"/>
                </w:tcPr>
                <w:p w14:paraId="4F571F53">
                  <w:pPr>
                    <w:pStyle w:val="287"/>
                    <w:framePr w:hSpace="0" w:wrap="auto" w:vAnchor="margin" w:hAnchor="text" w:xAlign="left" w:yAlign="inline"/>
                    <w:rPr>
                      <w:color w:val="auto"/>
                    </w:rPr>
                  </w:pPr>
                </w:p>
              </w:tc>
              <w:tc>
                <w:tcPr>
                  <w:tcW w:w="502" w:type="pct"/>
                  <w:vAlign w:val="center"/>
                </w:tcPr>
                <w:p w14:paraId="6A9A8B2E">
                  <w:pPr>
                    <w:pStyle w:val="287"/>
                    <w:framePr w:hSpace="0" w:wrap="auto" w:vAnchor="margin" w:hAnchor="text" w:xAlign="left" w:yAlign="inline"/>
                    <w:rPr>
                      <w:color w:val="auto"/>
                    </w:rPr>
                  </w:pPr>
                  <w:r>
                    <w:rPr>
                      <w:rFonts w:hint="default" w:ascii="Times New Roman" w:hAnsi="Times New Roman" w:eastAsia="宋体" w:cs="Times New Roman"/>
                      <w:color w:val="auto"/>
                      <w:sz w:val="18"/>
                      <w:szCs w:val="18"/>
                      <w:highlight w:val="none"/>
                    </w:rPr>
                    <w:t>初期雨水池</w:t>
                  </w:r>
                </w:p>
              </w:tc>
              <w:tc>
                <w:tcPr>
                  <w:tcW w:w="3372" w:type="pct"/>
                  <w:vAlign w:val="center"/>
                </w:tcPr>
                <w:p w14:paraId="32B33E7B">
                  <w:pPr>
                    <w:pStyle w:val="287"/>
                    <w:framePr w:hSpace="0" w:wrap="auto" w:vAnchor="margin" w:hAnchor="text" w:xAlign="left" w:yAlign="inline"/>
                    <w:rPr>
                      <w:color w:val="auto"/>
                    </w:rPr>
                  </w:pPr>
                  <w:r>
                    <w:rPr>
                      <w:rFonts w:hint="eastAsia"/>
                      <w:color w:val="auto"/>
                      <w:szCs w:val="21"/>
                      <w:highlight w:val="none"/>
                    </w:rPr>
                    <w:t>在厂区地势</w:t>
                  </w:r>
                  <w:r>
                    <w:rPr>
                      <w:rFonts w:hint="eastAsia"/>
                      <w:color w:val="auto"/>
                      <w:szCs w:val="21"/>
                      <w:highlight w:val="none"/>
                      <w:lang w:val="en-US" w:eastAsia="zh-CN"/>
                    </w:rPr>
                    <w:t>最</w:t>
                  </w:r>
                  <w:r>
                    <w:rPr>
                      <w:rFonts w:hint="eastAsia"/>
                      <w:color w:val="auto"/>
                      <w:szCs w:val="21"/>
                      <w:highlight w:val="none"/>
                    </w:rPr>
                    <w:t>低处设置了</w:t>
                  </w:r>
                  <w:r>
                    <w:rPr>
                      <w:color w:val="auto"/>
                      <w:szCs w:val="21"/>
                      <w:highlight w:val="none"/>
                    </w:rPr>
                    <w:t>1</w:t>
                  </w:r>
                  <w:r>
                    <w:rPr>
                      <w:rFonts w:hint="eastAsia"/>
                      <w:color w:val="auto"/>
                      <w:szCs w:val="21"/>
                      <w:highlight w:val="none"/>
                    </w:rPr>
                    <w:t>座初期雨水收集池，容积</w:t>
                  </w:r>
                  <w:r>
                    <w:rPr>
                      <w:rFonts w:hint="eastAsia"/>
                      <w:color w:val="auto"/>
                      <w:szCs w:val="21"/>
                      <w:highlight w:val="none"/>
                      <w:lang w:val="en-US" w:eastAsia="zh-CN"/>
                    </w:rPr>
                    <w:t>50</w:t>
                  </w:r>
                  <w:r>
                    <w:rPr>
                      <w:color w:val="auto"/>
                      <w:szCs w:val="21"/>
                      <w:highlight w:val="none"/>
                    </w:rPr>
                    <w:t>m</w:t>
                  </w:r>
                  <w:r>
                    <w:rPr>
                      <w:color w:val="auto"/>
                      <w:szCs w:val="21"/>
                      <w:highlight w:val="none"/>
                      <w:vertAlign w:val="superscript"/>
                    </w:rPr>
                    <w:t>3</w:t>
                  </w:r>
                </w:p>
              </w:tc>
              <w:tc>
                <w:tcPr>
                  <w:tcW w:w="539" w:type="pct"/>
                  <w:vAlign w:val="center"/>
                </w:tcPr>
                <w:p w14:paraId="77A62220">
                  <w:pPr>
                    <w:pStyle w:val="287"/>
                    <w:keepNext w:val="0"/>
                    <w:keepLines w:val="0"/>
                    <w:pageBreakBefore w:val="0"/>
                    <w:framePr w:hSpace="0" w:wrap="auto" w:vAnchor="margin" w:hAnchor="text" w:xAlign="left" w:yAlign="inline"/>
                    <w:kinsoku/>
                    <w:wordWrap/>
                    <w:overflowPunct/>
                    <w:topLinePunct w:val="0"/>
                    <w:autoSpaceDE/>
                    <w:autoSpaceDN/>
                    <w:bidi w:val="0"/>
                    <w:spacing w:line="240" w:lineRule="auto"/>
                    <w:ind w:left="0" w:leftChars="0" w:right="0" w:rightChars="0" w:firstLine="0" w:firstLineChars="0"/>
                    <w:jc w:val="center"/>
                    <w:textAlignment w:val="auto"/>
                    <w:rPr>
                      <w:rFonts w:hint="eastAsia"/>
                      <w:color w:val="auto"/>
                      <w:lang w:eastAsia="zh-CN"/>
                    </w:rPr>
                  </w:pPr>
                  <w:r>
                    <w:rPr>
                      <w:rFonts w:hint="eastAsia"/>
                      <w:color w:val="auto"/>
                      <w:lang w:eastAsia="zh-CN"/>
                    </w:rPr>
                    <w:t>新建</w:t>
                  </w:r>
                </w:p>
              </w:tc>
            </w:tr>
            <w:tr w14:paraId="71D4C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91" w:hRule="atLeast"/>
              </w:trPr>
              <w:tc>
                <w:tcPr>
                  <w:tcW w:w="387" w:type="pct"/>
                  <w:vMerge w:val="continue"/>
                  <w:vAlign w:val="center"/>
                </w:tcPr>
                <w:p w14:paraId="51D8D4EE">
                  <w:pPr>
                    <w:pStyle w:val="287"/>
                    <w:framePr w:hSpace="0" w:wrap="auto" w:vAnchor="margin" w:hAnchor="text" w:xAlign="left" w:yAlign="inline"/>
                    <w:rPr>
                      <w:color w:val="auto"/>
                    </w:rPr>
                  </w:pPr>
                </w:p>
              </w:tc>
              <w:tc>
                <w:tcPr>
                  <w:tcW w:w="700" w:type="pct"/>
                  <w:gridSpan w:val="2"/>
                  <w:vAlign w:val="center"/>
                </w:tcPr>
                <w:p w14:paraId="09FDD37C">
                  <w:pPr>
                    <w:pStyle w:val="287"/>
                    <w:framePr w:hSpace="0" w:wrap="auto" w:vAnchor="margin" w:hAnchor="text" w:xAlign="left" w:yAlign="inline"/>
                    <w:rPr>
                      <w:color w:val="auto"/>
                    </w:rPr>
                  </w:pPr>
                  <w:r>
                    <w:rPr>
                      <w:color w:val="auto"/>
                    </w:rPr>
                    <w:t>噪声</w:t>
                  </w:r>
                </w:p>
                <w:p w14:paraId="436D977B">
                  <w:pPr>
                    <w:pStyle w:val="287"/>
                    <w:framePr w:hSpace="0" w:wrap="auto" w:vAnchor="margin" w:hAnchor="text" w:xAlign="left" w:yAlign="inline"/>
                    <w:rPr>
                      <w:color w:val="auto"/>
                    </w:rPr>
                  </w:pPr>
                  <w:r>
                    <w:rPr>
                      <w:color w:val="auto"/>
                    </w:rPr>
                    <w:t>治理</w:t>
                  </w:r>
                </w:p>
              </w:tc>
              <w:tc>
                <w:tcPr>
                  <w:tcW w:w="3372" w:type="pct"/>
                  <w:vAlign w:val="center"/>
                </w:tcPr>
                <w:p w14:paraId="270381DD">
                  <w:pPr>
                    <w:pStyle w:val="287"/>
                    <w:framePr w:hSpace="0" w:wrap="auto" w:vAnchor="margin" w:hAnchor="text" w:xAlign="left" w:yAlign="inline"/>
                    <w:rPr>
                      <w:rFonts w:hint="eastAsia" w:eastAsia="宋体"/>
                      <w:color w:val="auto"/>
                      <w:lang w:eastAsia="zh-CN"/>
                    </w:rPr>
                  </w:pPr>
                  <w:r>
                    <w:rPr>
                      <w:rFonts w:hint="eastAsia"/>
                      <w:color w:val="auto"/>
                      <w:lang w:eastAsia="zh-CN"/>
                    </w:rPr>
                    <w:t>选用高效低噪声设备、厂房隔声、设备基础减振降噪等措施</w:t>
                  </w:r>
                </w:p>
              </w:tc>
              <w:tc>
                <w:tcPr>
                  <w:tcW w:w="539" w:type="pct"/>
                  <w:vAlign w:val="center"/>
                </w:tcPr>
                <w:p w14:paraId="21998212">
                  <w:pPr>
                    <w:pStyle w:val="287"/>
                    <w:framePr w:hSpace="0" w:wrap="auto" w:vAnchor="margin" w:hAnchor="text" w:xAlign="left" w:yAlign="inline"/>
                    <w:rPr>
                      <w:rFonts w:hint="default"/>
                      <w:color w:val="auto"/>
                      <w:lang w:val="en-US"/>
                    </w:rPr>
                  </w:pPr>
                  <w:r>
                    <w:rPr>
                      <w:rFonts w:hint="eastAsia"/>
                      <w:color w:val="auto"/>
                      <w:lang w:eastAsia="zh-CN"/>
                    </w:rPr>
                    <w:t>依托现有厂房隔声，新增设备</w:t>
                  </w:r>
                </w:p>
              </w:tc>
            </w:tr>
            <w:tr w14:paraId="23D7F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49" w:hRule="atLeast"/>
              </w:trPr>
              <w:tc>
                <w:tcPr>
                  <w:tcW w:w="387" w:type="pct"/>
                  <w:vMerge w:val="continue"/>
                  <w:vAlign w:val="center"/>
                </w:tcPr>
                <w:p w14:paraId="28DF6FE9">
                  <w:pPr>
                    <w:pStyle w:val="287"/>
                    <w:framePr w:hSpace="0" w:wrap="auto" w:vAnchor="margin" w:hAnchor="text" w:xAlign="left" w:yAlign="inline"/>
                    <w:rPr>
                      <w:color w:val="auto"/>
                    </w:rPr>
                  </w:pPr>
                </w:p>
              </w:tc>
              <w:tc>
                <w:tcPr>
                  <w:tcW w:w="198" w:type="pct"/>
                  <w:vMerge w:val="restart"/>
                  <w:vAlign w:val="center"/>
                </w:tcPr>
                <w:p w14:paraId="0D1D6333">
                  <w:pPr>
                    <w:pStyle w:val="287"/>
                    <w:framePr w:hSpace="0" w:wrap="auto" w:vAnchor="margin" w:hAnchor="text" w:xAlign="left" w:yAlign="inline"/>
                    <w:rPr>
                      <w:color w:val="auto"/>
                    </w:rPr>
                  </w:pPr>
                  <w:r>
                    <w:rPr>
                      <w:color w:val="auto"/>
                    </w:rPr>
                    <w:t>废气</w:t>
                  </w:r>
                </w:p>
                <w:p w14:paraId="08CD7563">
                  <w:pPr>
                    <w:pStyle w:val="287"/>
                    <w:framePr w:hSpace="0" w:wrap="auto" w:vAnchor="margin" w:hAnchor="text" w:xAlign="left" w:yAlign="inline"/>
                    <w:rPr>
                      <w:color w:val="auto"/>
                    </w:rPr>
                  </w:pPr>
                  <w:r>
                    <w:rPr>
                      <w:color w:val="auto"/>
                    </w:rPr>
                    <w:t>治理</w:t>
                  </w:r>
                </w:p>
              </w:tc>
              <w:tc>
                <w:tcPr>
                  <w:tcW w:w="502" w:type="pct"/>
                  <w:vAlign w:val="center"/>
                </w:tcPr>
                <w:p w14:paraId="28BDAC5F">
                  <w:pPr>
                    <w:pStyle w:val="287"/>
                    <w:framePr w:hSpace="0" w:wrap="auto" w:vAnchor="margin" w:hAnchor="text" w:xAlign="left" w:yAlign="inline"/>
                    <w:rPr>
                      <w:rFonts w:hint="eastAsia" w:eastAsia="宋体"/>
                      <w:color w:val="auto"/>
                      <w:lang w:eastAsia="zh-CN"/>
                    </w:rPr>
                  </w:pPr>
                  <w:r>
                    <w:rPr>
                      <w:rFonts w:hint="eastAsia"/>
                      <w:color w:val="auto"/>
                      <w:lang w:eastAsia="zh-CN"/>
                    </w:rPr>
                    <w:t>产品堆放、装卸扬尘</w:t>
                  </w:r>
                </w:p>
              </w:tc>
              <w:tc>
                <w:tcPr>
                  <w:tcW w:w="3372" w:type="pct"/>
                  <w:vAlign w:val="center"/>
                </w:tcPr>
                <w:p w14:paraId="12B770AD">
                  <w:pPr>
                    <w:pStyle w:val="287"/>
                    <w:framePr w:hSpace="0" w:wrap="auto" w:vAnchor="margin" w:hAnchor="text" w:xAlign="left" w:yAlign="inline"/>
                    <w:rPr>
                      <w:rFonts w:hint="eastAsia"/>
                      <w:color w:val="auto"/>
                      <w:lang w:eastAsia="zh-CN"/>
                    </w:rPr>
                  </w:pPr>
                  <w:r>
                    <w:rPr>
                      <w:rFonts w:hint="default" w:ascii="Times New Roman" w:hAnsi="Times New Roman" w:eastAsia="宋体" w:cs="Times New Roman"/>
                      <w:color w:val="auto"/>
                      <w:sz w:val="18"/>
                      <w:szCs w:val="18"/>
                      <w:highlight w:val="none"/>
                      <w:vertAlign w:val="baseline"/>
                      <w:lang w:val="en-US" w:eastAsia="zh-CN"/>
                    </w:rPr>
                    <w:t>堆存、装卸均在全封闭储库内进行，</w:t>
                  </w:r>
                  <w:r>
                    <w:rPr>
                      <w:rFonts w:hint="default" w:ascii="Times New Roman" w:hAnsi="Times New Roman" w:eastAsia="宋体" w:cs="宋体"/>
                      <w:color w:val="auto"/>
                      <w:kern w:val="2"/>
                      <w:sz w:val="18"/>
                      <w:szCs w:val="22"/>
                      <w:lang w:val="zh-CN" w:eastAsia="zh-CN" w:bidi="ar-SA"/>
                    </w:rPr>
                    <w:t>地面硬化，堆棚下部设置围堰、顶部搭棚密封，再采取洒水喷淋措施</w:t>
                  </w:r>
                  <w:r>
                    <w:rPr>
                      <w:rFonts w:hint="default" w:ascii="Times New Roman" w:hAnsi="Times New Roman" w:eastAsia="宋体" w:cs="宋体"/>
                      <w:color w:val="auto"/>
                      <w:kern w:val="2"/>
                      <w:sz w:val="18"/>
                      <w:szCs w:val="22"/>
                      <w:lang w:val="en-US" w:eastAsia="zh-CN" w:bidi="ar-SA"/>
                    </w:rPr>
                    <w:t>。</w:t>
                  </w:r>
                </w:p>
              </w:tc>
              <w:tc>
                <w:tcPr>
                  <w:tcW w:w="539" w:type="pct"/>
                  <w:vAlign w:val="center"/>
                </w:tcPr>
                <w:p w14:paraId="1C6380B9">
                  <w:pPr>
                    <w:pStyle w:val="287"/>
                    <w:framePr w:hSpace="0" w:wrap="auto" w:vAnchor="margin" w:hAnchor="text" w:xAlign="left" w:yAlign="inline"/>
                    <w:rPr>
                      <w:rFonts w:hint="eastAsia"/>
                      <w:color w:val="auto"/>
                    </w:rPr>
                  </w:pPr>
                  <w:r>
                    <w:rPr>
                      <w:rFonts w:hint="eastAsia"/>
                      <w:color w:val="auto"/>
                      <w:lang w:eastAsia="zh-CN"/>
                    </w:rPr>
                    <w:t>新建</w:t>
                  </w:r>
                </w:p>
              </w:tc>
            </w:tr>
            <w:tr w14:paraId="23B86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49" w:hRule="atLeast"/>
              </w:trPr>
              <w:tc>
                <w:tcPr>
                  <w:tcW w:w="387" w:type="pct"/>
                  <w:vMerge w:val="continue"/>
                  <w:vAlign w:val="center"/>
                </w:tcPr>
                <w:p w14:paraId="27D677ED">
                  <w:pPr>
                    <w:pStyle w:val="287"/>
                    <w:framePr w:hSpace="0" w:wrap="auto" w:vAnchor="margin" w:hAnchor="text" w:xAlign="left" w:yAlign="inline"/>
                    <w:rPr>
                      <w:color w:val="auto"/>
                    </w:rPr>
                  </w:pPr>
                </w:p>
              </w:tc>
              <w:tc>
                <w:tcPr>
                  <w:tcW w:w="198" w:type="pct"/>
                  <w:vMerge w:val="continue"/>
                  <w:vAlign w:val="center"/>
                </w:tcPr>
                <w:p w14:paraId="69F5F4D9">
                  <w:pPr>
                    <w:pStyle w:val="287"/>
                    <w:framePr w:hSpace="0" w:wrap="auto" w:vAnchor="margin" w:hAnchor="text" w:xAlign="left" w:yAlign="inline"/>
                    <w:rPr>
                      <w:color w:val="auto"/>
                    </w:rPr>
                  </w:pPr>
                </w:p>
              </w:tc>
              <w:tc>
                <w:tcPr>
                  <w:tcW w:w="502" w:type="pct"/>
                  <w:vAlign w:val="center"/>
                </w:tcPr>
                <w:p w14:paraId="1F09F2F7">
                  <w:pPr>
                    <w:pStyle w:val="287"/>
                    <w:framePr w:hSpace="0" w:wrap="auto" w:vAnchor="margin" w:hAnchor="text" w:xAlign="left" w:yAlign="inline"/>
                    <w:rPr>
                      <w:rFonts w:hint="eastAsia"/>
                      <w:color w:val="auto"/>
                      <w:lang w:eastAsia="zh-CN"/>
                    </w:rPr>
                  </w:pPr>
                  <w:r>
                    <w:rPr>
                      <w:rFonts w:hint="eastAsia"/>
                      <w:color w:val="auto"/>
                      <w:lang w:eastAsia="zh-CN"/>
                    </w:rPr>
                    <w:t>厂区物料输送转载点扬尘</w:t>
                  </w:r>
                </w:p>
              </w:tc>
              <w:tc>
                <w:tcPr>
                  <w:tcW w:w="3372" w:type="pct"/>
                  <w:vAlign w:val="center"/>
                </w:tcPr>
                <w:p w14:paraId="141AB807">
                  <w:pPr>
                    <w:pStyle w:val="287"/>
                    <w:framePr w:hSpace="0" w:wrap="auto" w:vAnchor="margin" w:hAnchor="text" w:xAlign="left" w:yAlign="inline"/>
                    <w:rPr>
                      <w:rFonts w:hint="default" w:ascii="Times New Roman" w:hAnsi="Times New Roman" w:eastAsia="宋体" w:cs="Times New Roman"/>
                      <w:color w:val="auto"/>
                      <w:sz w:val="18"/>
                      <w:szCs w:val="18"/>
                      <w:highlight w:val="none"/>
                      <w:vertAlign w:val="baseline"/>
                      <w:lang w:val="en-US" w:eastAsia="zh-CN"/>
                    </w:rPr>
                  </w:pPr>
                  <w:r>
                    <w:rPr>
                      <w:rFonts w:hint="eastAsia" w:ascii="Times New Roman" w:hAnsi="Times New Roman" w:eastAsia="宋体" w:cs="Times New Roman"/>
                      <w:color w:val="auto"/>
                      <w:sz w:val="18"/>
                      <w:szCs w:val="18"/>
                      <w:highlight w:val="none"/>
                      <w:vertAlign w:val="baseline"/>
                      <w:lang w:val="en-US" w:eastAsia="zh-CN"/>
                    </w:rPr>
                    <w:t>全封闭皮带输送廊道，在落料、输送转载点设置喷雾洒水装置</w:t>
                  </w:r>
                </w:p>
              </w:tc>
              <w:tc>
                <w:tcPr>
                  <w:tcW w:w="539" w:type="pct"/>
                  <w:vAlign w:val="center"/>
                </w:tcPr>
                <w:p w14:paraId="5A93D7C3">
                  <w:pPr>
                    <w:pStyle w:val="287"/>
                    <w:framePr w:hSpace="0" w:wrap="auto" w:vAnchor="margin" w:hAnchor="text" w:xAlign="left" w:yAlign="inline"/>
                    <w:rPr>
                      <w:rFonts w:hint="eastAsia" w:ascii="Times New Roman" w:hAnsi="Times New Roman" w:eastAsia="宋体" w:cs="Times New Roman"/>
                      <w:color w:val="auto"/>
                      <w:sz w:val="18"/>
                      <w:szCs w:val="18"/>
                      <w:highlight w:val="none"/>
                      <w:vertAlign w:val="baseline"/>
                      <w:lang w:val="en-US" w:eastAsia="zh-CN"/>
                    </w:rPr>
                  </w:pPr>
                  <w:r>
                    <w:rPr>
                      <w:rFonts w:hint="eastAsia"/>
                      <w:color w:val="auto"/>
                      <w:lang w:eastAsia="zh-CN"/>
                    </w:rPr>
                    <w:t>新建</w:t>
                  </w:r>
                </w:p>
              </w:tc>
            </w:tr>
            <w:tr w14:paraId="01B71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27" w:hRule="atLeast"/>
              </w:trPr>
              <w:tc>
                <w:tcPr>
                  <w:tcW w:w="387" w:type="pct"/>
                  <w:vMerge w:val="continue"/>
                  <w:vAlign w:val="center"/>
                </w:tcPr>
                <w:p w14:paraId="35671DC5">
                  <w:pPr>
                    <w:pStyle w:val="287"/>
                    <w:framePr w:hSpace="0" w:wrap="auto" w:vAnchor="margin" w:hAnchor="text" w:xAlign="left" w:yAlign="inline"/>
                    <w:rPr>
                      <w:color w:val="auto"/>
                    </w:rPr>
                  </w:pPr>
                </w:p>
              </w:tc>
              <w:tc>
                <w:tcPr>
                  <w:tcW w:w="198" w:type="pct"/>
                  <w:vMerge w:val="continue"/>
                  <w:vAlign w:val="center"/>
                </w:tcPr>
                <w:p w14:paraId="6B0C9284">
                  <w:pPr>
                    <w:pStyle w:val="287"/>
                    <w:framePr w:hSpace="0" w:wrap="auto" w:vAnchor="margin" w:hAnchor="text" w:xAlign="left" w:yAlign="inline"/>
                    <w:rPr>
                      <w:color w:val="auto"/>
                    </w:rPr>
                  </w:pPr>
                </w:p>
              </w:tc>
              <w:tc>
                <w:tcPr>
                  <w:tcW w:w="502" w:type="pct"/>
                  <w:vAlign w:val="center"/>
                </w:tcPr>
                <w:p w14:paraId="13D24493">
                  <w:pPr>
                    <w:pStyle w:val="287"/>
                    <w:framePr w:hSpace="0" w:wrap="auto" w:vAnchor="margin" w:hAnchor="text" w:xAlign="left" w:yAlign="inline"/>
                    <w:rPr>
                      <w:rFonts w:hint="eastAsia" w:eastAsia="宋体"/>
                      <w:color w:val="auto"/>
                      <w:lang w:eastAsia="zh-CN"/>
                    </w:rPr>
                  </w:pPr>
                  <w:r>
                    <w:rPr>
                      <w:rFonts w:hint="eastAsia"/>
                      <w:color w:val="auto"/>
                      <w:lang w:eastAsia="zh-CN"/>
                    </w:rPr>
                    <w:t>道路运输扬尘</w:t>
                  </w:r>
                </w:p>
              </w:tc>
              <w:tc>
                <w:tcPr>
                  <w:tcW w:w="3372" w:type="pct"/>
                  <w:vAlign w:val="center"/>
                </w:tcPr>
                <w:p w14:paraId="16D78263">
                  <w:pPr>
                    <w:pStyle w:val="287"/>
                    <w:framePr w:hSpace="0" w:wrap="auto" w:vAnchor="margin" w:hAnchor="text" w:xAlign="left" w:yAlign="inline"/>
                    <w:rPr>
                      <w:rFonts w:hint="default" w:ascii="Times New Roman" w:hAnsi="Times New Roman" w:eastAsia="宋体" w:cs="Times New Roman"/>
                      <w:color w:val="auto"/>
                      <w:sz w:val="18"/>
                      <w:szCs w:val="18"/>
                      <w:highlight w:val="none"/>
                      <w:vertAlign w:val="baseline"/>
                      <w:lang w:val="en-US" w:eastAsia="zh-CN"/>
                    </w:rPr>
                  </w:pPr>
                  <w:r>
                    <w:rPr>
                      <w:rFonts w:hint="eastAsia"/>
                      <w:color w:val="auto"/>
                      <w:lang w:eastAsia="zh-CN"/>
                    </w:rPr>
                    <w:t>产品运出采用车辆运输，</w:t>
                  </w:r>
                  <w:r>
                    <w:rPr>
                      <w:rFonts w:hint="default" w:ascii="Times New Roman" w:hAnsi="Times New Roman" w:eastAsia="宋体" w:cs="Times New Roman"/>
                      <w:color w:val="auto"/>
                      <w:sz w:val="18"/>
                      <w:szCs w:val="18"/>
                      <w:highlight w:val="none"/>
                    </w:rPr>
                    <w:t>运输车辆采用</w:t>
                  </w:r>
                  <w:r>
                    <w:rPr>
                      <w:rFonts w:hint="default" w:ascii="Times New Roman" w:hAnsi="Times New Roman" w:eastAsia="宋体" w:cs="Times New Roman"/>
                      <w:color w:val="auto"/>
                      <w:sz w:val="18"/>
                      <w:szCs w:val="18"/>
                      <w:highlight w:val="none"/>
                      <w:lang w:eastAsia="zh-CN"/>
                    </w:rPr>
                    <w:t>苫布遮盖</w:t>
                  </w:r>
                  <w:r>
                    <w:rPr>
                      <w:rFonts w:hint="default" w:ascii="Times New Roman" w:hAnsi="Times New Roman" w:eastAsia="宋体" w:cs="Times New Roman"/>
                      <w:color w:val="auto"/>
                      <w:sz w:val="18"/>
                      <w:szCs w:val="18"/>
                      <w:highlight w:val="none"/>
                    </w:rPr>
                    <w:t>，在厂区内减速慢行，厂区地面定期清扫，定期洒水降尘。</w:t>
                  </w:r>
                </w:p>
              </w:tc>
              <w:tc>
                <w:tcPr>
                  <w:tcW w:w="539" w:type="pct"/>
                  <w:vAlign w:val="center"/>
                </w:tcPr>
                <w:p w14:paraId="4E8DACFD">
                  <w:pPr>
                    <w:pStyle w:val="287"/>
                    <w:framePr w:hSpace="0" w:wrap="auto" w:vAnchor="margin" w:hAnchor="text" w:xAlign="left" w:yAlign="inline"/>
                    <w:rPr>
                      <w:rFonts w:hint="default"/>
                      <w:color w:val="auto"/>
                      <w:lang w:val="en-US" w:eastAsia="zh-CN"/>
                    </w:rPr>
                  </w:pPr>
                  <w:r>
                    <w:rPr>
                      <w:rFonts w:hint="eastAsia"/>
                      <w:color w:val="auto"/>
                      <w:lang w:eastAsia="zh-CN"/>
                    </w:rPr>
                    <w:t>新建</w:t>
                  </w:r>
                </w:p>
              </w:tc>
            </w:tr>
            <w:tr w14:paraId="6557B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2" w:hRule="atLeast"/>
              </w:trPr>
              <w:tc>
                <w:tcPr>
                  <w:tcW w:w="387" w:type="pct"/>
                  <w:vMerge w:val="continue"/>
                  <w:vAlign w:val="center"/>
                </w:tcPr>
                <w:p w14:paraId="197E852C">
                  <w:pPr>
                    <w:pStyle w:val="287"/>
                    <w:framePr w:hSpace="0" w:wrap="auto" w:vAnchor="margin" w:hAnchor="text" w:xAlign="left" w:yAlign="inline"/>
                    <w:rPr>
                      <w:color w:val="auto"/>
                    </w:rPr>
                  </w:pPr>
                </w:p>
              </w:tc>
              <w:tc>
                <w:tcPr>
                  <w:tcW w:w="198" w:type="pct"/>
                  <w:vMerge w:val="restart"/>
                  <w:vAlign w:val="center"/>
                </w:tcPr>
                <w:p w14:paraId="464EEC11">
                  <w:pPr>
                    <w:pStyle w:val="287"/>
                    <w:framePr w:hSpace="0" w:wrap="auto" w:vAnchor="margin" w:hAnchor="text" w:xAlign="left" w:yAlign="inline"/>
                    <w:rPr>
                      <w:color w:val="auto"/>
                    </w:rPr>
                  </w:pPr>
                  <w:r>
                    <w:rPr>
                      <w:color w:val="auto"/>
                    </w:rPr>
                    <w:t>固废</w:t>
                  </w:r>
                </w:p>
                <w:p w14:paraId="6532002B">
                  <w:pPr>
                    <w:pStyle w:val="287"/>
                    <w:framePr w:hSpace="0" w:wrap="auto" w:vAnchor="margin" w:hAnchor="text" w:xAlign="left" w:yAlign="inline"/>
                    <w:rPr>
                      <w:color w:val="auto"/>
                    </w:rPr>
                  </w:pPr>
                  <w:r>
                    <w:rPr>
                      <w:color w:val="auto"/>
                    </w:rPr>
                    <w:t>治理</w:t>
                  </w:r>
                </w:p>
              </w:tc>
              <w:tc>
                <w:tcPr>
                  <w:tcW w:w="502" w:type="pct"/>
                  <w:vAlign w:val="center"/>
                </w:tcPr>
                <w:p w14:paraId="3FC09D33">
                  <w:pPr>
                    <w:pStyle w:val="287"/>
                    <w:framePr w:hSpace="0" w:wrap="auto" w:vAnchor="margin" w:hAnchor="text" w:xAlign="left" w:yAlign="inline"/>
                    <w:rPr>
                      <w:rFonts w:hint="eastAsia" w:ascii="Times New Roman" w:hAnsi="Times New Roman" w:eastAsia="宋体" w:cs="宋体"/>
                      <w:color w:val="auto"/>
                      <w:lang w:eastAsia="zh-CN"/>
                    </w:rPr>
                  </w:pPr>
                  <w:r>
                    <w:rPr>
                      <w:rFonts w:hint="eastAsia" w:ascii="Times New Roman" w:hAnsi="Times New Roman" w:eastAsia="宋体" w:cs="宋体"/>
                      <w:color w:val="auto"/>
                      <w:lang w:val="en-US" w:eastAsia="zh-CN"/>
                    </w:rPr>
                    <w:t>矸石</w:t>
                  </w:r>
                </w:p>
              </w:tc>
              <w:tc>
                <w:tcPr>
                  <w:tcW w:w="3372" w:type="pct"/>
                  <w:vAlign w:val="center"/>
                </w:tcPr>
                <w:p w14:paraId="7102C01A">
                  <w:pPr>
                    <w:pStyle w:val="287"/>
                    <w:framePr w:hSpace="0" w:wrap="auto" w:vAnchor="margin" w:hAnchor="text" w:xAlign="left" w:yAlign="inline"/>
                    <w:rPr>
                      <w:rFonts w:hint="eastAsia" w:ascii="Times New Roman" w:hAnsi="Times New Roman" w:eastAsia="宋体" w:cs="宋体"/>
                      <w:color w:val="auto"/>
                      <w:lang w:eastAsia="zh-CN"/>
                    </w:rPr>
                  </w:pPr>
                  <w:r>
                    <w:rPr>
                      <w:rFonts w:hint="default" w:ascii="Times New Roman" w:hAnsi="Times New Roman" w:eastAsia="宋体" w:cs="Times New Roman"/>
                      <w:color w:val="auto"/>
                      <w:sz w:val="18"/>
                      <w:szCs w:val="18"/>
                      <w:highlight w:val="none"/>
                    </w:rPr>
                    <w:t>暂存于矸石</w:t>
                  </w:r>
                  <w:r>
                    <w:rPr>
                      <w:rFonts w:hint="eastAsia" w:ascii="Times New Roman" w:hAnsi="Times New Roman" w:eastAsia="宋体" w:cs="Times New Roman"/>
                      <w:color w:val="auto"/>
                      <w:sz w:val="18"/>
                      <w:szCs w:val="18"/>
                      <w:highlight w:val="none"/>
                      <w:lang w:eastAsia="zh-CN"/>
                    </w:rPr>
                    <w:t>堆棚</w:t>
                  </w:r>
                  <w:r>
                    <w:rPr>
                      <w:rFonts w:hint="default" w:ascii="Times New Roman" w:hAnsi="Times New Roman" w:eastAsia="宋体" w:cs="Times New Roman"/>
                      <w:color w:val="auto"/>
                      <w:sz w:val="18"/>
                      <w:szCs w:val="18"/>
                      <w:highlight w:val="none"/>
                    </w:rPr>
                    <w:t>，</w:t>
                  </w:r>
                  <w:r>
                    <w:rPr>
                      <w:rFonts w:hint="eastAsia" w:ascii="Times New Roman" w:hAnsi="Times New Roman" w:eastAsia="宋体" w:cs="Times New Roman"/>
                      <w:color w:val="auto"/>
                      <w:sz w:val="18"/>
                      <w:szCs w:val="18"/>
                      <w:highlight w:val="none"/>
                      <w:lang w:eastAsia="zh-CN"/>
                    </w:rPr>
                    <w:t>作为胶凝材料原料交由淮南舜岳水泥有限责任公司生产使用</w:t>
                  </w:r>
                  <w:r>
                    <w:rPr>
                      <w:rFonts w:hint="default" w:ascii="Times New Roman" w:hAnsi="Times New Roman" w:eastAsia="宋体" w:cs="Times New Roman"/>
                      <w:color w:val="auto"/>
                      <w:sz w:val="18"/>
                      <w:szCs w:val="18"/>
                      <w:highlight w:val="none"/>
                    </w:rPr>
                    <w:t>；</w:t>
                  </w:r>
                </w:p>
              </w:tc>
              <w:tc>
                <w:tcPr>
                  <w:tcW w:w="539" w:type="pct"/>
                  <w:vAlign w:val="center"/>
                </w:tcPr>
                <w:p w14:paraId="02B6BB2D">
                  <w:pPr>
                    <w:pStyle w:val="287"/>
                    <w:framePr w:hSpace="0" w:wrap="auto" w:vAnchor="margin" w:hAnchor="text" w:xAlign="left" w:yAlign="inline"/>
                    <w:rPr>
                      <w:color w:val="auto"/>
                    </w:rPr>
                  </w:pPr>
                  <w:r>
                    <w:rPr>
                      <w:rFonts w:hint="eastAsia"/>
                      <w:color w:val="auto"/>
                      <w:lang w:eastAsia="zh-CN"/>
                    </w:rPr>
                    <w:t>新建</w:t>
                  </w:r>
                </w:p>
              </w:tc>
            </w:tr>
            <w:tr w14:paraId="27CB5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56" w:hRule="atLeast"/>
              </w:trPr>
              <w:tc>
                <w:tcPr>
                  <w:tcW w:w="387" w:type="pct"/>
                  <w:vMerge w:val="continue"/>
                  <w:vAlign w:val="center"/>
                </w:tcPr>
                <w:p w14:paraId="2D40C0C0">
                  <w:pPr>
                    <w:pStyle w:val="287"/>
                    <w:framePr w:hSpace="0" w:wrap="auto" w:vAnchor="margin" w:hAnchor="text" w:xAlign="left" w:yAlign="inline"/>
                    <w:rPr>
                      <w:color w:val="auto"/>
                    </w:rPr>
                  </w:pPr>
                </w:p>
              </w:tc>
              <w:tc>
                <w:tcPr>
                  <w:tcW w:w="198" w:type="pct"/>
                  <w:vMerge w:val="continue"/>
                  <w:vAlign w:val="center"/>
                </w:tcPr>
                <w:p w14:paraId="626BA08F">
                  <w:pPr>
                    <w:pStyle w:val="287"/>
                    <w:framePr w:hSpace="0" w:wrap="auto" w:vAnchor="margin" w:hAnchor="text" w:xAlign="left" w:yAlign="inline"/>
                    <w:rPr>
                      <w:color w:val="auto"/>
                    </w:rPr>
                  </w:pPr>
                </w:p>
              </w:tc>
              <w:tc>
                <w:tcPr>
                  <w:tcW w:w="502" w:type="pct"/>
                  <w:vAlign w:val="center"/>
                </w:tcPr>
                <w:p w14:paraId="3A2579A4">
                  <w:pPr>
                    <w:pStyle w:val="287"/>
                    <w:framePr w:hSpace="0" w:wrap="auto" w:vAnchor="margin" w:hAnchor="text" w:xAlign="left" w:yAlign="inline"/>
                    <w:rPr>
                      <w:rFonts w:hint="eastAsia" w:eastAsia="宋体"/>
                      <w:color w:val="auto"/>
                      <w:lang w:eastAsia="zh-CN"/>
                    </w:rPr>
                  </w:pPr>
                  <w:r>
                    <w:rPr>
                      <w:rFonts w:hint="eastAsia"/>
                      <w:color w:val="auto"/>
                      <w:lang w:eastAsia="zh-CN"/>
                    </w:rPr>
                    <w:t>煤泥</w:t>
                  </w:r>
                </w:p>
              </w:tc>
              <w:tc>
                <w:tcPr>
                  <w:tcW w:w="3372" w:type="pct"/>
                  <w:vAlign w:val="center"/>
                </w:tcPr>
                <w:p w14:paraId="3D7DA1CF">
                  <w:pPr>
                    <w:pStyle w:val="287"/>
                    <w:framePr w:hSpace="0" w:wrap="auto" w:vAnchor="margin" w:hAnchor="text" w:xAlign="left" w:yAlign="inline"/>
                    <w:rPr>
                      <w:rFonts w:hint="eastAsia"/>
                      <w:color w:val="auto"/>
                      <w:lang w:val="en-US" w:eastAsia="zh-CN"/>
                    </w:rPr>
                  </w:pPr>
                  <w:r>
                    <w:rPr>
                      <w:rFonts w:hint="default" w:ascii="Times New Roman" w:hAnsi="Times New Roman" w:eastAsia="宋体" w:cs="Times New Roman"/>
                      <w:color w:val="auto"/>
                      <w:sz w:val="18"/>
                      <w:szCs w:val="18"/>
                      <w:highlight w:val="none"/>
                      <w:lang w:eastAsia="zh-CN"/>
                    </w:rPr>
                    <w:t>产生的煤泥</w:t>
                  </w:r>
                  <w:r>
                    <w:rPr>
                      <w:rFonts w:hint="eastAsia" w:cs="Times New Roman"/>
                      <w:color w:val="auto"/>
                      <w:sz w:val="18"/>
                      <w:szCs w:val="18"/>
                      <w:highlight w:val="none"/>
                      <w:lang w:eastAsia="zh-CN"/>
                    </w:rPr>
                    <w:t>统一收集到移动式储泥箱内，临时存放在生产车间，每日清理，</w:t>
                  </w:r>
                  <w:r>
                    <w:rPr>
                      <w:rFonts w:hint="default" w:ascii="Times New Roman" w:hAnsi="Times New Roman" w:eastAsia="宋体" w:cs="Times New Roman"/>
                      <w:color w:val="auto"/>
                      <w:sz w:val="18"/>
                      <w:szCs w:val="18"/>
                      <w:highlight w:val="none"/>
                      <w:lang w:eastAsia="zh-CN"/>
                    </w:rPr>
                    <w:t>装车</w:t>
                  </w:r>
                  <w:r>
                    <w:rPr>
                      <w:rFonts w:hint="eastAsia" w:ascii="Times New Roman" w:hAnsi="Times New Roman" w:eastAsia="宋体" w:cs="Times New Roman"/>
                      <w:color w:val="auto"/>
                      <w:sz w:val="18"/>
                      <w:szCs w:val="18"/>
                      <w:highlight w:val="none"/>
                      <w:lang w:eastAsia="zh-CN"/>
                    </w:rPr>
                    <w:t>交由淮南舜岳水泥有限责任公司综合利用</w:t>
                  </w:r>
                  <w:r>
                    <w:rPr>
                      <w:rFonts w:hint="default" w:ascii="Times New Roman" w:hAnsi="Times New Roman" w:eastAsia="宋体" w:cs="Times New Roman"/>
                      <w:color w:val="auto"/>
                      <w:sz w:val="18"/>
                      <w:szCs w:val="18"/>
                      <w:highlight w:val="none"/>
                      <w:lang w:eastAsia="zh-CN"/>
                    </w:rPr>
                    <w:t>，不在厂区</w:t>
                  </w:r>
                  <w:r>
                    <w:rPr>
                      <w:rFonts w:hint="eastAsia" w:cs="Times New Roman"/>
                      <w:color w:val="auto"/>
                      <w:sz w:val="18"/>
                      <w:szCs w:val="18"/>
                      <w:highlight w:val="none"/>
                      <w:lang w:eastAsia="zh-CN"/>
                    </w:rPr>
                    <w:t>内</w:t>
                  </w:r>
                  <w:r>
                    <w:rPr>
                      <w:rFonts w:hint="default" w:ascii="Times New Roman" w:hAnsi="Times New Roman" w:eastAsia="宋体" w:cs="Times New Roman"/>
                      <w:color w:val="auto"/>
                      <w:sz w:val="18"/>
                      <w:szCs w:val="18"/>
                      <w:highlight w:val="none"/>
                      <w:lang w:eastAsia="zh-CN"/>
                    </w:rPr>
                    <w:t>堆存；</w:t>
                  </w:r>
                </w:p>
              </w:tc>
              <w:tc>
                <w:tcPr>
                  <w:tcW w:w="539" w:type="pct"/>
                  <w:vAlign w:val="center"/>
                </w:tcPr>
                <w:p w14:paraId="10466D86">
                  <w:pPr>
                    <w:pStyle w:val="287"/>
                    <w:framePr w:hSpace="0" w:wrap="auto" w:vAnchor="margin" w:hAnchor="text" w:xAlign="left" w:yAlign="inline"/>
                    <w:rPr>
                      <w:rFonts w:hint="eastAsia"/>
                      <w:color w:val="auto"/>
                      <w:lang w:eastAsia="zh-CN"/>
                    </w:rPr>
                  </w:pPr>
                  <w:r>
                    <w:rPr>
                      <w:rFonts w:hint="eastAsia"/>
                      <w:color w:val="auto"/>
                      <w:lang w:eastAsia="zh-CN"/>
                    </w:rPr>
                    <w:t>新建</w:t>
                  </w:r>
                </w:p>
              </w:tc>
            </w:tr>
            <w:tr w14:paraId="3F1F2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89" w:hRule="atLeast"/>
              </w:trPr>
              <w:tc>
                <w:tcPr>
                  <w:tcW w:w="387" w:type="pct"/>
                  <w:vMerge w:val="continue"/>
                  <w:vAlign w:val="center"/>
                </w:tcPr>
                <w:p w14:paraId="2C11694C">
                  <w:pPr>
                    <w:pStyle w:val="287"/>
                    <w:framePr w:hSpace="0" w:wrap="auto" w:vAnchor="margin" w:hAnchor="text" w:xAlign="left" w:yAlign="inline"/>
                    <w:rPr>
                      <w:color w:val="auto"/>
                    </w:rPr>
                  </w:pPr>
                </w:p>
              </w:tc>
              <w:tc>
                <w:tcPr>
                  <w:tcW w:w="198" w:type="pct"/>
                  <w:vMerge w:val="continue"/>
                  <w:vAlign w:val="center"/>
                </w:tcPr>
                <w:p w14:paraId="4333A949">
                  <w:pPr>
                    <w:pStyle w:val="287"/>
                    <w:framePr w:hSpace="0" w:wrap="auto" w:vAnchor="margin" w:hAnchor="text" w:xAlign="left" w:yAlign="inline"/>
                    <w:rPr>
                      <w:color w:val="auto"/>
                    </w:rPr>
                  </w:pPr>
                </w:p>
              </w:tc>
              <w:tc>
                <w:tcPr>
                  <w:tcW w:w="502" w:type="pct"/>
                  <w:vAlign w:val="center"/>
                </w:tcPr>
                <w:p w14:paraId="54077B0C">
                  <w:pPr>
                    <w:pStyle w:val="287"/>
                    <w:framePr w:hSpace="0" w:wrap="auto" w:vAnchor="margin" w:hAnchor="text" w:xAlign="left" w:yAlign="inline"/>
                    <w:rPr>
                      <w:rFonts w:hint="eastAsia" w:eastAsia="宋体"/>
                      <w:color w:val="auto"/>
                      <w:lang w:eastAsia="zh-CN"/>
                    </w:rPr>
                  </w:pPr>
                  <w:r>
                    <w:rPr>
                      <w:rFonts w:hint="eastAsia"/>
                      <w:color w:val="auto"/>
                      <w:lang w:eastAsia="zh-CN"/>
                    </w:rPr>
                    <w:t>危险废物</w:t>
                  </w:r>
                </w:p>
              </w:tc>
              <w:tc>
                <w:tcPr>
                  <w:tcW w:w="3372" w:type="pct"/>
                  <w:vAlign w:val="center"/>
                </w:tcPr>
                <w:p w14:paraId="64EA8016">
                  <w:pPr>
                    <w:pStyle w:val="287"/>
                    <w:framePr w:hSpace="0" w:wrap="auto" w:vAnchor="margin" w:hAnchor="text" w:xAlign="left" w:yAlign="inline"/>
                    <w:rPr>
                      <w:rFonts w:hint="default"/>
                      <w:color w:val="auto"/>
                      <w:lang w:val="en-US" w:eastAsia="zh-CN"/>
                    </w:rPr>
                  </w:pPr>
                  <w:r>
                    <w:rPr>
                      <w:rFonts w:hint="eastAsia"/>
                      <w:color w:val="auto"/>
                      <w:lang w:val="en-US" w:eastAsia="zh-CN"/>
                    </w:rPr>
                    <w:t>建设一座10m</w:t>
                  </w:r>
                  <w:r>
                    <w:rPr>
                      <w:rFonts w:hint="eastAsia"/>
                      <w:color w:val="auto"/>
                      <w:vertAlign w:val="superscript"/>
                      <w:lang w:val="en-US" w:eastAsia="zh-CN"/>
                    </w:rPr>
                    <w:t>2</w:t>
                  </w:r>
                  <w:r>
                    <w:rPr>
                      <w:rFonts w:hint="eastAsia"/>
                      <w:color w:val="auto"/>
                      <w:lang w:val="en-US" w:eastAsia="zh-CN"/>
                    </w:rPr>
                    <w:t>危废暂存间，不同危废分类存放，定期交由有资质单位处置。</w:t>
                  </w:r>
                </w:p>
              </w:tc>
              <w:tc>
                <w:tcPr>
                  <w:tcW w:w="539" w:type="pct"/>
                  <w:vAlign w:val="center"/>
                </w:tcPr>
                <w:p w14:paraId="4A76901E">
                  <w:pPr>
                    <w:pStyle w:val="287"/>
                    <w:framePr w:hSpace="0" w:wrap="auto" w:vAnchor="margin" w:hAnchor="text" w:xAlign="left" w:yAlign="inline"/>
                    <w:rPr>
                      <w:rFonts w:hint="eastAsia"/>
                      <w:color w:val="auto"/>
                      <w:lang w:eastAsia="zh-CN"/>
                    </w:rPr>
                  </w:pPr>
                  <w:r>
                    <w:rPr>
                      <w:rFonts w:hint="eastAsia"/>
                      <w:color w:val="auto"/>
                      <w:lang w:eastAsia="zh-CN"/>
                    </w:rPr>
                    <w:t>新建</w:t>
                  </w:r>
                </w:p>
              </w:tc>
            </w:tr>
            <w:tr w14:paraId="490A5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23" w:hRule="atLeast"/>
              </w:trPr>
              <w:tc>
                <w:tcPr>
                  <w:tcW w:w="387" w:type="pct"/>
                  <w:vMerge w:val="continue"/>
                  <w:vAlign w:val="center"/>
                </w:tcPr>
                <w:p w14:paraId="7C783FDA">
                  <w:pPr>
                    <w:pStyle w:val="287"/>
                    <w:framePr w:hSpace="0" w:wrap="auto" w:vAnchor="margin" w:hAnchor="text" w:xAlign="left" w:yAlign="inline"/>
                    <w:rPr>
                      <w:color w:val="auto"/>
                    </w:rPr>
                  </w:pPr>
                </w:p>
              </w:tc>
              <w:tc>
                <w:tcPr>
                  <w:tcW w:w="198" w:type="pct"/>
                  <w:vMerge w:val="continue"/>
                  <w:vAlign w:val="center"/>
                </w:tcPr>
                <w:p w14:paraId="053AC595">
                  <w:pPr>
                    <w:pStyle w:val="287"/>
                    <w:framePr w:hSpace="0" w:wrap="auto" w:vAnchor="margin" w:hAnchor="text" w:xAlign="left" w:yAlign="inline"/>
                    <w:rPr>
                      <w:color w:val="auto"/>
                    </w:rPr>
                  </w:pPr>
                </w:p>
              </w:tc>
              <w:tc>
                <w:tcPr>
                  <w:tcW w:w="502" w:type="pct"/>
                  <w:vAlign w:val="center"/>
                </w:tcPr>
                <w:p w14:paraId="08043876">
                  <w:pPr>
                    <w:pStyle w:val="287"/>
                    <w:framePr w:hSpace="0" w:wrap="auto" w:vAnchor="margin" w:hAnchor="text" w:xAlign="left" w:yAlign="inline"/>
                    <w:rPr>
                      <w:rFonts w:hint="eastAsia" w:ascii="Times New Roman" w:hAnsi="Times New Roman" w:eastAsia="宋体" w:cs="宋体"/>
                      <w:color w:val="auto"/>
                      <w:lang w:eastAsia="zh-CN"/>
                    </w:rPr>
                  </w:pPr>
                  <w:r>
                    <w:rPr>
                      <w:rFonts w:hint="eastAsia" w:ascii="Times New Roman" w:hAnsi="Times New Roman" w:eastAsia="宋体" w:cs="宋体"/>
                      <w:color w:val="auto"/>
                      <w:lang w:eastAsia="zh-CN"/>
                    </w:rPr>
                    <w:t>生活垃圾</w:t>
                  </w:r>
                </w:p>
              </w:tc>
              <w:tc>
                <w:tcPr>
                  <w:tcW w:w="3372" w:type="pct"/>
                  <w:vAlign w:val="center"/>
                </w:tcPr>
                <w:p w14:paraId="52A09CED">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在场地设垃圾桶收集，定期运往环卫部门指定地</w:t>
                  </w:r>
                  <w:r>
                    <w:rPr>
                      <w:rFonts w:hint="default" w:ascii="Times New Roman" w:hAnsi="Times New Roman" w:eastAsia="宋体" w:cs="宋体"/>
                      <w:color w:val="auto"/>
                      <w:lang w:val="en-US" w:eastAsia="zh-CN"/>
                    </w:rPr>
                    <w:t>点，由环卫部门统一处理。</w:t>
                  </w:r>
                </w:p>
              </w:tc>
              <w:tc>
                <w:tcPr>
                  <w:tcW w:w="539" w:type="pct"/>
                  <w:vAlign w:val="center"/>
                </w:tcPr>
                <w:p w14:paraId="7DE3218E">
                  <w:pPr>
                    <w:pStyle w:val="287"/>
                    <w:framePr w:hSpace="0" w:wrap="auto" w:vAnchor="margin" w:hAnchor="text" w:xAlign="left" w:yAlign="inline"/>
                    <w:rPr>
                      <w:rFonts w:hint="eastAsia" w:ascii="Times New Roman" w:hAnsi="Times New Roman" w:eastAsia="宋体" w:cs="宋体"/>
                      <w:color w:val="auto"/>
                      <w:lang w:eastAsia="zh-CN"/>
                    </w:rPr>
                  </w:pPr>
                  <w:r>
                    <w:rPr>
                      <w:rFonts w:hint="eastAsia"/>
                      <w:color w:val="auto"/>
                      <w:lang w:eastAsia="zh-CN"/>
                    </w:rPr>
                    <w:t>新建</w:t>
                  </w:r>
                </w:p>
              </w:tc>
            </w:tr>
            <w:tr w14:paraId="2EB55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23" w:hRule="atLeast"/>
              </w:trPr>
              <w:tc>
                <w:tcPr>
                  <w:tcW w:w="387" w:type="pct"/>
                  <w:vMerge w:val="continue"/>
                  <w:vAlign w:val="center"/>
                </w:tcPr>
                <w:p w14:paraId="6D75E926">
                  <w:pPr>
                    <w:pStyle w:val="287"/>
                    <w:framePr w:hSpace="0" w:wrap="auto" w:vAnchor="margin" w:hAnchor="text" w:xAlign="left" w:yAlign="inline"/>
                    <w:rPr>
                      <w:color w:val="auto"/>
                    </w:rPr>
                  </w:pPr>
                </w:p>
              </w:tc>
              <w:tc>
                <w:tcPr>
                  <w:tcW w:w="700" w:type="pct"/>
                  <w:gridSpan w:val="2"/>
                  <w:vAlign w:val="center"/>
                </w:tcPr>
                <w:p w14:paraId="5CB2B5A3">
                  <w:pPr>
                    <w:pStyle w:val="287"/>
                    <w:framePr w:hSpace="0" w:wrap="auto" w:vAnchor="margin" w:hAnchor="text" w:xAlign="left" w:yAlign="inline"/>
                    <w:rPr>
                      <w:rFonts w:hint="eastAsia" w:ascii="Times New Roman" w:hAnsi="Times New Roman" w:eastAsia="宋体" w:cs="宋体"/>
                      <w:color w:val="auto"/>
                      <w:lang w:eastAsia="zh-CN"/>
                    </w:rPr>
                  </w:pPr>
                  <w:r>
                    <w:rPr>
                      <w:rFonts w:hint="eastAsia" w:cs="宋体"/>
                      <w:color w:val="auto"/>
                      <w:lang w:eastAsia="zh-CN"/>
                    </w:rPr>
                    <w:t>事故水池</w:t>
                  </w:r>
                </w:p>
              </w:tc>
              <w:tc>
                <w:tcPr>
                  <w:tcW w:w="3372" w:type="pct"/>
                  <w:vAlign w:val="center"/>
                </w:tcPr>
                <w:p w14:paraId="0BC93088">
                  <w:pPr>
                    <w:pStyle w:val="287"/>
                    <w:framePr w:hSpace="0" w:wrap="auto" w:vAnchor="margin" w:hAnchor="text" w:xAlign="left" w:yAlign="inline"/>
                    <w:rPr>
                      <w:rFonts w:hint="eastAsia" w:ascii="Times New Roman" w:hAnsi="Times New Roman" w:eastAsia="宋体" w:cs="宋体"/>
                      <w:color w:val="auto"/>
                      <w:lang w:val="en-US" w:eastAsia="zh-CN"/>
                    </w:rPr>
                  </w:pPr>
                  <w:r>
                    <w:rPr>
                      <w:rFonts w:hint="default" w:ascii="Times New Roman" w:hAnsi="Times New Roman" w:eastAsia="宋体" w:cs="Times New Roman"/>
                      <w:color w:val="auto"/>
                      <w:sz w:val="18"/>
                      <w:szCs w:val="18"/>
                      <w:highlight w:val="none"/>
                    </w:rPr>
                    <w:t>位于</w:t>
                  </w:r>
                  <w:r>
                    <w:rPr>
                      <w:rFonts w:hint="default" w:ascii="Times New Roman" w:hAnsi="Times New Roman" w:eastAsia="宋体" w:cs="Times New Roman"/>
                      <w:color w:val="auto"/>
                      <w:sz w:val="18"/>
                      <w:szCs w:val="18"/>
                      <w:highlight w:val="none"/>
                      <w:lang w:val="en-US" w:eastAsia="zh-CN"/>
                    </w:rPr>
                    <w:t>数控跳汰洗选车间南侧</w:t>
                  </w:r>
                  <w:r>
                    <w:rPr>
                      <w:rFonts w:hint="default" w:ascii="Times New Roman" w:hAnsi="Times New Roman" w:eastAsia="宋体" w:cs="Times New Roman"/>
                      <w:color w:val="auto"/>
                      <w:sz w:val="18"/>
                      <w:szCs w:val="18"/>
                      <w:highlight w:val="none"/>
                    </w:rPr>
                    <w:t>，容积为</w:t>
                  </w:r>
                  <w:r>
                    <w:rPr>
                      <w:rFonts w:hint="eastAsia" w:cs="Times New Roman"/>
                      <w:color w:val="auto"/>
                      <w:sz w:val="18"/>
                      <w:szCs w:val="18"/>
                      <w:highlight w:val="none"/>
                      <w:lang w:val="en-US" w:eastAsia="zh-CN"/>
                    </w:rPr>
                    <w:t>15</w:t>
                  </w:r>
                  <w:r>
                    <w:rPr>
                      <w:rFonts w:hint="default" w:ascii="Times New Roman" w:hAnsi="Times New Roman" w:eastAsia="宋体" w:cs="Times New Roman"/>
                      <w:color w:val="auto"/>
                      <w:sz w:val="18"/>
                      <w:szCs w:val="18"/>
                      <w:highlight w:val="none"/>
                    </w:rPr>
                    <w:t>0m</w:t>
                  </w:r>
                  <w:r>
                    <w:rPr>
                      <w:rFonts w:hint="default" w:ascii="Times New Roman" w:hAnsi="Times New Roman" w:eastAsia="宋体" w:cs="Times New Roman"/>
                      <w:color w:val="auto"/>
                      <w:sz w:val="18"/>
                      <w:szCs w:val="18"/>
                      <w:highlight w:val="none"/>
                      <w:vertAlign w:val="superscript"/>
                    </w:rPr>
                    <w:t>3</w:t>
                  </w:r>
                  <w:r>
                    <w:rPr>
                      <w:rFonts w:hint="default" w:ascii="Times New Roman" w:hAnsi="Times New Roman" w:eastAsia="宋体" w:cs="Times New Roman"/>
                      <w:color w:val="auto"/>
                      <w:sz w:val="18"/>
                      <w:szCs w:val="18"/>
                      <w:highlight w:val="none"/>
                    </w:rPr>
                    <w:t>。用于设备故障时收纳废水，确保生产过程中的废水闭路循环、零排放。池体做一般防渗处理，防渗技术要求达到等效粘土防渗层Mb≥1.5m，防渗系数≤1.0×10</w:t>
                  </w:r>
                  <w:r>
                    <w:rPr>
                      <w:rFonts w:hint="default" w:ascii="Times New Roman" w:hAnsi="Times New Roman" w:eastAsia="宋体" w:cs="Times New Roman"/>
                      <w:color w:val="auto"/>
                      <w:sz w:val="18"/>
                      <w:szCs w:val="18"/>
                      <w:highlight w:val="none"/>
                      <w:vertAlign w:val="superscript"/>
                    </w:rPr>
                    <w:t>-7</w:t>
                  </w:r>
                  <w:r>
                    <w:rPr>
                      <w:rFonts w:hint="default" w:ascii="Times New Roman" w:hAnsi="Times New Roman" w:eastAsia="宋体" w:cs="Times New Roman"/>
                      <w:color w:val="auto"/>
                      <w:sz w:val="18"/>
                      <w:szCs w:val="18"/>
                      <w:highlight w:val="none"/>
                    </w:rPr>
                    <w:t>cm/s。</w:t>
                  </w:r>
                </w:p>
              </w:tc>
              <w:tc>
                <w:tcPr>
                  <w:tcW w:w="539" w:type="pct"/>
                  <w:vAlign w:val="center"/>
                </w:tcPr>
                <w:p w14:paraId="50623851">
                  <w:pPr>
                    <w:pStyle w:val="287"/>
                    <w:framePr w:hSpace="0" w:wrap="auto" w:vAnchor="margin" w:hAnchor="text" w:xAlign="left" w:yAlign="inline"/>
                    <w:rPr>
                      <w:rFonts w:hint="eastAsia"/>
                      <w:color w:val="auto"/>
                      <w:lang w:eastAsia="zh-CN"/>
                    </w:rPr>
                  </w:pPr>
                  <w:r>
                    <w:rPr>
                      <w:rFonts w:hint="eastAsia"/>
                      <w:color w:val="auto"/>
                      <w:lang w:eastAsia="zh-CN"/>
                    </w:rPr>
                    <w:t>新建</w:t>
                  </w:r>
                </w:p>
              </w:tc>
            </w:tr>
          </w:tbl>
          <w:p w14:paraId="76071B27">
            <w:pPr>
              <w:pStyle w:val="181"/>
              <w:wordWrap/>
              <w:ind w:firstLine="482"/>
              <w:rPr>
                <w:b/>
                <w:color w:val="auto"/>
              </w:rPr>
            </w:pPr>
          </w:p>
          <w:p w14:paraId="221D8BF4">
            <w:pPr>
              <w:pStyle w:val="181"/>
              <w:wordWrap/>
              <w:ind w:firstLine="482"/>
              <w:rPr>
                <w:b/>
                <w:color w:val="auto"/>
              </w:rPr>
            </w:pPr>
            <w:r>
              <w:rPr>
                <w:b/>
                <w:color w:val="auto"/>
              </w:rPr>
              <w:t xml:space="preserve">2.2.4 </w:t>
            </w:r>
            <w:r>
              <w:rPr>
                <w:rFonts w:hint="eastAsia"/>
                <w:b/>
                <w:color w:val="auto"/>
              </w:rPr>
              <w:t>产品方案</w:t>
            </w:r>
          </w:p>
          <w:p w14:paraId="43324B0D">
            <w:pPr>
              <w:pStyle w:val="181"/>
              <w:keepNext w:val="0"/>
              <w:keepLines w:val="0"/>
              <w:pageBreakBefore w:val="0"/>
              <w:widowControl/>
              <w:kinsoku/>
              <w:wordWrap/>
              <w:overflowPunct/>
              <w:topLinePunct w:val="0"/>
              <w:autoSpaceDE/>
              <w:autoSpaceDN/>
              <w:bidi w:val="0"/>
              <w:adjustRightInd/>
              <w:snapToGrid/>
              <w:spacing w:after="0" w:line="460" w:lineRule="exact"/>
              <w:ind w:firstLine="480" w:firstLineChars="200"/>
              <w:textAlignment w:val="auto"/>
              <w:rPr>
                <w:rFonts w:hint="eastAsia" w:eastAsia="宋体"/>
                <w:color w:val="auto"/>
                <w:lang w:val="en-US" w:eastAsia="zh-CN"/>
              </w:rPr>
            </w:pPr>
            <w:r>
              <w:rPr>
                <w:rFonts w:hint="eastAsia"/>
                <w:color w:val="auto"/>
                <w:lang w:val="en-US" w:eastAsia="zh-CN"/>
              </w:rPr>
              <w:t>1、产品方案</w:t>
            </w:r>
          </w:p>
          <w:p w14:paraId="5B83D30B">
            <w:pPr>
              <w:keepNext w:val="0"/>
              <w:keepLines w:val="0"/>
              <w:pageBreakBefore w:val="0"/>
              <w:widowControl/>
              <w:suppressLineNumbers w:val="0"/>
              <w:kinsoku/>
              <w:wordWrap/>
              <w:overflowPunct/>
              <w:topLinePunct w:val="0"/>
              <w:autoSpaceDE/>
              <w:autoSpaceDN/>
              <w:bidi w:val="0"/>
              <w:adjustRightInd/>
              <w:snapToGrid/>
              <w:spacing w:after="0" w:line="460" w:lineRule="exact"/>
              <w:ind w:firstLine="480" w:firstLineChars="200"/>
              <w:jc w:val="left"/>
              <w:textAlignment w:val="auto"/>
              <w:rPr>
                <w:color w:val="auto"/>
              </w:rPr>
            </w:pPr>
            <w:r>
              <w:rPr>
                <w:rFonts w:hint="eastAsia"/>
                <w:color w:val="auto"/>
              </w:rPr>
              <w:t>本项目</w:t>
            </w:r>
            <w:r>
              <w:rPr>
                <w:rFonts w:hint="eastAsia"/>
                <w:color w:val="auto"/>
                <w:lang w:eastAsia="zh-CN"/>
              </w:rPr>
              <w:t>生产规模为年入洗原煤</w:t>
            </w:r>
            <w:r>
              <w:rPr>
                <w:rFonts w:hint="eastAsia"/>
                <w:color w:val="auto"/>
                <w:lang w:val="en-US" w:eastAsia="zh-CN"/>
              </w:rPr>
              <w:t>200万吨，</w:t>
            </w:r>
            <w:r>
              <w:rPr>
                <w:rFonts w:ascii="瀹嬩綋" w:hAnsi="瀹嬩綋" w:eastAsia="瀹嬩綋" w:cs="瀹嬩綋"/>
                <w:color w:val="auto"/>
                <w:kern w:val="0"/>
                <w:sz w:val="24"/>
                <w:szCs w:val="24"/>
                <w:lang w:val="en-US" w:eastAsia="zh-CN" w:bidi="ar"/>
              </w:rPr>
              <w:t>产品主要为精煤</w:t>
            </w:r>
            <w:r>
              <w:rPr>
                <w:rFonts w:hint="eastAsia" w:ascii="瀹嬩綋" w:hAnsi="瀹嬩綋" w:eastAsia="瀹嬩綋" w:cs="瀹嬩綋"/>
                <w:color w:val="auto"/>
                <w:kern w:val="0"/>
                <w:sz w:val="24"/>
                <w:szCs w:val="24"/>
                <w:lang w:val="en-US" w:eastAsia="zh-CN" w:bidi="ar"/>
              </w:rPr>
              <w:t>、</w:t>
            </w:r>
            <w:r>
              <w:rPr>
                <w:rFonts w:ascii="瀹嬩綋" w:hAnsi="瀹嬩綋" w:eastAsia="瀹嬩綋" w:cs="瀹嬩綋"/>
                <w:color w:val="auto"/>
                <w:kern w:val="0"/>
                <w:sz w:val="24"/>
                <w:szCs w:val="24"/>
                <w:lang w:val="en-US" w:eastAsia="zh-CN" w:bidi="ar"/>
              </w:rPr>
              <w:t>中煤</w:t>
            </w:r>
            <w:r>
              <w:rPr>
                <w:rFonts w:hint="eastAsia" w:ascii="瀹嬩綋" w:hAnsi="瀹嬩綋" w:eastAsia="瀹嬩綋" w:cs="瀹嬩綋"/>
                <w:color w:val="auto"/>
                <w:kern w:val="0"/>
                <w:sz w:val="24"/>
                <w:szCs w:val="24"/>
                <w:lang w:val="en-US" w:eastAsia="zh-CN" w:bidi="ar"/>
              </w:rPr>
              <w:t>、</w:t>
            </w:r>
            <w:r>
              <w:rPr>
                <w:rFonts w:ascii="瀹嬩綋" w:hAnsi="瀹嬩綋" w:eastAsia="瀹嬩綋" w:cs="瀹嬩綋"/>
                <w:color w:val="auto"/>
                <w:kern w:val="0"/>
                <w:sz w:val="24"/>
                <w:szCs w:val="24"/>
                <w:lang w:val="en-US" w:eastAsia="zh-CN" w:bidi="ar"/>
              </w:rPr>
              <w:t>矸石和煤泥。</w:t>
            </w:r>
            <w:r>
              <w:rPr>
                <w:rFonts w:hint="eastAsia" w:ascii="瀹嬩綋" w:hAnsi="瀹嬩綋" w:eastAsia="瀹嬩綋" w:cs="瀹嬩綋"/>
                <w:color w:val="auto"/>
                <w:kern w:val="0"/>
                <w:sz w:val="24"/>
                <w:szCs w:val="24"/>
                <w:lang w:val="en-US" w:eastAsia="zh-CN" w:bidi="ar"/>
              </w:rPr>
              <w:t>精煤用于外售；矸石、中煤、煤泥交由淮南舜岳水泥有限责任公司综合利用，其中矸石可作为</w:t>
            </w:r>
            <w:r>
              <w:rPr>
                <w:rFonts w:hint="eastAsia" w:ascii="Times New Roman" w:hAnsi="Times New Roman" w:eastAsia="宋体" w:cs="Times New Roman"/>
                <w:color w:val="auto"/>
                <w:sz w:val="24"/>
                <w:szCs w:val="24"/>
                <w:lang w:val="en-US" w:eastAsia="zh-CN"/>
              </w:rPr>
              <w:t>水泥辅助胶凝材料的生产</w:t>
            </w:r>
            <w:r>
              <w:rPr>
                <w:rFonts w:hint="eastAsia" w:ascii="瀹嬩綋" w:hAnsi="瀹嬩綋" w:eastAsia="瀹嬩綋" w:cs="瀹嬩綋"/>
                <w:color w:val="auto"/>
                <w:kern w:val="0"/>
                <w:sz w:val="24"/>
                <w:szCs w:val="24"/>
                <w:lang w:val="en-US" w:eastAsia="zh-CN" w:bidi="ar"/>
              </w:rPr>
              <w:t>原料，用于淮南舜岳水泥有限责任公司水泥生产的混合材原料。</w:t>
            </w:r>
          </w:p>
          <w:p w14:paraId="35A70A4E">
            <w:pPr>
              <w:pStyle w:val="181"/>
              <w:wordWrap/>
              <w:ind w:firstLine="480"/>
              <w:rPr>
                <w:color w:val="auto"/>
              </w:rPr>
            </w:pPr>
            <w:r>
              <w:rPr>
                <w:color w:val="auto"/>
              </w:rPr>
              <w:t>产品方案及生产规模见</w:t>
            </w:r>
            <w:r>
              <w:rPr>
                <w:rFonts w:hint="eastAsia"/>
                <w:color w:val="auto"/>
                <w:lang w:eastAsia="zh-CN"/>
              </w:rPr>
              <w:t>下表</w:t>
            </w:r>
            <w:r>
              <w:rPr>
                <w:color w:val="auto"/>
              </w:rPr>
              <w:t>。</w:t>
            </w:r>
          </w:p>
          <w:p w14:paraId="6C442561">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2</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3</w:t>
            </w:r>
            <w:r>
              <w:rPr>
                <w:color w:val="auto"/>
              </w:rPr>
              <w:fldChar w:fldCharType="end"/>
            </w:r>
            <w:r>
              <w:rPr>
                <w:color w:val="auto"/>
              </w:rPr>
              <w:t xml:space="preserve"> 项目产品方案及生产规模</w:t>
            </w:r>
          </w:p>
          <w:tbl>
            <w:tblPr>
              <w:tblStyle w:val="5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
              <w:gridCol w:w="1132"/>
              <w:gridCol w:w="1158"/>
              <w:gridCol w:w="797"/>
              <w:gridCol w:w="1083"/>
              <w:gridCol w:w="1027"/>
              <w:gridCol w:w="810"/>
              <w:gridCol w:w="822"/>
              <w:gridCol w:w="1386"/>
            </w:tblGrid>
            <w:tr w14:paraId="3B17E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79" w:type="pct"/>
                  <w:vMerge w:val="restart"/>
                  <w:vAlign w:val="center"/>
                </w:tcPr>
                <w:p w14:paraId="147D4C97">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序号</w:t>
                  </w:r>
                </w:p>
              </w:tc>
              <w:tc>
                <w:tcPr>
                  <w:tcW w:w="650" w:type="pct"/>
                  <w:vMerge w:val="restart"/>
                  <w:vAlign w:val="center"/>
                </w:tcPr>
                <w:p w14:paraId="26F36B3D">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产品名称</w:t>
                  </w:r>
                </w:p>
              </w:tc>
              <w:tc>
                <w:tcPr>
                  <w:tcW w:w="2335" w:type="pct"/>
                  <w:gridSpan w:val="4"/>
                  <w:vAlign w:val="center"/>
                </w:tcPr>
                <w:p w14:paraId="4B6E906D">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数量</w:t>
                  </w:r>
                </w:p>
              </w:tc>
              <w:tc>
                <w:tcPr>
                  <w:tcW w:w="465" w:type="pct"/>
                  <w:vMerge w:val="restart"/>
                  <w:vAlign w:val="center"/>
                </w:tcPr>
                <w:p w14:paraId="77D798F3">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灰分（</w:t>
                  </w:r>
                  <w:r>
                    <w:rPr>
                      <w:rFonts w:hint="default" w:ascii="Times New Roman" w:hAnsi="Times New Roman" w:eastAsia="宋体" w:cs="Times New Roman"/>
                      <w:color w:val="auto"/>
                      <w:sz w:val="18"/>
                      <w:szCs w:val="18"/>
                      <w:lang w:val="en-US" w:eastAsia="zh-CN"/>
                    </w:rPr>
                    <w:t>%</w:t>
                  </w:r>
                  <w:r>
                    <w:rPr>
                      <w:rFonts w:hint="default" w:ascii="Times New Roman" w:hAnsi="Times New Roman" w:eastAsia="宋体" w:cs="Times New Roman"/>
                      <w:color w:val="auto"/>
                      <w:sz w:val="18"/>
                      <w:szCs w:val="18"/>
                      <w:lang w:eastAsia="zh-CN"/>
                    </w:rPr>
                    <w:t>）</w:t>
                  </w:r>
                </w:p>
              </w:tc>
              <w:tc>
                <w:tcPr>
                  <w:tcW w:w="472" w:type="pct"/>
                  <w:vMerge w:val="restart"/>
                  <w:vAlign w:val="center"/>
                </w:tcPr>
                <w:p w14:paraId="0D07D87F">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水分（</w:t>
                  </w:r>
                  <w:r>
                    <w:rPr>
                      <w:rFonts w:hint="default" w:ascii="Times New Roman" w:hAnsi="Times New Roman" w:eastAsia="宋体" w:cs="Times New Roman"/>
                      <w:color w:val="auto"/>
                      <w:sz w:val="18"/>
                      <w:szCs w:val="18"/>
                      <w:lang w:val="en-US" w:eastAsia="zh-CN"/>
                    </w:rPr>
                    <w:t>%</w:t>
                  </w:r>
                  <w:r>
                    <w:rPr>
                      <w:rFonts w:hint="default" w:ascii="Times New Roman" w:hAnsi="Times New Roman" w:eastAsia="宋体" w:cs="Times New Roman"/>
                      <w:color w:val="auto"/>
                      <w:sz w:val="18"/>
                      <w:szCs w:val="18"/>
                      <w:lang w:eastAsia="zh-CN"/>
                    </w:rPr>
                    <w:t>）</w:t>
                  </w:r>
                </w:p>
              </w:tc>
              <w:tc>
                <w:tcPr>
                  <w:tcW w:w="796" w:type="pct"/>
                  <w:vMerge w:val="restart"/>
                  <w:vAlign w:val="center"/>
                </w:tcPr>
                <w:p w14:paraId="29700099">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备注</w:t>
                  </w:r>
                </w:p>
              </w:tc>
            </w:tr>
            <w:tr w14:paraId="6407F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 w:hRule="atLeast"/>
              </w:trPr>
              <w:tc>
                <w:tcPr>
                  <w:tcW w:w="279" w:type="pct"/>
                  <w:vMerge w:val="continue"/>
                  <w:vAlign w:val="center"/>
                </w:tcPr>
                <w:p w14:paraId="22339199">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p>
              </w:tc>
              <w:tc>
                <w:tcPr>
                  <w:tcW w:w="650" w:type="pct"/>
                  <w:vMerge w:val="continue"/>
                  <w:vAlign w:val="center"/>
                </w:tcPr>
                <w:p w14:paraId="771D85F5">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p>
              </w:tc>
              <w:tc>
                <w:tcPr>
                  <w:tcW w:w="665" w:type="pct"/>
                  <w:vAlign w:val="center"/>
                </w:tcPr>
                <w:p w14:paraId="3D12D861">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产率（</w:t>
                  </w:r>
                  <w:r>
                    <w:rPr>
                      <w:rFonts w:hint="default" w:ascii="Times New Roman" w:hAnsi="Times New Roman" w:eastAsia="宋体" w:cs="Times New Roman"/>
                      <w:color w:val="auto"/>
                      <w:sz w:val="18"/>
                      <w:szCs w:val="18"/>
                      <w:lang w:val="en-US" w:eastAsia="zh-CN"/>
                    </w:rPr>
                    <w:t>%</w:t>
                  </w:r>
                  <w:r>
                    <w:rPr>
                      <w:rFonts w:hint="default" w:ascii="Times New Roman" w:hAnsi="Times New Roman" w:eastAsia="宋体" w:cs="Times New Roman"/>
                      <w:color w:val="auto"/>
                      <w:sz w:val="18"/>
                      <w:szCs w:val="18"/>
                      <w:lang w:eastAsia="zh-CN"/>
                    </w:rPr>
                    <w:t>）</w:t>
                  </w:r>
                </w:p>
              </w:tc>
              <w:tc>
                <w:tcPr>
                  <w:tcW w:w="458" w:type="pct"/>
                  <w:vAlign w:val="center"/>
                </w:tcPr>
                <w:p w14:paraId="01C5C2FA">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lang w:val="en-US" w:eastAsia="zh-CN"/>
                    </w:rPr>
                    <w:t>t/h</w:t>
                  </w:r>
                  <w:r>
                    <w:rPr>
                      <w:rFonts w:hint="default" w:ascii="Times New Roman" w:hAnsi="Times New Roman" w:eastAsia="宋体" w:cs="Times New Roman"/>
                      <w:color w:val="auto"/>
                      <w:sz w:val="18"/>
                      <w:szCs w:val="18"/>
                      <w:lang w:eastAsia="zh-CN"/>
                    </w:rPr>
                    <w:t>）</w:t>
                  </w:r>
                </w:p>
              </w:tc>
              <w:tc>
                <w:tcPr>
                  <w:tcW w:w="622" w:type="pct"/>
                  <w:vAlign w:val="center"/>
                </w:tcPr>
                <w:p w14:paraId="19DE41CB">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lang w:val="en-US" w:eastAsia="zh-CN"/>
                    </w:rPr>
                    <w:t>t/d</w:t>
                  </w:r>
                  <w:r>
                    <w:rPr>
                      <w:rFonts w:hint="default" w:ascii="Times New Roman" w:hAnsi="Times New Roman" w:eastAsia="宋体" w:cs="Times New Roman"/>
                      <w:color w:val="auto"/>
                      <w:sz w:val="18"/>
                      <w:szCs w:val="18"/>
                      <w:lang w:eastAsia="zh-CN"/>
                    </w:rPr>
                    <w:t>）</w:t>
                  </w:r>
                </w:p>
              </w:tc>
              <w:tc>
                <w:tcPr>
                  <w:tcW w:w="589" w:type="pct"/>
                  <w:vAlign w:val="center"/>
                </w:tcPr>
                <w:p w14:paraId="7AE96064">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（万</w:t>
                  </w:r>
                  <w:r>
                    <w:rPr>
                      <w:rFonts w:hint="default" w:ascii="Times New Roman" w:hAnsi="Times New Roman" w:eastAsia="宋体" w:cs="Times New Roman"/>
                      <w:color w:val="auto"/>
                      <w:sz w:val="18"/>
                      <w:szCs w:val="18"/>
                      <w:lang w:val="en-US" w:eastAsia="zh-CN"/>
                    </w:rPr>
                    <w:t>t/a</w:t>
                  </w:r>
                  <w:r>
                    <w:rPr>
                      <w:rFonts w:hint="default" w:ascii="Times New Roman" w:hAnsi="Times New Roman" w:eastAsia="宋体" w:cs="Times New Roman"/>
                      <w:color w:val="auto"/>
                      <w:sz w:val="18"/>
                      <w:szCs w:val="18"/>
                      <w:lang w:eastAsia="zh-CN"/>
                    </w:rPr>
                    <w:t>）</w:t>
                  </w:r>
                </w:p>
              </w:tc>
              <w:tc>
                <w:tcPr>
                  <w:tcW w:w="465" w:type="pct"/>
                  <w:vMerge w:val="continue"/>
                  <w:vAlign w:val="center"/>
                </w:tcPr>
                <w:p w14:paraId="4FB45DD6">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p>
              </w:tc>
              <w:tc>
                <w:tcPr>
                  <w:tcW w:w="472" w:type="pct"/>
                  <w:vMerge w:val="continue"/>
                  <w:vAlign w:val="center"/>
                </w:tcPr>
                <w:p w14:paraId="0FB2DA98">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p>
              </w:tc>
              <w:tc>
                <w:tcPr>
                  <w:tcW w:w="796" w:type="pct"/>
                  <w:vMerge w:val="continue"/>
                  <w:vAlign w:val="center"/>
                </w:tcPr>
                <w:p w14:paraId="6A67DAE2">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eastAsia="zh-CN"/>
                    </w:rPr>
                  </w:pPr>
                </w:p>
              </w:tc>
            </w:tr>
            <w:tr w14:paraId="7B301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9" w:type="pct"/>
                  <w:vAlign w:val="center"/>
                </w:tcPr>
                <w:p w14:paraId="164F1C8B">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w:t>
                  </w:r>
                </w:p>
              </w:tc>
              <w:tc>
                <w:tcPr>
                  <w:tcW w:w="650" w:type="pct"/>
                  <w:shd w:val="clear" w:color="auto" w:fill="auto"/>
                  <w:vAlign w:val="center"/>
                </w:tcPr>
                <w:p w14:paraId="4F29A844">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精煤</w:t>
                  </w:r>
                </w:p>
              </w:tc>
              <w:tc>
                <w:tcPr>
                  <w:tcW w:w="665" w:type="pct"/>
                  <w:shd w:val="clear" w:color="auto" w:fill="auto"/>
                  <w:vAlign w:val="center"/>
                </w:tcPr>
                <w:p w14:paraId="4FA6660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20</w:t>
                  </w:r>
                </w:p>
              </w:tc>
              <w:tc>
                <w:tcPr>
                  <w:tcW w:w="458" w:type="pct"/>
                  <w:shd w:val="clear" w:color="auto" w:fill="auto"/>
                  <w:vAlign w:val="center"/>
                </w:tcPr>
                <w:p w14:paraId="681C1B0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66.67</w:t>
                  </w:r>
                </w:p>
              </w:tc>
              <w:tc>
                <w:tcPr>
                  <w:tcW w:w="622" w:type="pct"/>
                  <w:shd w:val="clear" w:color="auto" w:fill="auto"/>
                  <w:vAlign w:val="center"/>
                </w:tcPr>
                <w:p w14:paraId="6C752E7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1333.33</w:t>
                  </w:r>
                </w:p>
              </w:tc>
              <w:tc>
                <w:tcPr>
                  <w:tcW w:w="589" w:type="pct"/>
                  <w:shd w:val="clear" w:color="auto" w:fill="auto"/>
                  <w:vAlign w:val="center"/>
                </w:tcPr>
                <w:p w14:paraId="6457E9B5">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sz w:val="18"/>
                      <w:szCs w:val="18"/>
                      <w:lang w:val="en-US" w:eastAsia="zh-CN"/>
                    </w:rPr>
                    <w:t>40</w:t>
                  </w:r>
                </w:p>
              </w:tc>
              <w:tc>
                <w:tcPr>
                  <w:tcW w:w="465" w:type="pct"/>
                  <w:vAlign w:val="center"/>
                </w:tcPr>
                <w:p w14:paraId="037172CA">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5.22</w:t>
                  </w:r>
                </w:p>
              </w:tc>
              <w:tc>
                <w:tcPr>
                  <w:tcW w:w="472" w:type="pct"/>
                  <w:vAlign w:val="center"/>
                </w:tcPr>
                <w:p w14:paraId="2C4D1BA9">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13.8</w:t>
                  </w:r>
                </w:p>
              </w:tc>
              <w:tc>
                <w:tcPr>
                  <w:tcW w:w="796" w:type="pct"/>
                  <w:vAlign w:val="center"/>
                </w:tcPr>
                <w:p w14:paraId="4C9CC864">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外售</w:t>
                  </w:r>
                </w:p>
              </w:tc>
            </w:tr>
            <w:tr w14:paraId="2FA08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9" w:type="pct"/>
                  <w:vAlign w:val="center"/>
                </w:tcPr>
                <w:p w14:paraId="4E32B0B6">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w:t>
                  </w:r>
                </w:p>
              </w:tc>
              <w:tc>
                <w:tcPr>
                  <w:tcW w:w="650" w:type="pct"/>
                  <w:shd w:val="clear" w:color="auto" w:fill="auto"/>
                  <w:vAlign w:val="center"/>
                </w:tcPr>
                <w:p w14:paraId="7D52D58E">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中煤</w:t>
                  </w:r>
                </w:p>
              </w:tc>
              <w:tc>
                <w:tcPr>
                  <w:tcW w:w="665" w:type="pct"/>
                  <w:shd w:val="clear" w:color="auto" w:fill="auto"/>
                  <w:vAlign w:val="center"/>
                </w:tcPr>
                <w:p w14:paraId="76734A64">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6.5</w:t>
                  </w:r>
                </w:p>
              </w:tc>
              <w:tc>
                <w:tcPr>
                  <w:tcW w:w="458" w:type="pct"/>
                  <w:shd w:val="clear" w:color="auto" w:fill="auto"/>
                  <w:vAlign w:val="center"/>
                </w:tcPr>
                <w:p w14:paraId="6BF00E7B">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21.67</w:t>
                  </w:r>
                </w:p>
              </w:tc>
              <w:tc>
                <w:tcPr>
                  <w:tcW w:w="622" w:type="pct"/>
                  <w:shd w:val="clear" w:color="auto" w:fill="auto"/>
                  <w:vAlign w:val="center"/>
                </w:tcPr>
                <w:p w14:paraId="7EC285C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433.33</w:t>
                  </w:r>
                </w:p>
              </w:tc>
              <w:tc>
                <w:tcPr>
                  <w:tcW w:w="589" w:type="pct"/>
                  <w:shd w:val="clear" w:color="auto" w:fill="auto"/>
                  <w:vAlign w:val="center"/>
                </w:tcPr>
                <w:p w14:paraId="4E5B28FE">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sz w:val="18"/>
                      <w:szCs w:val="18"/>
                      <w:lang w:val="en-US" w:eastAsia="zh-CN"/>
                    </w:rPr>
                    <w:t>13</w:t>
                  </w:r>
                </w:p>
              </w:tc>
              <w:tc>
                <w:tcPr>
                  <w:tcW w:w="465" w:type="pct"/>
                  <w:vAlign w:val="center"/>
                </w:tcPr>
                <w:p w14:paraId="6F746224">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64.3</w:t>
                  </w:r>
                </w:p>
              </w:tc>
              <w:tc>
                <w:tcPr>
                  <w:tcW w:w="472" w:type="pct"/>
                  <w:vAlign w:val="center"/>
                </w:tcPr>
                <w:p w14:paraId="7CB6029E">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12.6</w:t>
                  </w:r>
                </w:p>
              </w:tc>
              <w:tc>
                <w:tcPr>
                  <w:tcW w:w="796" w:type="pct"/>
                  <w:vMerge w:val="restart"/>
                  <w:vAlign w:val="center"/>
                </w:tcPr>
                <w:p w14:paraId="3A1B7B2A">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淮南舜岳水泥有限责任公司综合利用</w:t>
                  </w:r>
                </w:p>
              </w:tc>
            </w:tr>
            <w:tr w14:paraId="2D858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9" w:type="pct"/>
                  <w:vAlign w:val="center"/>
                </w:tcPr>
                <w:p w14:paraId="2FBE8886">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w:t>
                  </w:r>
                </w:p>
              </w:tc>
              <w:tc>
                <w:tcPr>
                  <w:tcW w:w="650" w:type="pct"/>
                  <w:shd w:val="clear" w:color="auto" w:fill="auto"/>
                  <w:vAlign w:val="center"/>
                </w:tcPr>
                <w:p w14:paraId="0E6C7D8F">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矸石/胶凝材料原料</w:t>
                  </w:r>
                </w:p>
              </w:tc>
              <w:tc>
                <w:tcPr>
                  <w:tcW w:w="665" w:type="pct"/>
                  <w:shd w:val="clear" w:color="auto" w:fill="auto"/>
                  <w:vAlign w:val="center"/>
                </w:tcPr>
                <w:p w14:paraId="00E36709">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67</w:t>
                  </w:r>
                </w:p>
              </w:tc>
              <w:tc>
                <w:tcPr>
                  <w:tcW w:w="458" w:type="pct"/>
                  <w:shd w:val="clear" w:color="auto" w:fill="auto"/>
                  <w:vAlign w:val="center"/>
                </w:tcPr>
                <w:p w14:paraId="26AD6FB2">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223.33</w:t>
                  </w:r>
                </w:p>
              </w:tc>
              <w:tc>
                <w:tcPr>
                  <w:tcW w:w="622" w:type="pct"/>
                  <w:shd w:val="clear" w:color="auto" w:fill="auto"/>
                  <w:vAlign w:val="center"/>
                </w:tcPr>
                <w:p w14:paraId="7FA5EB11">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4466.67</w:t>
                  </w:r>
                </w:p>
              </w:tc>
              <w:tc>
                <w:tcPr>
                  <w:tcW w:w="589" w:type="pct"/>
                  <w:shd w:val="clear" w:color="auto" w:fill="auto"/>
                  <w:vAlign w:val="center"/>
                </w:tcPr>
                <w:p w14:paraId="0D890900">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sz w:val="18"/>
                      <w:szCs w:val="18"/>
                      <w:lang w:val="en-US" w:eastAsia="zh-CN"/>
                    </w:rPr>
                    <w:t>134</w:t>
                  </w:r>
                </w:p>
              </w:tc>
              <w:tc>
                <w:tcPr>
                  <w:tcW w:w="465" w:type="pct"/>
                  <w:vAlign w:val="center"/>
                </w:tcPr>
                <w:p w14:paraId="1A3F0716">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86.7</w:t>
                  </w:r>
                </w:p>
              </w:tc>
              <w:tc>
                <w:tcPr>
                  <w:tcW w:w="472" w:type="pct"/>
                  <w:vAlign w:val="center"/>
                </w:tcPr>
                <w:p w14:paraId="2FC65CB5">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6.2</w:t>
                  </w:r>
                </w:p>
              </w:tc>
              <w:tc>
                <w:tcPr>
                  <w:tcW w:w="796" w:type="pct"/>
                  <w:vMerge w:val="continue"/>
                  <w:vAlign w:val="center"/>
                </w:tcPr>
                <w:p w14:paraId="4B5001C2">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rPr>
                  </w:pPr>
                </w:p>
              </w:tc>
            </w:tr>
            <w:tr w14:paraId="39ABB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9" w:type="pct"/>
                  <w:vAlign w:val="center"/>
                </w:tcPr>
                <w:p w14:paraId="5931A131">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w:t>
                  </w:r>
                </w:p>
              </w:tc>
              <w:tc>
                <w:tcPr>
                  <w:tcW w:w="650" w:type="pct"/>
                  <w:shd w:val="clear" w:color="auto" w:fill="auto"/>
                  <w:vAlign w:val="center"/>
                </w:tcPr>
                <w:p w14:paraId="5565A754">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煤泥</w:t>
                  </w:r>
                </w:p>
              </w:tc>
              <w:tc>
                <w:tcPr>
                  <w:tcW w:w="665" w:type="pct"/>
                  <w:shd w:val="clear" w:color="auto" w:fill="auto"/>
                  <w:vAlign w:val="center"/>
                </w:tcPr>
                <w:p w14:paraId="33CE132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6.5</w:t>
                  </w:r>
                </w:p>
              </w:tc>
              <w:tc>
                <w:tcPr>
                  <w:tcW w:w="458" w:type="pct"/>
                  <w:shd w:val="clear" w:color="auto" w:fill="auto"/>
                  <w:vAlign w:val="center"/>
                </w:tcPr>
                <w:p w14:paraId="2DA2C5E3">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21.67</w:t>
                  </w:r>
                </w:p>
              </w:tc>
              <w:tc>
                <w:tcPr>
                  <w:tcW w:w="622" w:type="pct"/>
                  <w:shd w:val="clear" w:color="auto" w:fill="auto"/>
                  <w:vAlign w:val="center"/>
                </w:tcPr>
                <w:p w14:paraId="48FE05C6">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433.33</w:t>
                  </w:r>
                </w:p>
              </w:tc>
              <w:tc>
                <w:tcPr>
                  <w:tcW w:w="589" w:type="pct"/>
                  <w:shd w:val="clear" w:color="auto" w:fill="auto"/>
                  <w:vAlign w:val="center"/>
                </w:tcPr>
                <w:p w14:paraId="58D37924">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bidi="ar-SA"/>
                    </w:rPr>
                  </w:pPr>
                  <w:r>
                    <w:rPr>
                      <w:rFonts w:hint="default" w:ascii="Times New Roman" w:hAnsi="Times New Roman" w:eastAsia="宋体" w:cs="Times New Roman"/>
                      <w:color w:val="auto"/>
                      <w:sz w:val="18"/>
                      <w:szCs w:val="18"/>
                      <w:lang w:val="en-US" w:eastAsia="zh-CN"/>
                    </w:rPr>
                    <w:t>13</w:t>
                  </w:r>
                </w:p>
              </w:tc>
              <w:tc>
                <w:tcPr>
                  <w:tcW w:w="465" w:type="pct"/>
                  <w:vAlign w:val="center"/>
                </w:tcPr>
                <w:p w14:paraId="76B75CFC">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69.6</w:t>
                  </w:r>
                </w:p>
              </w:tc>
              <w:tc>
                <w:tcPr>
                  <w:tcW w:w="472" w:type="pct"/>
                  <w:vAlign w:val="center"/>
                </w:tcPr>
                <w:p w14:paraId="082B2E86">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24.7</w:t>
                  </w:r>
                </w:p>
              </w:tc>
              <w:tc>
                <w:tcPr>
                  <w:tcW w:w="796" w:type="pct"/>
                  <w:vMerge w:val="continue"/>
                  <w:vAlign w:val="center"/>
                </w:tcPr>
                <w:p w14:paraId="18BEE201">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rPr>
                  </w:pPr>
                </w:p>
              </w:tc>
            </w:tr>
            <w:tr w14:paraId="16F62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29" w:type="pct"/>
                  <w:gridSpan w:val="2"/>
                  <w:vAlign w:val="center"/>
                </w:tcPr>
                <w:p w14:paraId="1B152B0E">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合计</w:t>
                  </w:r>
                </w:p>
              </w:tc>
              <w:tc>
                <w:tcPr>
                  <w:tcW w:w="665" w:type="pct"/>
                  <w:shd w:val="clear" w:color="auto" w:fill="auto"/>
                  <w:vAlign w:val="center"/>
                </w:tcPr>
                <w:p w14:paraId="6018F7D0">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100</w:t>
                  </w:r>
                </w:p>
              </w:tc>
              <w:tc>
                <w:tcPr>
                  <w:tcW w:w="458" w:type="pct"/>
                  <w:shd w:val="clear" w:color="auto" w:fill="auto"/>
                  <w:vAlign w:val="center"/>
                </w:tcPr>
                <w:p w14:paraId="27CE7B18">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333.33</w:t>
                  </w:r>
                </w:p>
              </w:tc>
              <w:tc>
                <w:tcPr>
                  <w:tcW w:w="622" w:type="pct"/>
                  <w:shd w:val="clear" w:color="auto" w:fill="auto"/>
                  <w:vAlign w:val="center"/>
                </w:tcPr>
                <w:p w14:paraId="0B9F30F0">
                  <w:pPr>
                    <w:keepNext w:val="0"/>
                    <w:keepLines w:val="0"/>
                    <w:pageBreakBefore w:val="0"/>
                    <w:widowControl/>
                    <w:suppressLineNumbers w:val="0"/>
                    <w:kinsoku/>
                    <w:wordWrap/>
                    <w:overflowPunct/>
                    <w:topLinePunct w:val="0"/>
                    <w:autoSpaceDE/>
                    <w:autoSpaceDN/>
                    <w:bidi w:val="0"/>
                    <w:adjustRightInd/>
                    <w:snapToGrid/>
                    <w:spacing w:after="0" w:line="240" w:lineRule="auto"/>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6666.67</w:t>
                  </w:r>
                </w:p>
              </w:tc>
              <w:tc>
                <w:tcPr>
                  <w:tcW w:w="589" w:type="pct"/>
                  <w:shd w:val="clear" w:color="auto" w:fill="auto"/>
                  <w:vAlign w:val="center"/>
                </w:tcPr>
                <w:p w14:paraId="6F6CFDD4">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200</w:t>
                  </w:r>
                </w:p>
              </w:tc>
              <w:tc>
                <w:tcPr>
                  <w:tcW w:w="465" w:type="pct"/>
                  <w:vAlign w:val="center"/>
                </w:tcPr>
                <w:p w14:paraId="7EC92A1A">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67.83</w:t>
                  </w:r>
                </w:p>
              </w:tc>
              <w:tc>
                <w:tcPr>
                  <w:tcW w:w="472" w:type="pct"/>
                  <w:vAlign w:val="center"/>
                </w:tcPr>
                <w:p w14:paraId="7ADF4423">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9.34</w:t>
                  </w:r>
                </w:p>
              </w:tc>
              <w:tc>
                <w:tcPr>
                  <w:tcW w:w="796" w:type="pct"/>
                  <w:vAlign w:val="center"/>
                </w:tcPr>
                <w:p w14:paraId="3796656A">
                  <w:pPr>
                    <w:pStyle w:val="77"/>
                    <w:keepNext w:val="0"/>
                    <w:keepLines w:val="0"/>
                    <w:pageBreakBefore w:val="0"/>
                    <w:kinsoku/>
                    <w:wordWrap/>
                    <w:overflowPunct/>
                    <w:topLinePunct w:val="0"/>
                    <w:autoSpaceDE/>
                    <w:autoSpaceDN/>
                    <w:bidi w:val="0"/>
                    <w:adjustRightInd/>
                    <w:snapToGrid/>
                    <w:spacing w:beforeLines="0" w:after="0" w:afterLines="0" w:line="240" w:lineRule="auto"/>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w:t>
                  </w:r>
                </w:p>
              </w:tc>
            </w:tr>
          </w:tbl>
          <w:p w14:paraId="391A720B">
            <w:pPr>
              <w:pStyle w:val="180"/>
              <w:framePr w:hSpace="0" w:wrap="auto" w:vAnchor="margin" w:hAnchor="text" w:xAlign="left" w:yAlign="inline"/>
              <w:ind w:firstLine="482"/>
              <w:rPr>
                <w:color w:val="auto"/>
              </w:rPr>
            </w:pPr>
            <w:r>
              <w:rPr>
                <w:rFonts w:hint="eastAsia"/>
                <w:color w:val="auto"/>
              </w:rPr>
              <w:t>2</w:t>
            </w:r>
            <w:r>
              <w:rPr>
                <w:color w:val="auto"/>
              </w:rPr>
              <w:t>.2.5</w:t>
            </w:r>
            <w:r>
              <w:rPr>
                <w:rFonts w:hint="eastAsia"/>
                <w:color w:val="auto"/>
              </w:rPr>
              <w:t>项目原辅材料</w:t>
            </w:r>
          </w:p>
          <w:p w14:paraId="7E313964">
            <w:pPr>
              <w:pStyle w:val="181"/>
              <w:keepNext w:val="0"/>
              <w:keepLines w:val="0"/>
              <w:pageBreakBefore w:val="0"/>
              <w:widowControl/>
              <w:kinsoku/>
              <w:wordWrap/>
              <w:overflowPunct/>
              <w:topLinePunct w:val="0"/>
              <w:autoSpaceDE/>
              <w:autoSpaceDN/>
              <w:bidi w:val="0"/>
              <w:adjustRightInd/>
              <w:snapToGrid/>
              <w:ind w:firstLine="480"/>
              <w:textAlignment w:val="auto"/>
              <w:rPr>
                <w:rFonts w:hint="eastAsia"/>
                <w:color w:val="auto"/>
              </w:rPr>
            </w:pPr>
            <w:r>
              <w:rPr>
                <w:color w:val="auto"/>
              </w:rPr>
              <w:t>项目主要原辅材料种类及消耗量详见</w:t>
            </w:r>
            <w:r>
              <w:rPr>
                <w:rFonts w:hint="eastAsia"/>
                <w:color w:val="auto"/>
                <w:lang w:eastAsia="zh-CN"/>
              </w:rPr>
              <w:t>下表</w:t>
            </w:r>
            <w:r>
              <w:rPr>
                <w:rFonts w:hint="eastAsia"/>
                <w:color w:val="auto"/>
              </w:rPr>
              <w:t>。</w:t>
            </w:r>
          </w:p>
          <w:p w14:paraId="050C3824">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2</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4</w:t>
            </w:r>
            <w:r>
              <w:rPr>
                <w:color w:val="auto"/>
              </w:rPr>
              <w:fldChar w:fldCharType="end"/>
            </w:r>
            <w:r>
              <w:rPr>
                <w:color w:val="auto"/>
              </w:rPr>
              <w:t xml:space="preserve"> 主要原辅材料消耗情况一览表</w:t>
            </w:r>
          </w:p>
          <w:tbl>
            <w:tblPr>
              <w:tblStyle w:val="5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1"/>
              <w:gridCol w:w="1506"/>
              <w:gridCol w:w="1256"/>
              <w:gridCol w:w="1028"/>
              <w:gridCol w:w="1195"/>
              <w:gridCol w:w="1209"/>
              <w:gridCol w:w="1843"/>
            </w:tblGrid>
            <w:tr w14:paraId="0CABD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380" w:type="pct"/>
                  <w:vAlign w:val="center"/>
                </w:tcPr>
                <w:p w14:paraId="7F23EAEB">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b/>
                      <w:bCs/>
                      <w:color w:val="auto"/>
                      <w:sz w:val="18"/>
                      <w:szCs w:val="18"/>
                      <w:lang w:eastAsia="zh-CN"/>
                    </w:rPr>
                  </w:pPr>
                  <w:r>
                    <w:rPr>
                      <w:rFonts w:hint="eastAsia"/>
                      <w:b/>
                      <w:bCs/>
                      <w:color w:val="auto"/>
                      <w:sz w:val="18"/>
                      <w:szCs w:val="18"/>
                      <w:lang w:eastAsia="zh-CN"/>
                    </w:rPr>
                    <w:t>序号</w:t>
                  </w:r>
                </w:p>
              </w:tc>
              <w:tc>
                <w:tcPr>
                  <w:tcW w:w="866" w:type="pct"/>
                  <w:vAlign w:val="center"/>
                </w:tcPr>
                <w:p w14:paraId="53236B4D">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b/>
                      <w:bCs/>
                      <w:color w:val="auto"/>
                      <w:sz w:val="18"/>
                      <w:szCs w:val="18"/>
                      <w:lang w:eastAsia="zh-CN"/>
                    </w:rPr>
                  </w:pPr>
                  <w:r>
                    <w:rPr>
                      <w:rFonts w:hint="eastAsia"/>
                      <w:b/>
                      <w:bCs/>
                      <w:color w:val="auto"/>
                      <w:sz w:val="18"/>
                      <w:szCs w:val="18"/>
                      <w:lang w:eastAsia="zh-CN"/>
                    </w:rPr>
                    <w:t>名称</w:t>
                  </w:r>
                </w:p>
              </w:tc>
              <w:tc>
                <w:tcPr>
                  <w:tcW w:w="722" w:type="pct"/>
                  <w:vAlign w:val="center"/>
                </w:tcPr>
                <w:p w14:paraId="0B528FEF">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宋体"/>
                      <w:color w:val="auto"/>
                      <w:sz w:val="18"/>
                      <w:szCs w:val="18"/>
                      <w:lang w:val="en-US" w:eastAsia="zh-CN"/>
                    </w:rPr>
                  </w:pPr>
                  <w:r>
                    <w:rPr>
                      <w:rFonts w:hint="eastAsia" w:ascii="Times New Roman" w:hAnsi="Times New Roman" w:eastAsia="宋体" w:cs="宋体"/>
                      <w:color w:val="auto"/>
                      <w:sz w:val="18"/>
                      <w:szCs w:val="18"/>
                      <w:lang w:val="en-US" w:eastAsia="zh-CN"/>
                    </w:rPr>
                    <w:t>年用量</w:t>
                  </w:r>
                </w:p>
              </w:tc>
              <w:tc>
                <w:tcPr>
                  <w:tcW w:w="591" w:type="pct"/>
                  <w:vAlign w:val="center"/>
                </w:tcPr>
                <w:p w14:paraId="0924C107">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宋体"/>
                      <w:color w:val="auto"/>
                      <w:sz w:val="18"/>
                      <w:szCs w:val="18"/>
                      <w:lang w:val="en-US" w:eastAsia="zh-CN"/>
                    </w:rPr>
                  </w:pPr>
                  <w:r>
                    <w:rPr>
                      <w:rFonts w:hint="eastAsia" w:ascii="Times New Roman" w:hAnsi="Times New Roman" w:eastAsia="宋体" w:cs="宋体"/>
                      <w:color w:val="auto"/>
                      <w:sz w:val="18"/>
                      <w:szCs w:val="18"/>
                      <w:lang w:val="en-US" w:eastAsia="zh-CN"/>
                    </w:rPr>
                    <w:t>单位</w:t>
                  </w:r>
                </w:p>
              </w:tc>
              <w:tc>
                <w:tcPr>
                  <w:tcW w:w="687" w:type="pct"/>
                  <w:vAlign w:val="center"/>
                </w:tcPr>
                <w:p w14:paraId="5310DD6B">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b/>
                      <w:bCs/>
                      <w:color w:val="auto"/>
                      <w:sz w:val="18"/>
                      <w:szCs w:val="18"/>
                      <w:lang w:eastAsia="zh-CN"/>
                    </w:rPr>
                  </w:pPr>
                  <w:r>
                    <w:rPr>
                      <w:rFonts w:hint="eastAsia"/>
                      <w:b/>
                      <w:bCs/>
                      <w:color w:val="auto"/>
                      <w:sz w:val="18"/>
                      <w:szCs w:val="18"/>
                      <w:lang w:eastAsia="zh-CN"/>
                    </w:rPr>
                    <w:t>性状</w:t>
                  </w:r>
                </w:p>
              </w:tc>
              <w:tc>
                <w:tcPr>
                  <w:tcW w:w="695" w:type="pct"/>
                  <w:vAlign w:val="center"/>
                </w:tcPr>
                <w:p w14:paraId="31E6D621">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b/>
                      <w:bCs/>
                      <w:color w:val="auto"/>
                      <w:sz w:val="18"/>
                      <w:szCs w:val="18"/>
                      <w:lang w:eastAsia="zh-CN"/>
                    </w:rPr>
                  </w:pPr>
                  <w:r>
                    <w:rPr>
                      <w:rFonts w:hint="eastAsia"/>
                      <w:b/>
                      <w:bCs/>
                      <w:color w:val="auto"/>
                      <w:sz w:val="18"/>
                      <w:szCs w:val="18"/>
                      <w:lang w:eastAsia="zh-CN"/>
                    </w:rPr>
                    <w:t>规格</w:t>
                  </w:r>
                </w:p>
              </w:tc>
              <w:tc>
                <w:tcPr>
                  <w:tcW w:w="1056" w:type="pct"/>
                  <w:vAlign w:val="center"/>
                </w:tcPr>
                <w:p w14:paraId="71D3245D">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b/>
                      <w:bCs/>
                      <w:color w:val="auto"/>
                      <w:sz w:val="18"/>
                      <w:szCs w:val="18"/>
                      <w:lang w:eastAsia="zh-CN"/>
                    </w:rPr>
                  </w:pPr>
                  <w:r>
                    <w:rPr>
                      <w:rFonts w:hint="eastAsia"/>
                      <w:b/>
                      <w:bCs/>
                      <w:color w:val="auto"/>
                      <w:sz w:val="18"/>
                      <w:szCs w:val="18"/>
                      <w:lang w:eastAsia="zh-CN"/>
                    </w:rPr>
                    <w:t>来源</w:t>
                  </w:r>
                </w:p>
              </w:tc>
            </w:tr>
            <w:tr w14:paraId="1664E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0" w:type="pct"/>
                  <w:vAlign w:val="center"/>
                </w:tcPr>
                <w:p w14:paraId="366713D2">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color w:val="auto"/>
                      <w:sz w:val="18"/>
                      <w:szCs w:val="18"/>
                      <w:lang w:val="en-US" w:eastAsia="zh-CN"/>
                    </w:rPr>
                  </w:pPr>
                  <w:r>
                    <w:rPr>
                      <w:rFonts w:hint="eastAsia"/>
                      <w:color w:val="auto"/>
                      <w:sz w:val="18"/>
                      <w:szCs w:val="18"/>
                      <w:lang w:val="en-US" w:eastAsia="zh-CN"/>
                    </w:rPr>
                    <w:t>1</w:t>
                  </w:r>
                </w:p>
              </w:tc>
              <w:tc>
                <w:tcPr>
                  <w:tcW w:w="866" w:type="pct"/>
                  <w:vAlign w:val="center"/>
                </w:tcPr>
                <w:p w14:paraId="1610BDC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color w:val="auto"/>
                      <w:sz w:val="18"/>
                      <w:szCs w:val="18"/>
                      <w:lang w:eastAsia="zh-CN"/>
                    </w:rPr>
                  </w:pPr>
                  <w:r>
                    <w:rPr>
                      <w:rFonts w:hint="default" w:ascii="Times New Roman" w:hAnsi="Times New Roman" w:eastAsia="宋体" w:cs="Times New Roman"/>
                      <w:color w:val="auto"/>
                      <w:sz w:val="18"/>
                      <w:szCs w:val="18"/>
                      <w:highlight w:val="none"/>
                      <w:lang w:eastAsia="zh-CN"/>
                    </w:rPr>
                    <w:t>原煤</w:t>
                  </w:r>
                </w:p>
              </w:tc>
              <w:tc>
                <w:tcPr>
                  <w:tcW w:w="722" w:type="pct"/>
                  <w:vAlign w:val="center"/>
                </w:tcPr>
                <w:p w14:paraId="4A053C83">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宋体"/>
                      <w:color w:val="auto"/>
                      <w:sz w:val="18"/>
                      <w:szCs w:val="18"/>
                      <w:lang w:val="en-US" w:eastAsia="zh-CN"/>
                    </w:rPr>
                  </w:pPr>
                  <w:r>
                    <w:rPr>
                      <w:rFonts w:hint="eastAsia" w:cs="宋体"/>
                      <w:color w:val="auto"/>
                      <w:sz w:val="18"/>
                      <w:szCs w:val="18"/>
                      <w:lang w:val="en-US" w:eastAsia="zh-CN"/>
                    </w:rPr>
                    <w:t>2</w:t>
                  </w:r>
                  <w:r>
                    <w:rPr>
                      <w:rFonts w:hint="eastAsia" w:ascii="Times New Roman" w:hAnsi="Times New Roman" w:eastAsia="宋体" w:cs="宋体"/>
                      <w:color w:val="auto"/>
                      <w:sz w:val="18"/>
                      <w:szCs w:val="18"/>
                      <w:lang w:val="en-US" w:eastAsia="zh-CN"/>
                    </w:rPr>
                    <w:t>00万</w:t>
                  </w:r>
                </w:p>
              </w:tc>
              <w:tc>
                <w:tcPr>
                  <w:tcW w:w="591" w:type="pct"/>
                  <w:vAlign w:val="center"/>
                </w:tcPr>
                <w:p w14:paraId="52F0217F">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宋体"/>
                      <w:color w:val="auto"/>
                      <w:sz w:val="18"/>
                      <w:szCs w:val="18"/>
                      <w:lang w:val="en-US" w:eastAsia="zh-CN"/>
                    </w:rPr>
                  </w:pPr>
                  <w:r>
                    <w:rPr>
                      <w:rFonts w:hint="eastAsia" w:ascii="Times New Roman" w:hAnsi="Times New Roman" w:eastAsia="宋体" w:cs="宋体"/>
                      <w:color w:val="auto"/>
                      <w:sz w:val="18"/>
                      <w:szCs w:val="18"/>
                      <w:lang w:val="en-US" w:eastAsia="zh-CN"/>
                    </w:rPr>
                    <w:t>t/a</w:t>
                  </w:r>
                </w:p>
              </w:tc>
              <w:tc>
                <w:tcPr>
                  <w:tcW w:w="687" w:type="pct"/>
                  <w:vAlign w:val="center"/>
                </w:tcPr>
                <w:p w14:paraId="52FB4DEC">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color w:val="auto"/>
                      <w:sz w:val="18"/>
                      <w:szCs w:val="18"/>
                      <w:lang w:val="en-US" w:eastAsia="zh-CN"/>
                    </w:rPr>
                  </w:pPr>
                  <w:r>
                    <w:rPr>
                      <w:rFonts w:hint="eastAsia"/>
                      <w:color w:val="auto"/>
                      <w:sz w:val="18"/>
                      <w:szCs w:val="18"/>
                      <w:lang w:val="en-US" w:eastAsia="zh-CN"/>
                    </w:rPr>
                    <w:t>固态</w:t>
                  </w:r>
                </w:p>
              </w:tc>
              <w:tc>
                <w:tcPr>
                  <w:tcW w:w="695" w:type="pct"/>
                  <w:vAlign w:val="center"/>
                </w:tcPr>
                <w:p w14:paraId="7CA9030D">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color w:val="auto"/>
                      <w:sz w:val="18"/>
                      <w:szCs w:val="18"/>
                      <w:lang w:eastAsia="zh-CN"/>
                    </w:rPr>
                  </w:pPr>
                  <w:r>
                    <w:rPr>
                      <w:rFonts w:hint="eastAsia"/>
                      <w:color w:val="auto"/>
                      <w:sz w:val="18"/>
                      <w:szCs w:val="18"/>
                      <w:lang w:val="en-US" w:eastAsia="zh-CN"/>
                    </w:rPr>
                    <w:t>/</w:t>
                  </w:r>
                </w:p>
              </w:tc>
              <w:tc>
                <w:tcPr>
                  <w:tcW w:w="1056" w:type="pct"/>
                  <w:vAlign w:val="center"/>
                </w:tcPr>
                <w:p w14:paraId="4A68DC86">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color w:val="auto"/>
                      <w:sz w:val="18"/>
                      <w:szCs w:val="18"/>
                      <w:lang w:eastAsia="zh-CN"/>
                    </w:rPr>
                  </w:pPr>
                  <w:r>
                    <w:rPr>
                      <w:rFonts w:hint="eastAsia" w:ascii="Times New Roman" w:hAnsi="Times New Roman" w:eastAsia="宋体" w:cs="Times New Roman"/>
                      <w:color w:val="auto"/>
                      <w:sz w:val="18"/>
                      <w:szCs w:val="18"/>
                      <w:highlight w:val="none"/>
                      <w:lang w:eastAsia="zh-CN"/>
                    </w:rPr>
                    <w:t>淮南舜岳水泥有限责任公司提供</w:t>
                  </w:r>
                </w:p>
              </w:tc>
            </w:tr>
            <w:tr w14:paraId="3CEF2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0" w:type="pct"/>
                  <w:vAlign w:val="center"/>
                </w:tcPr>
                <w:p w14:paraId="0268D389">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color w:val="auto"/>
                      <w:sz w:val="18"/>
                      <w:szCs w:val="18"/>
                      <w:lang w:val="en-US" w:eastAsia="zh-CN"/>
                    </w:rPr>
                  </w:pPr>
                  <w:r>
                    <w:rPr>
                      <w:rFonts w:hint="eastAsia"/>
                      <w:color w:val="auto"/>
                      <w:sz w:val="18"/>
                      <w:szCs w:val="18"/>
                      <w:lang w:val="en-US" w:eastAsia="zh-CN"/>
                    </w:rPr>
                    <w:t>2</w:t>
                  </w:r>
                </w:p>
              </w:tc>
              <w:tc>
                <w:tcPr>
                  <w:tcW w:w="866" w:type="pct"/>
                  <w:vAlign w:val="center"/>
                </w:tcPr>
                <w:p w14:paraId="624B760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color w:val="auto"/>
                      <w:sz w:val="18"/>
                      <w:szCs w:val="18"/>
                      <w:lang w:eastAsia="zh-CN"/>
                    </w:rPr>
                  </w:pPr>
                  <w:r>
                    <w:rPr>
                      <w:rFonts w:hint="default" w:ascii="Times New Roman" w:hAnsi="Times New Roman" w:eastAsia="宋体" w:cs="Times New Roman"/>
                      <w:color w:val="auto"/>
                      <w:sz w:val="18"/>
                      <w:szCs w:val="18"/>
                      <w:highlight w:val="none"/>
                      <w:lang w:val="en-US" w:eastAsia="zh-CN"/>
                    </w:rPr>
                    <w:t>混凝剂（聚合氯化铝）</w:t>
                  </w:r>
                </w:p>
              </w:tc>
              <w:tc>
                <w:tcPr>
                  <w:tcW w:w="722" w:type="pct"/>
                  <w:vAlign w:val="center"/>
                </w:tcPr>
                <w:p w14:paraId="7C8053BE">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宋体"/>
                      <w:color w:val="auto"/>
                      <w:sz w:val="18"/>
                      <w:szCs w:val="18"/>
                      <w:lang w:val="en-US" w:eastAsia="zh-CN"/>
                    </w:rPr>
                  </w:pPr>
                  <w:r>
                    <w:rPr>
                      <w:rFonts w:hint="eastAsia" w:cs="宋体"/>
                      <w:color w:val="auto"/>
                      <w:sz w:val="18"/>
                      <w:szCs w:val="18"/>
                      <w:lang w:val="en-US" w:eastAsia="zh-CN"/>
                    </w:rPr>
                    <w:t>2</w:t>
                  </w:r>
                  <w:r>
                    <w:rPr>
                      <w:rFonts w:hint="eastAsia" w:ascii="Times New Roman" w:hAnsi="Times New Roman" w:eastAsia="宋体" w:cs="宋体"/>
                      <w:color w:val="auto"/>
                      <w:sz w:val="18"/>
                      <w:szCs w:val="18"/>
                      <w:lang w:val="en-US" w:eastAsia="zh-CN"/>
                    </w:rPr>
                    <w:t>0</w:t>
                  </w:r>
                  <w:r>
                    <w:rPr>
                      <w:rFonts w:hint="eastAsia" w:cs="宋体"/>
                      <w:color w:val="auto"/>
                      <w:sz w:val="18"/>
                      <w:szCs w:val="18"/>
                      <w:lang w:val="en-US" w:eastAsia="zh-CN"/>
                    </w:rPr>
                    <w:t>0</w:t>
                  </w:r>
                </w:p>
              </w:tc>
              <w:tc>
                <w:tcPr>
                  <w:tcW w:w="591" w:type="pct"/>
                  <w:vAlign w:val="center"/>
                </w:tcPr>
                <w:p w14:paraId="19D9AB27">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宋体"/>
                      <w:color w:val="auto"/>
                      <w:sz w:val="18"/>
                      <w:szCs w:val="18"/>
                      <w:lang w:val="en-US" w:eastAsia="zh-CN"/>
                    </w:rPr>
                  </w:pPr>
                  <w:r>
                    <w:rPr>
                      <w:rFonts w:hint="eastAsia" w:ascii="Times New Roman" w:hAnsi="Times New Roman" w:eastAsia="宋体" w:cs="宋体"/>
                      <w:color w:val="auto"/>
                      <w:sz w:val="18"/>
                      <w:szCs w:val="18"/>
                      <w:lang w:val="en-US" w:eastAsia="zh-CN"/>
                    </w:rPr>
                    <w:t>t/a</w:t>
                  </w:r>
                </w:p>
              </w:tc>
              <w:tc>
                <w:tcPr>
                  <w:tcW w:w="687" w:type="pct"/>
                  <w:vAlign w:val="center"/>
                </w:tcPr>
                <w:p w14:paraId="22300370">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color w:val="auto"/>
                      <w:sz w:val="18"/>
                      <w:szCs w:val="18"/>
                      <w:lang w:val="en-US" w:eastAsia="zh-CN"/>
                    </w:rPr>
                  </w:pPr>
                  <w:r>
                    <w:rPr>
                      <w:rFonts w:hint="eastAsia"/>
                      <w:color w:val="auto"/>
                      <w:sz w:val="18"/>
                      <w:szCs w:val="18"/>
                      <w:lang w:val="en-US" w:eastAsia="zh-CN"/>
                    </w:rPr>
                    <w:t>固态</w:t>
                  </w:r>
                </w:p>
              </w:tc>
              <w:tc>
                <w:tcPr>
                  <w:tcW w:w="695" w:type="pct"/>
                  <w:vAlign w:val="center"/>
                </w:tcPr>
                <w:p w14:paraId="1FA62AE0">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textAlignment w:val="auto"/>
                    <w:rPr>
                      <w:color w:val="auto"/>
                      <w:sz w:val="18"/>
                      <w:szCs w:val="18"/>
                    </w:rPr>
                  </w:pPr>
                  <w:r>
                    <w:rPr>
                      <w:rFonts w:hint="eastAsia"/>
                      <w:color w:val="auto"/>
                      <w:sz w:val="18"/>
                      <w:szCs w:val="18"/>
                      <w:lang w:val="en-US" w:eastAsia="zh-CN"/>
                    </w:rPr>
                    <w:t>25kg/</w:t>
                  </w:r>
                  <w:r>
                    <w:rPr>
                      <w:rFonts w:hint="eastAsia"/>
                      <w:color w:val="auto"/>
                      <w:sz w:val="18"/>
                      <w:szCs w:val="18"/>
                      <w:lang w:eastAsia="zh-CN"/>
                    </w:rPr>
                    <w:t>袋</w:t>
                  </w:r>
                </w:p>
              </w:tc>
              <w:tc>
                <w:tcPr>
                  <w:tcW w:w="1056" w:type="pct"/>
                  <w:vAlign w:val="center"/>
                </w:tcPr>
                <w:p w14:paraId="4D2CAA9B">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textAlignment w:val="auto"/>
                    <w:rPr>
                      <w:color w:val="auto"/>
                      <w:sz w:val="18"/>
                      <w:szCs w:val="18"/>
                    </w:rPr>
                  </w:pPr>
                  <w:r>
                    <w:rPr>
                      <w:rFonts w:hint="eastAsia"/>
                      <w:color w:val="auto"/>
                      <w:sz w:val="18"/>
                      <w:szCs w:val="18"/>
                      <w:lang w:eastAsia="zh-CN"/>
                    </w:rPr>
                    <w:t>外购</w:t>
                  </w:r>
                </w:p>
              </w:tc>
            </w:tr>
            <w:tr w14:paraId="75ECB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80" w:type="pct"/>
                  <w:vAlign w:val="center"/>
                </w:tcPr>
                <w:p w14:paraId="5D95B8E6">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color w:val="auto"/>
                      <w:sz w:val="18"/>
                      <w:szCs w:val="18"/>
                      <w:lang w:val="en-US" w:eastAsia="zh-CN"/>
                    </w:rPr>
                  </w:pPr>
                  <w:r>
                    <w:rPr>
                      <w:rFonts w:hint="eastAsia"/>
                      <w:color w:val="auto"/>
                      <w:sz w:val="18"/>
                      <w:szCs w:val="18"/>
                      <w:lang w:val="en-US" w:eastAsia="zh-CN"/>
                    </w:rPr>
                    <w:t>3</w:t>
                  </w:r>
                </w:p>
              </w:tc>
              <w:tc>
                <w:tcPr>
                  <w:tcW w:w="866" w:type="pct"/>
                  <w:vAlign w:val="center"/>
                </w:tcPr>
                <w:p w14:paraId="30FC94A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color w:val="auto"/>
                      <w:sz w:val="18"/>
                      <w:szCs w:val="18"/>
                      <w:lang w:eastAsia="zh-CN"/>
                    </w:rPr>
                  </w:pPr>
                  <w:r>
                    <w:rPr>
                      <w:rFonts w:hint="default" w:ascii="Times New Roman" w:hAnsi="Times New Roman" w:eastAsia="宋体" w:cs="Times New Roman"/>
                      <w:color w:val="auto"/>
                      <w:sz w:val="18"/>
                      <w:szCs w:val="18"/>
                      <w:highlight w:val="none"/>
                    </w:rPr>
                    <w:t>絮凝剂（聚丙烯酰胺）</w:t>
                  </w:r>
                </w:p>
              </w:tc>
              <w:tc>
                <w:tcPr>
                  <w:tcW w:w="722" w:type="pct"/>
                  <w:vAlign w:val="center"/>
                </w:tcPr>
                <w:p w14:paraId="4EB850B8">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宋体"/>
                      <w:color w:val="auto"/>
                      <w:sz w:val="18"/>
                      <w:szCs w:val="18"/>
                      <w:lang w:val="en-US" w:eastAsia="zh-CN"/>
                    </w:rPr>
                  </w:pPr>
                  <w:r>
                    <w:rPr>
                      <w:rFonts w:hint="eastAsia" w:cs="宋体"/>
                      <w:color w:val="auto"/>
                      <w:sz w:val="18"/>
                      <w:szCs w:val="18"/>
                      <w:lang w:val="en-US" w:eastAsia="zh-CN"/>
                    </w:rPr>
                    <w:t>20</w:t>
                  </w:r>
                </w:p>
              </w:tc>
              <w:tc>
                <w:tcPr>
                  <w:tcW w:w="591" w:type="pct"/>
                  <w:vAlign w:val="center"/>
                </w:tcPr>
                <w:p w14:paraId="15A98130">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宋体"/>
                      <w:color w:val="auto"/>
                      <w:sz w:val="18"/>
                      <w:szCs w:val="18"/>
                      <w:lang w:val="en-US" w:eastAsia="zh-CN"/>
                    </w:rPr>
                  </w:pPr>
                  <w:r>
                    <w:rPr>
                      <w:rFonts w:hint="eastAsia" w:ascii="Times New Roman" w:hAnsi="Times New Roman" w:eastAsia="宋体" w:cs="宋体"/>
                      <w:color w:val="auto"/>
                      <w:sz w:val="18"/>
                      <w:szCs w:val="18"/>
                      <w:lang w:val="en-US" w:eastAsia="zh-CN"/>
                    </w:rPr>
                    <w:t>t/a</w:t>
                  </w:r>
                </w:p>
              </w:tc>
              <w:tc>
                <w:tcPr>
                  <w:tcW w:w="687" w:type="pct"/>
                  <w:vAlign w:val="center"/>
                </w:tcPr>
                <w:p w14:paraId="40B6055B">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eastAsia"/>
                      <w:color w:val="auto"/>
                      <w:sz w:val="18"/>
                      <w:szCs w:val="18"/>
                      <w:lang w:val="en-US" w:eastAsia="zh-CN"/>
                    </w:rPr>
                  </w:pPr>
                  <w:r>
                    <w:rPr>
                      <w:rFonts w:hint="eastAsia"/>
                      <w:color w:val="auto"/>
                      <w:sz w:val="18"/>
                      <w:szCs w:val="18"/>
                      <w:lang w:val="en-US" w:eastAsia="zh-CN"/>
                    </w:rPr>
                    <w:t>固态</w:t>
                  </w:r>
                </w:p>
              </w:tc>
              <w:tc>
                <w:tcPr>
                  <w:tcW w:w="695" w:type="pct"/>
                  <w:vAlign w:val="center"/>
                </w:tcPr>
                <w:p w14:paraId="75409EC7">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textAlignment w:val="auto"/>
                    <w:rPr>
                      <w:color w:val="auto"/>
                      <w:sz w:val="18"/>
                      <w:szCs w:val="18"/>
                    </w:rPr>
                  </w:pPr>
                  <w:r>
                    <w:rPr>
                      <w:rFonts w:hint="eastAsia"/>
                      <w:color w:val="auto"/>
                      <w:sz w:val="18"/>
                      <w:szCs w:val="18"/>
                      <w:lang w:val="en-US" w:eastAsia="zh-CN"/>
                    </w:rPr>
                    <w:t>25kg/</w:t>
                  </w:r>
                  <w:r>
                    <w:rPr>
                      <w:rFonts w:hint="eastAsia"/>
                      <w:color w:val="auto"/>
                      <w:sz w:val="18"/>
                      <w:szCs w:val="18"/>
                      <w:lang w:eastAsia="zh-CN"/>
                    </w:rPr>
                    <w:t>袋</w:t>
                  </w:r>
                </w:p>
              </w:tc>
              <w:tc>
                <w:tcPr>
                  <w:tcW w:w="1056" w:type="pct"/>
                  <w:vAlign w:val="center"/>
                </w:tcPr>
                <w:p w14:paraId="184F0E26">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textAlignment w:val="auto"/>
                    <w:rPr>
                      <w:color w:val="auto"/>
                      <w:sz w:val="18"/>
                      <w:szCs w:val="18"/>
                    </w:rPr>
                  </w:pPr>
                  <w:r>
                    <w:rPr>
                      <w:rFonts w:hint="eastAsia"/>
                      <w:color w:val="auto"/>
                      <w:sz w:val="18"/>
                      <w:szCs w:val="18"/>
                      <w:lang w:eastAsia="zh-CN"/>
                    </w:rPr>
                    <w:t>外购</w:t>
                  </w:r>
                </w:p>
              </w:tc>
            </w:tr>
            <w:tr w14:paraId="2D501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7"/>
                  <w:vAlign w:val="center"/>
                </w:tcPr>
                <w:p w14:paraId="2BB97BAC">
                  <w:pPr>
                    <w:pStyle w:val="287"/>
                    <w:keepNext w:val="0"/>
                    <w:keepLines w:val="0"/>
                    <w:pageBreakBefore w:val="0"/>
                    <w:framePr w:hSpace="0" w:wrap="auto" w:vAnchor="margin" w:hAnchor="text" w:xAlign="left" w:yAlign="inline"/>
                    <w:kinsoku/>
                    <w:wordWrap/>
                    <w:overflowPunct/>
                    <w:topLinePunct w:val="0"/>
                    <w:autoSpaceDE/>
                    <w:autoSpaceDN/>
                    <w:bidi w:val="0"/>
                    <w:adjustRightInd/>
                    <w:snapToGrid/>
                    <w:spacing w:line="240" w:lineRule="auto"/>
                    <w:jc w:val="both"/>
                    <w:textAlignment w:val="auto"/>
                    <w:rPr>
                      <w:rFonts w:hint="eastAsia"/>
                      <w:color w:val="auto"/>
                      <w:sz w:val="18"/>
                      <w:szCs w:val="18"/>
                      <w:lang w:eastAsia="zh-CN"/>
                    </w:rPr>
                  </w:pPr>
                  <w:r>
                    <w:rPr>
                      <w:rFonts w:hint="eastAsia"/>
                      <w:color w:val="auto"/>
                      <w:sz w:val="18"/>
                      <w:szCs w:val="18"/>
                      <w:lang w:eastAsia="zh-CN"/>
                    </w:rPr>
                    <w:t>注：本项目原辅材料不含带辐射物质。</w:t>
                  </w:r>
                </w:p>
              </w:tc>
            </w:tr>
          </w:tbl>
          <w:p w14:paraId="01F69F3B">
            <w:pPr>
              <w:pStyle w:val="181"/>
              <w:wordWrap/>
              <w:ind w:firstLine="480"/>
              <w:rPr>
                <w:rFonts w:hint="eastAsia" w:ascii="Times New Roman" w:hAnsi="Times New Roman" w:eastAsia="宋体" w:cs="Times New Roman"/>
                <w:color w:val="auto"/>
                <w:kern w:val="0"/>
                <w:sz w:val="24"/>
                <w:szCs w:val="24"/>
                <w:lang w:val="en-US" w:eastAsia="zh-CN" w:bidi="ar"/>
              </w:rPr>
            </w:pPr>
            <w:r>
              <w:rPr>
                <w:rFonts w:hint="eastAsia" w:ascii="Times New Roman" w:hAnsi="Times New Roman" w:eastAsia="宋体" w:cs="Times New Roman"/>
                <w:color w:val="auto"/>
                <w:kern w:val="0"/>
                <w:sz w:val="24"/>
                <w:szCs w:val="24"/>
                <w:lang w:val="en-US" w:eastAsia="zh-CN" w:bidi="ar"/>
              </w:rPr>
              <w:t>原辅材料理化性质：</w:t>
            </w:r>
          </w:p>
          <w:p w14:paraId="7CA620EF">
            <w:pPr>
              <w:pStyle w:val="181"/>
              <w:wordWrap/>
              <w:ind w:firstLine="480"/>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（1）聚丙烯酰胺</w:t>
            </w:r>
          </w:p>
          <w:p w14:paraId="4B44EC04">
            <w:pPr>
              <w:pStyle w:val="181"/>
              <w:wordWrap/>
              <w:ind w:firstLine="480"/>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水处理絮凝剂产品，可以吸附水中的悬浮颗粒，在颗粒之间起链接架桥作用，使细颗粒形成比较大的絮团，并且加快了沉淀的速度。这一过程称之为絮凝，因</w:t>
            </w:r>
            <w:r>
              <w:rPr>
                <w:rFonts w:hint="eastAsia" w:cs="Times New Roman"/>
                <w:color w:val="auto"/>
                <w:kern w:val="0"/>
                <w:sz w:val="24"/>
                <w:szCs w:val="24"/>
                <w:lang w:val="en-US" w:eastAsia="zh-CN" w:bidi="ar"/>
              </w:rPr>
              <w:t>其</w:t>
            </w:r>
            <w:r>
              <w:rPr>
                <w:rFonts w:hint="default" w:ascii="Times New Roman" w:hAnsi="Times New Roman" w:eastAsia="宋体" w:cs="Times New Roman"/>
                <w:color w:val="auto"/>
                <w:kern w:val="0"/>
                <w:sz w:val="24"/>
                <w:szCs w:val="24"/>
                <w:lang w:val="en-US" w:eastAsia="zh-CN" w:bidi="ar"/>
              </w:rPr>
              <w:t>良好的絮凝效果PAM 作为水处理的絮凝剂并且被广泛用于污水处理。（PAM）聚丙烯酰胺为白色粉状物，密度为1.320g/cm</w:t>
            </w:r>
            <w:r>
              <w:rPr>
                <w:rFonts w:hint="default" w:ascii="Times New Roman" w:hAnsi="Times New Roman" w:eastAsia="宋体" w:cs="Times New Roman"/>
                <w:color w:val="auto"/>
                <w:kern w:val="0"/>
                <w:sz w:val="24"/>
                <w:szCs w:val="24"/>
                <w:vertAlign w:val="superscript"/>
                <w:lang w:val="en-US" w:eastAsia="zh-CN" w:bidi="ar"/>
              </w:rPr>
              <w:t>3</w:t>
            </w:r>
            <w:r>
              <w:rPr>
                <w:rFonts w:hint="default" w:ascii="Times New Roman" w:hAnsi="Times New Roman" w:eastAsia="宋体" w:cs="Times New Roman"/>
                <w:color w:val="auto"/>
                <w:kern w:val="0"/>
                <w:sz w:val="24"/>
                <w:szCs w:val="24"/>
                <w:lang w:val="en-US" w:eastAsia="zh-CN" w:bidi="ar"/>
              </w:rPr>
              <w:t>玻璃化温度为188℃，软化温度近于210℃，一般方法干燥时含有少量的水。干时又会很快从环境中吸取水分。用冷冻干燥法分离的均聚物是白色松软的非结晶固体，但是当从溶液中沉淀并干燥后则为玻璃状部分透明的固体。完全干燥的（PAM）聚丙烯酰胺是脆性的白色固体。商品聚丙烯酰胺干粉通常是在适度的条件下干燥的，一般含水量为5%～15%。浇铸在玻璃板上制备的高分子膜，则是透明、坚硬、易碎的固体。</w:t>
            </w:r>
          </w:p>
          <w:p w14:paraId="30CD8206">
            <w:pPr>
              <w:pStyle w:val="181"/>
              <w:wordWrap/>
              <w:ind w:firstLine="480"/>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（2）聚合氯化铝</w:t>
            </w:r>
          </w:p>
          <w:p w14:paraId="15786919">
            <w:pPr>
              <w:pStyle w:val="181"/>
              <w:wordWrap/>
              <w:ind w:firstLine="480"/>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聚合氯化铝（PAC）是一种无机物，一种净水材料、无机高分子混凝剂，简称聚铝。它是介于 AlCl</w:t>
            </w:r>
            <w:r>
              <w:rPr>
                <w:rFonts w:hint="default" w:ascii="Times New Roman" w:hAnsi="Times New Roman" w:eastAsia="宋体" w:cs="Times New Roman"/>
                <w:color w:val="auto"/>
                <w:kern w:val="0"/>
                <w:sz w:val="24"/>
                <w:szCs w:val="24"/>
                <w:vertAlign w:val="subscript"/>
                <w:lang w:val="en-US" w:eastAsia="zh-CN" w:bidi="ar"/>
              </w:rPr>
              <w:t>3</w:t>
            </w:r>
            <w:r>
              <w:rPr>
                <w:rFonts w:hint="default" w:ascii="Times New Roman" w:hAnsi="Times New Roman" w:eastAsia="宋体" w:cs="Times New Roman"/>
                <w:color w:val="auto"/>
                <w:kern w:val="0"/>
                <w:sz w:val="24"/>
                <w:szCs w:val="24"/>
                <w:lang w:val="en-US" w:eastAsia="zh-CN" w:bidi="ar"/>
              </w:rPr>
              <w:t>和 Al(OH)</w:t>
            </w:r>
            <w:r>
              <w:rPr>
                <w:rFonts w:hint="default" w:ascii="Times New Roman" w:hAnsi="Times New Roman" w:eastAsia="宋体" w:cs="Times New Roman"/>
                <w:color w:val="auto"/>
                <w:kern w:val="0"/>
                <w:sz w:val="24"/>
                <w:szCs w:val="24"/>
                <w:vertAlign w:val="subscript"/>
                <w:lang w:val="en-US" w:eastAsia="zh-CN" w:bidi="ar"/>
              </w:rPr>
              <w:t>3</w:t>
            </w:r>
            <w:r>
              <w:rPr>
                <w:rFonts w:hint="default" w:ascii="Times New Roman" w:hAnsi="Times New Roman" w:eastAsia="宋体" w:cs="Times New Roman"/>
                <w:color w:val="auto"/>
                <w:kern w:val="0"/>
                <w:sz w:val="24"/>
                <w:szCs w:val="24"/>
                <w:lang w:val="en-US" w:eastAsia="zh-CN" w:bidi="ar"/>
              </w:rPr>
              <w:t>之间的一种水溶性无机高分子聚合物，化学通式为 [Al</w:t>
            </w:r>
            <w:r>
              <w:rPr>
                <w:rFonts w:hint="default" w:ascii="Times New Roman" w:hAnsi="Times New Roman" w:eastAsia="宋体" w:cs="Times New Roman"/>
                <w:color w:val="auto"/>
                <w:kern w:val="0"/>
                <w:sz w:val="24"/>
                <w:szCs w:val="24"/>
                <w:vertAlign w:val="subscript"/>
                <w:lang w:val="en-US" w:eastAsia="zh-CN" w:bidi="ar"/>
              </w:rPr>
              <w:t>2</w:t>
            </w:r>
            <w:r>
              <w:rPr>
                <w:rFonts w:hint="default" w:ascii="Times New Roman" w:hAnsi="Times New Roman" w:eastAsia="宋体" w:cs="Times New Roman"/>
                <w:color w:val="auto"/>
                <w:kern w:val="0"/>
                <w:sz w:val="24"/>
                <w:szCs w:val="24"/>
                <w:lang w:val="en-US" w:eastAsia="zh-CN" w:bidi="ar"/>
              </w:rPr>
              <w:t>(OH)nCl</w:t>
            </w:r>
            <w:r>
              <w:rPr>
                <w:rFonts w:hint="default" w:ascii="Times New Roman" w:hAnsi="Times New Roman" w:eastAsia="宋体" w:cs="Times New Roman"/>
                <w:color w:val="auto"/>
                <w:kern w:val="0"/>
                <w:sz w:val="24"/>
                <w:szCs w:val="24"/>
                <w:vertAlign w:val="subscript"/>
                <w:lang w:val="en-US" w:eastAsia="zh-CN" w:bidi="ar"/>
              </w:rPr>
              <w:t>6-</w:t>
            </w:r>
            <w:r>
              <w:rPr>
                <w:rFonts w:hint="default" w:ascii="Times New Roman" w:hAnsi="Times New Roman" w:eastAsia="宋体" w:cs="Times New Roman"/>
                <w:color w:val="auto"/>
                <w:kern w:val="0"/>
                <w:sz w:val="24"/>
                <w:szCs w:val="24"/>
                <w:lang w:val="en-US" w:eastAsia="zh-CN" w:bidi="ar"/>
              </w:rPr>
              <w:t xml:space="preserve">n]m，其中m代表聚合程度，n表示PAC产品的中性程度。n=1~5 为具有 Keggin结构的高电荷聚合环链体，对水中胶体和颗粒物具有高度电中和及桥联作用，并可强力去除微有毒物及重金属离子，性状稳定，该产品广泛用于饮用水、工业用水和污水处理领域。 </w:t>
            </w:r>
          </w:p>
          <w:p w14:paraId="3C5DEFA9">
            <w:pPr>
              <w:pStyle w:val="181"/>
              <w:wordWrap/>
              <w:ind w:firstLine="480"/>
              <w:rPr>
                <w:rFonts w:hint="eastAsia"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聚合氯化铝（PAC）颜色呈黄色或淡黄色、深褐色、深灰色树脂状固体。该产</w:t>
            </w:r>
            <w:r>
              <w:rPr>
                <w:rFonts w:hint="eastAsia" w:cs="Times New Roman"/>
                <w:color w:val="auto"/>
                <w:kern w:val="0"/>
                <w:sz w:val="24"/>
                <w:szCs w:val="24"/>
                <w:lang w:val="en-US" w:eastAsia="zh-CN" w:bidi="ar"/>
              </w:rPr>
              <w:t>品具</w:t>
            </w:r>
            <w:r>
              <w:rPr>
                <w:rFonts w:hint="default" w:ascii="Times New Roman" w:hAnsi="Times New Roman" w:eastAsia="宋体" w:cs="Times New Roman"/>
                <w:color w:val="auto"/>
                <w:kern w:val="0"/>
                <w:sz w:val="24"/>
                <w:szCs w:val="24"/>
                <w:lang w:val="en-US" w:eastAsia="zh-CN" w:bidi="ar"/>
              </w:rPr>
              <w:t>有较强的</w:t>
            </w:r>
            <w:r>
              <w:rPr>
                <w:rFonts w:hint="eastAsia" w:ascii="Times New Roman" w:hAnsi="Times New Roman" w:eastAsia="宋体" w:cs="Times New Roman"/>
                <w:color w:val="auto"/>
                <w:kern w:val="0"/>
                <w:sz w:val="24"/>
                <w:szCs w:val="24"/>
                <w:lang w:val="en-US" w:eastAsia="zh-CN" w:bidi="ar"/>
              </w:rPr>
              <w:t>水解</w:t>
            </w:r>
            <w:r>
              <w:rPr>
                <w:rFonts w:hint="default" w:ascii="Times New Roman" w:hAnsi="Times New Roman" w:eastAsia="宋体" w:cs="Times New Roman"/>
                <w:color w:val="auto"/>
                <w:kern w:val="0"/>
                <w:sz w:val="24"/>
                <w:szCs w:val="24"/>
                <w:lang w:val="en-US" w:eastAsia="zh-CN" w:bidi="ar"/>
              </w:rPr>
              <w:t>吸附性能，在水解过程中，伴随发生凝聚，吸附和沉淀等物理化学过程。聚合氯化铝与传统无机混凝剂的根本区别在于传统无机混凝剂为低分子结晶盐，而聚合氯化铝的结构由形态多变的多元羧基络合物组成，絮凝沉淀速度快，适用pH值范围宽，对管道设备无腐蚀性，净水效果明显，能有效支撑</w:t>
            </w:r>
            <w:r>
              <w:rPr>
                <w:rFonts w:hint="eastAsia" w:ascii="Times New Roman" w:hAnsi="Times New Roman" w:eastAsia="宋体" w:cs="Times New Roman"/>
                <w:color w:val="auto"/>
                <w:kern w:val="0"/>
                <w:sz w:val="24"/>
                <w:szCs w:val="24"/>
                <w:lang w:val="en-US" w:eastAsia="zh-CN" w:bidi="ar"/>
              </w:rPr>
              <w:t>去</w:t>
            </w:r>
            <w:r>
              <w:rPr>
                <w:rFonts w:hint="default" w:ascii="Times New Roman" w:hAnsi="Times New Roman" w:eastAsia="宋体" w:cs="Times New Roman"/>
                <w:color w:val="auto"/>
                <w:kern w:val="0"/>
                <w:sz w:val="24"/>
                <w:szCs w:val="24"/>
                <w:lang w:val="en-US" w:eastAsia="zh-CN" w:bidi="ar"/>
              </w:rPr>
              <w:t>除水中色质</w:t>
            </w:r>
            <w:r>
              <w:rPr>
                <w:rFonts w:hint="eastAsia" w:ascii="Times New Roman" w:hAnsi="Times New Roman" w:eastAsia="宋体" w:cs="Times New Roman"/>
                <w:color w:val="auto"/>
                <w:kern w:val="0"/>
                <w:sz w:val="24"/>
                <w:szCs w:val="24"/>
                <w:lang w:val="en-US" w:eastAsia="zh-CN" w:bidi="ar"/>
              </w:rPr>
              <w:t>、</w:t>
            </w:r>
            <w:r>
              <w:rPr>
                <w:rFonts w:hint="default" w:ascii="Times New Roman" w:hAnsi="Times New Roman" w:eastAsia="宋体" w:cs="Times New Roman"/>
                <w:color w:val="auto"/>
                <w:kern w:val="0"/>
                <w:sz w:val="24"/>
                <w:szCs w:val="24"/>
                <w:lang w:val="en-US" w:eastAsia="zh-CN" w:bidi="ar"/>
              </w:rPr>
              <w:t>SS、COD、BOD 及砷、汞等重金属离子。聚合氯化铝本身没有毒性，无腐蚀性。</w:t>
            </w:r>
          </w:p>
          <w:p w14:paraId="685016EB">
            <w:pPr>
              <w:pStyle w:val="180"/>
              <w:framePr w:hSpace="0" w:wrap="auto" w:vAnchor="margin" w:hAnchor="text" w:xAlign="left" w:yAlign="inline"/>
              <w:ind w:firstLine="482"/>
              <w:rPr>
                <w:color w:val="auto"/>
              </w:rPr>
            </w:pPr>
            <w:r>
              <w:rPr>
                <w:color w:val="auto"/>
              </w:rPr>
              <w:t>2.2.7</w:t>
            </w:r>
            <w:r>
              <w:rPr>
                <w:rFonts w:hint="eastAsia"/>
                <w:color w:val="auto"/>
              </w:rPr>
              <w:t>主要生产设备</w:t>
            </w:r>
          </w:p>
          <w:p w14:paraId="5DEFA5FF">
            <w:pPr>
              <w:pStyle w:val="181"/>
              <w:wordWrap/>
              <w:ind w:firstLine="480"/>
              <w:rPr>
                <w:color w:val="auto"/>
              </w:rPr>
            </w:pPr>
            <w:r>
              <w:rPr>
                <w:color w:val="auto"/>
              </w:rPr>
              <w:t>主要生产设备详见下表。</w:t>
            </w:r>
          </w:p>
          <w:p w14:paraId="32E8F7EB">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表 </w:t>
            </w:r>
            <w:r>
              <w:rPr>
                <w:rFonts w:hint="eastAsia"/>
                <w:color w:val="auto"/>
                <w:lang w:val="en-US" w:eastAsia="zh-CN"/>
              </w:rPr>
              <w:t>2</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5</w:t>
            </w:r>
            <w:r>
              <w:rPr>
                <w:color w:val="auto"/>
              </w:rPr>
              <w:fldChar w:fldCharType="end"/>
            </w:r>
            <w:r>
              <w:rPr>
                <w:rFonts w:hint="eastAsia"/>
                <w:color w:val="auto"/>
                <w:lang w:val="en-US" w:eastAsia="zh-CN"/>
              </w:rPr>
              <w:t xml:space="preserve"> </w:t>
            </w:r>
            <w:r>
              <w:rPr>
                <w:color w:val="auto"/>
              </w:rPr>
              <w:t>项目主要生产设备一览表</w:t>
            </w:r>
          </w:p>
          <w:tbl>
            <w:tblPr>
              <w:tblStyle w:val="54"/>
              <w:tblW w:w="498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1663"/>
              <w:gridCol w:w="2186"/>
              <w:gridCol w:w="1236"/>
              <w:gridCol w:w="1438"/>
              <w:gridCol w:w="1438"/>
            </w:tblGrid>
            <w:tr w14:paraId="2CAB4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42E642A2">
                  <w:pPr>
                    <w:pStyle w:val="287"/>
                    <w:framePr w:hSpace="0" w:wrap="auto" w:vAnchor="margin" w:hAnchor="text" w:xAlign="left" w:yAlign="inline"/>
                    <w:bidi w:val="0"/>
                    <w:rPr>
                      <w:rFonts w:hint="eastAsia"/>
                      <w:color w:val="auto"/>
                      <w:lang w:eastAsia="zh-CN"/>
                    </w:rPr>
                  </w:pPr>
                  <w:r>
                    <w:rPr>
                      <w:rFonts w:hint="eastAsia"/>
                      <w:color w:val="auto"/>
                      <w:lang w:eastAsia="zh-CN"/>
                    </w:rPr>
                    <w:t>序号</w:t>
                  </w:r>
                </w:p>
              </w:tc>
              <w:tc>
                <w:tcPr>
                  <w:tcW w:w="958" w:type="pct"/>
                  <w:vAlign w:val="center"/>
                </w:tcPr>
                <w:p w14:paraId="0D3C86FB">
                  <w:pPr>
                    <w:pStyle w:val="287"/>
                    <w:framePr w:hSpace="0" w:wrap="auto" w:vAnchor="margin" w:hAnchor="text" w:xAlign="left" w:yAlign="inline"/>
                    <w:bidi w:val="0"/>
                    <w:rPr>
                      <w:rFonts w:hint="eastAsia"/>
                      <w:color w:val="auto"/>
                      <w:lang w:eastAsia="zh-CN"/>
                    </w:rPr>
                  </w:pPr>
                  <w:r>
                    <w:rPr>
                      <w:rFonts w:hint="eastAsia"/>
                      <w:color w:val="auto"/>
                      <w:lang w:eastAsia="zh-CN"/>
                    </w:rPr>
                    <w:t>名称</w:t>
                  </w:r>
                </w:p>
              </w:tc>
              <w:tc>
                <w:tcPr>
                  <w:tcW w:w="1259" w:type="pct"/>
                  <w:vAlign w:val="center"/>
                </w:tcPr>
                <w:p w14:paraId="0B737199">
                  <w:pPr>
                    <w:pStyle w:val="287"/>
                    <w:framePr w:hSpace="0" w:wrap="auto" w:vAnchor="margin" w:hAnchor="text" w:xAlign="left" w:yAlign="inline"/>
                    <w:bidi w:val="0"/>
                    <w:rPr>
                      <w:rFonts w:hint="eastAsia"/>
                      <w:color w:val="auto"/>
                      <w:lang w:eastAsia="zh-CN"/>
                    </w:rPr>
                  </w:pPr>
                  <w:r>
                    <w:rPr>
                      <w:rFonts w:hint="eastAsia"/>
                      <w:color w:val="auto"/>
                      <w:lang w:eastAsia="zh-CN"/>
                    </w:rPr>
                    <w:t>规格型号</w:t>
                  </w:r>
                </w:p>
              </w:tc>
              <w:tc>
                <w:tcPr>
                  <w:tcW w:w="712" w:type="pct"/>
                  <w:vAlign w:val="center"/>
                </w:tcPr>
                <w:p w14:paraId="74CFBAD0">
                  <w:pPr>
                    <w:pStyle w:val="287"/>
                    <w:framePr w:hSpace="0" w:wrap="auto" w:vAnchor="margin" w:hAnchor="text" w:xAlign="left" w:yAlign="inline"/>
                    <w:bidi w:val="0"/>
                    <w:rPr>
                      <w:rFonts w:hint="eastAsia"/>
                      <w:color w:val="auto"/>
                      <w:lang w:eastAsia="zh-CN"/>
                    </w:rPr>
                  </w:pPr>
                  <w:r>
                    <w:rPr>
                      <w:rFonts w:hint="eastAsia"/>
                      <w:color w:val="auto"/>
                      <w:lang w:eastAsia="zh-CN"/>
                    </w:rPr>
                    <w:t>数量</w:t>
                  </w:r>
                </w:p>
              </w:tc>
              <w:tc>
                <w:tcPr>
                  <w:tcW w:w="828" w:type="pct"/>
                  <w:vAlign w:val="center"/>
                </w:tcPr>
                <w:p w14:paraId="37D0E4BC">
                  <w:pPr>
                    <w:pStyle w:val="287"/>
                    <w:framePr w:hSpace="0" w:wrap="auto" w:vAnchor="margin" w:hAnchor="text" w:xAlign="left" w:yAlign="inline"/>
                    <w:bidi w:val="0"/>
                    <w:rPr>
                      <w:rFonts w:hint="default"/>
                      <w:color w:val="auto"/>
                      <w:lang w:val="en-US" w:eastAsia="zh-CN"/>
                    </w:rPr>
                  </w:pPr>
                  <w:r>
                    <w:rPr>
                      <w:rFonts w:hint="eastAsia"/>
                      <w:color w:val="auto"/>
                      <w:lang w:val="en-US" w:eastAsia="zh-CN"/>
                    </w:rPr>
                    <w:t>单位</w:t>
                  </w:r>
                </w:p>
              </w:tc>
              <w:tc>
                <w:tcPr>
                  <w:tcW w:w="828" w:type="pct"/>
                  <w:vAlign w:val="center"/>
                </w:tcPr>
                <w:p w14:paraId="78BB76AF">
                  <w:pPr>
                    <w:pStyle w:val="287"/>
                    <w:framePr w:hSpace="0" w:wrap="auto" w:vAnchor="margin" w:hAnchor="text" w:xAlign="left" w:yAlign="inline"/>
                    <w:bidi w:val="0"/>
                    <w:rPr>
                      <w:rFonts w:hint="eastAsia"/>
                      <w:color w:val="auto"/>
                      <w:lang w:eastAsia="zh-CN"/>
                    </w:rPr>
                  </w:pPr>
                  <w:r>
                    <w:rPr>
                      <w:rFonts w:hint="eastAsia"/>
                      <w:color w:val="auto"/>
                      <w:lang w:eastAsia="zh-CN"/>
                    </w:rPr>
                    <w:t>备注</w:t>
                  </w:r>
                </w:p>
              </w:tc>
            </w:tr>
            <w:tr w14:paraId="41F4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4A1B3C33">
                  <w:pPr>
                    <w:pStyle w:val="287"/>
                    <w:framePr w:hSpace="0" w:wrap="auto" w:vAnchor="margin" w:hAnchor="text" w:xAlign="left" w:yAlign="inline"/>
                    <w:bidi w:val="0"/>
                    <w:rPr>
                      <w:rFonts w:hint="default"/>
                      <w:color w:val="auto"/>
                      <w:lang w:val="en-US" w:eastAsia="zh-CN"/>
                    </w:rPr>
                  </w:pPr>
                  <w:r>
                    <w:rPr>
                      <w:rFonts w:hint="eastAsia"/>
                      <w:color w:val="auto"/>
                      <w:lang w:val="en-US" w:eastAsia="zh-CN"/>
                    </w:rPr>
                    <w:t>1</w:t>
                  </w:r>
                </w:p>
              </w:tc>
              <w:tc>
                <w:tcPr>
                  <w:tcW w:w="958" w:type="pct"/>
                  <w:shd w:val="clear" w:color="auto" w:fill="auto"/>
                  <w:vAlign w:val="center"/>
                </w:tcPr>
                <w:p w14:paraId="043E4058">
                  <w:pPr>
                    <w:pStyle w:val="287"/>
                    <w:framePr w:hSpace="0" w:wrap="auto" w:vAnchor="margin" w:hAnchor="text" w:xAlign="left" w:yAlign="inline"/>
                    <w:bidi w:val="0"/>
                    <w:rPr>
                      <w:rFonts w:hint="eastAsia"/>
                      <w:color w:val="auto"/>
                      <w:lang w:val="en-US" w:eastAsia="zh-CN"/>
                    </w:rPr>
                  </w:pPr>
                  <w:r>
                    <w:rPr>
                      <w:rFonts w:hint="eastAsia"/>
                      <w:color w:val="auto"/>
                      <w:lang w:eastAsia="zh-CN"/>
                    </w:rPr>
                    <w:t>给料机</w:t>
                  </w:r>
                </w:p>
              </w:tc>
              <w:tc>
                <w:tcPr>
                  <w:tcW w:w="1259" w:type="pct"/>
                  <w:shd w:val="clear" w:color="auto" w:fill="auto"/>
                  <w:vAlign w:val="center"/>
                </w:tcPr>
                <w:p w14:paraId="67C3444C">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往复式1200型</w:t>
                  </w:r>
                </w:p>
              </w:tc>
              <w:tc>
                <w:tcPr>
                  <w:tcW w:w="712" w:type="pct"/>
                  <w:shd w:val="clear" w:color="auto" w:fill="auto"/>
                  <w:vAlign w:val="center"/>
                </w:tcPr>
                <w:p w14:paraId="37E85812">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1</w:t>
                  </w:r>
                </w:p>
              </w:tc>
              <w:tc>
                <w:tcPr>
                  <w:tcW w:w="828" w:type="pct"/>
                  <w:vAlign w:val="center"/>
                </w:tcPr>
                <w:p w14:paraId="40834AA5">
                  <w:pPr>
                    <w:pStyle w:val="287"/>
                    <w:framePr w:hSpace="0" w:wrap="auto" w:vAnchor="margin" w:hAnchor="text" w:xAlign="left" w:yAlign="inline"/>
                    <w:bidi w:val="0"/>
                    <w:rPr>
                      <w:rFonts w:hint="eastAsia"/>
                      <w:color w:val="auto"/>
                      <w:lang w:val="en-US" w:eastAsia="zh-CN"/>
                    </w:rPr>
                  </w:pPr>
                  <w:r>
                    <w:rPr>
                      <w:rFonts w:hint="eastAsia"/>
                      <w:color w:val="auto"/>
                      <w:lang w:eastAsia="zh-CN"/>
                    </w:rPr>
                    <w:t>台</w:t>
                  </w:r>
                </w:p>
              </w:tc>
              <w:tc>
                <w:tcPr>
                  <w:tcW w:w="828" w:type="pct"/>
                  <w:vAlign w:val="center"/>
                </w:tcPr>
                <w:p w14:paraId="60CDC005">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1E414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2E31ABFB">
                  <w:pPr>
                    <w:pStyle w:val="287"/>
                    <w:framePr w:hSpace="0" w:wrap="auto" w:vAnchor="margin" w:hAnchor="text" w:xAlign="left" w:yAlign="inline"/>
                    <w:bidi w:val="0"/>
                    <w:rPr>
                      <w:rFonts w:hint="default"/>
                      <w:color w:val="auto"/>
                      <w:lang w:val="en-US" w:eastAsia="zh-CN"/>
                    </w:rPr>
                  </w:pPr>
                  <w:r>
                    <w:rPr>
                      <w:rFonts w:hint="eastAsia"/>
                      <w:color w:val="auto"/>
                      <w:lang w:val="en-US" w:eastAsia="zh-CN"/>
                    </w:rPr>
                    <w:t>2</w:t>
                  </w:r>
                </w:p>
              </w:tc>
              <w:tc>
                <w:tcPr>
                  <w:tcW w:w="958" w:type="pct"/>
                  <w:shd w:val="clear" w:color="auto" w:fill="auto"/>
                  <w:vAlign w:val="center"/>
                </w:tcPr>
                <w:p w14:paraId="06D2F3D2">
                  <w:pPr>
                    <w:pStyle w:val="287"/>
                    <w:framePr w:hSpace="0" w:wrap="auto" w:vAnchor="margin" w:hAnchor="text" w:xAlign="left" w:yAlign="inline"/>
                    <w:bidi w:val="0"/>
                    <w:rPr>
                      <w:rFonts w:hint="eastAsia"/>
                      <w:color w:val="auto"/>
                      <w:lang w:val="en-US" w:eastAsia="zh-CN"/>
                    </w:rPr>
                  </w:pPr>
                  <w:r>
                    <w:rPr>
                      <w:rFonts w:hint="eastAsia"/>
                      <w:color w:val="auto"/>
                      <w:lang w:eastAsia="zh-CN"/>
                    </w:rPr>
                    <w:t>皮带机</w:t>
                  </w:r>
                </w:p>
              </w:tc>
              <w:tc>
                <w:tcPr>
                  <w:tcW w:w="1259" w:type="pct"/>
                  <w:shd w:val="clear" w:color="auto" w:fill="auto"/>
                  <w:vAlign w:val="center"/>
                </w:tcPr>
                <w:p w14:paraId="265BC849">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DT75-B1000</w:t>
                  </w:r>
                </w:p>
              </w:tc>
              <w:tc>
                <w:tcPr>
                  <w:tcW w:w="712" w:type="pct"/>
                  <w:shd w:val="clear" w:color="auto" w:fill="auto"/>
                  <w:vAlign w:val="center"/>
                </w:tcPr>
                <w:p w14:paraId="56307D43">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3</w:t>
                  </w:r>
                </w:p>
              </w:tc>
              <w:tc>
                <w:tcPr>
                  <w:tcW w:w="828" w:type="pct"/>
                  <w:vAlign w:val="center"/>
                </w:tcPr>
                <w:p w14:paraId="70684A59">
                  <w:pPr>
                    <w:pStyle w:val="287"/>
                    <w:framePr w:hSpace="0" w:wrap="auto" w:vAnchor="margin" w:hAnchor="text" w:xAlign="left" w:yAlign="inline"/>
                    <w:bidi w:val="0"/>
                    <w:rPr>
                      <w:rFonts w:hint="eastAsia"/>
                      <w:color w:val="auto"/>
                      <w:lang w:val="en-US" w:eastAsia="zh-CN"/>
                    </w:rPr>
                  </w:pPr>
                  <w:r>
                    <w:rPr>
                      <w:rFonts w:hint="eastAsia"/>
                      <w:color w:val="auto"/>
                      <w:lang w:eastAsia="zh-CN"/>
                    </w:rPr>
                    <w:t>台</w:t>
                  </w:r>
                </w:p>
              </w:tc>
              <w:tc>
                <w:tcPr>
                  <w:tcW w:w="828" w:type="pct"/>
                  <w:vAlign w:val="center"/>
                </w:tcPr>
                <w:p w14:paraId="4DAC65F6">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7708F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0D56A3D2">
                  <w:pPr>
                    <w:pStyle w:val="287"/>
                    <w:framePr w:hSpace="0" w:wrap="auto" w:vAnchor="margin" w:hAnchor="text" w:xAlign="left" w:yAlign="inline"/>
                    <w:bidi w:val="0"/>
                    <w:rPr>
                      <w:rFonts w:hint="default"/>
                      <w:color w:val="auto"/>
                      <w:lang w:val="en-US" w:eastAsia="zh-CN"/>
                    </w:rPr>
                  </w:pPr>
                  <w:r>
                    <w:rPr>
                      <w:rFonts w:hint="eastAsia"/>
                      <w:color w:val="auto"/>
                      <w:lang w:val="en-US" w:eastAsia="zh-CN"/>
                    </w:rPr>
                    <w:t>3</w:t>
                  </w:r>
                </w:p>
              </w:tc>
              <w:tc>
                <w:tcPr>
                  <w:tcW w:w="958" w:type="pct"/>
                  <w:shd w:val="clear" w:color="auto" w:fill="auto"/>
                  <w:vAlign w:val="center"/>
                </w:tcPr>
                <w:p w14:paraId="72C335B1">
                  <w:pPr>
                    <w:pStyle w:val="287"/>
                    <w:framePr w:hSpace="0" w:wrap="auto" w:vAnchor="margin" w:hAnchor="text" w:xAlign="left" w:yAlign="inline"/>
                    <w:bidi w:val="0"/>
                    <w:rPr>
                      <w:rFonts w:hint="eastAsia"/>
                      <w:color w:val="auto"/>
                      <w:lang w:val="en-US" w:eastAsia="zh-CN"/>
                    </w:rPr>
                  </w:pPr>
                  <w:r>
                    <w:rPr>
                      <w:rFonts w:hint="eastAsia"/>
                      <w:color w:val="auto"/>
                      <w:lang w:eastAsia="zh-CN"/>
                    </w:rPr>
                    <w:t>数控跳汰机</w:t>
                  </w:r>
                </w:p>
              </w:tc>
              <w:tc>
                <w:tcPr>
                  <w:tcW w:w="1259" w:type="pct"/>
                  <w:shd w:val="clear" w:color="auto" w:fill="auto"/>
                  <w:vAlign w:val="center"/>
                </w:tcPr>
                <w:p w14:paraId="099B1602">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SKT-12</w:t>
                  </w:r>
                </w:p>
              </w:tc>
              <w:tc>
                <w:tcPr>
                  <w:tcW w:w="712" w:type="pct"/>
                  <w:shd w:val="clear" w:color="auto" w:fill="auto"/>
                  <w:vAlign w:val="center"/>
                </w:tcPr>
                <w:p w14:paraId="284F52FA">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2</w:t>
                  </w:r>
                </w:p>
              </w:tc>
              <w:tc>
                <w:tcPr>
                  <w:tcW w:w="828" w:type="pct"/>
                  <w:vAlign w:val="center"/>
                </w:tcPr>
                <w:p w14:paraId="2A53C800">
                  <w:pPr>
                    <w:pStyle w:val="287"/>
                    <w:framePr w:hSpace="0" w:wrap="auto" w:vAnchor="margin" w:hAnchor="text" w:xAlign="left" w:yAlign="inline"/>
                    <w:bidi w:val="0"/>
                    <w:rPr>
                      <w:rFonts w:hint="eastAsia"/>
                      <w:color w:val="auto"/>
                      <w:lang w:val="en-US" w:eastAsia="zh-CN"/>
                    </w:rPr>
                  </w:pPr>
                  <w:r>
                    <w:rPr>
                      <w:rFonts w:hint="eastAsia"/>
                      <w:color w:val="auto"/>
                      <w:lang w:eastAsia="zh-CN"/>
                    </w:rPr>
                    <w:t>台</w:t>
                  </w:r>
                </w:p>
              </w:tc>
              <w:tc>
                <w:tcPr>
                  <w:tcW w:w="828" w:type="pct"/>
                  <w:vAlign w:val="center"/>
                </w:tcPr>
                <w:p w14:paraId="48AD574E">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321D5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1C3D120D">
                  <w:pPr>
                    <w:pStyle w:val="287"/>
                    <w:framePr w:hSpace="0" w:wrap="auto" w:vAnchor="margin" w:hAnchor="text" w:xAlign="left" w:yAlign="inline"/>
                    <w:bidi w:val="0"/>
                    <w:rPr>
                      <w:rFonts w:hint="default"/>
                      <w:color w:val="auto"/>
                      <w:lang w:val="en-US" w:eastAsia="zh-CN"/>
                    </w:rPr>
                  </w:pPr>
                  <w:r>
                    <w:rPr>
                      <w:rFonts w:hint="eastAsia"/>
                      <w:color w:val="auto"/>
                      <w:lang w:val="en-US" w:eastAsia="zh-CN"/>
                    </w:rPr>
                    <w:t>4</w:t>
                  </w:r>
                </w:p>
              </w:tc>
              <w:tc>
                <w:tcPr>
                  <w:tcW w:w="958" w:type="pct"/>
                  <w:shd w:val="clear" w:color="auto" w:fill="auto"/>
                  <w:vAlign w:val="center"/>
                </w:tcPr>
                <w:p w14:paraId="3EF101C3">
                  <w:pPr>
                    <w:pStyle w:val="287"/>
                    <w:framePr w:hSpace="0" w:wrap="auto" w:vAnchor="margin" w:hAnchor="text" w:xAlign="left" w:yAlign="inline"/>
                    <w:bidi w:val="0"/>
                    <w:rPr>
                      <w:rFonts w:hint="eastAsia"/>
                      <w:color w:val="auto"/>
                      <w:lang w:val="en-US" w:eastAsia="zh-CN"/>
                    </w:rPr>
                  </w:pPr>
                  <w:r>
                    <w:rPr>
                      <w:rFonts w:hint="eastAsia"/>
                      <w:color w:val="auto"/>
                      <w:lang w:eastAsia="zh-CN"/>
                    </w:rPr>
                    <w:t>风箱</w:t>
                  </w:r>
                </w:p>
              </w:tc>
              <w:tc>
                <w:tcPr>
                  <w:tcW w:w="1259" w:type="pct"/>
                  <w:shd w:val="clear" w:color="auto" w:fill="auto"/>
                  <w:vAlign w:val="center"/>
                </w:tcPr>
                <w:p w14:paraId="7BF33DDC">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SKT-2</w:t>
                  </w:r>
                </w:p>
              </w:tc>
              <w:tc>
                <w:tcPr>
                  <w:tcW w:w="712" w:type="pct"/>
                  <w:shd w:val="clear" w:color="auto" w:fill="auto"/>
                  <w:vAlign w:val="center"/>
                </w:tcPr>
                <w:p w14:paraId="411B783D">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1</w:t>
                  </w:r>
                </w:p>
              </w:tc>
              <w:tc>
                <w:tcPr>
                  <w:tcW w:w="828" w:type="pct"/>
                  <w:vAlign w:val="center"/>
                </w:tcPr>
                <w:p w14:paraId="619B1963">
                  <w:pPr>
                    <w:pStyle w:val="287"/>
                    <w:framePr w:hSpace="0" w:wrap="auto" w:vAnchor="margin" w:hAnchor="text" w:xAlign="left" w:yAlign="inline"/>
                    <w:bidi w:val="0"/>
                    <w:rPr>
                      <w:rFonts w:hint="eastAsia"/>
                      <w:color w:val="auto"/>
                      <w:lang w:val="en-US" w:eastAsia="zh-CN"/>
                    </w:rPr>
                  </w:pPr>
                  <w:r>
                    <w:rPr>
                      <w:rFonts w:hint="eastAsia"/>
                      <w:color w:val="auto"/>
                      <w:lang w:eastAsia="zh-CN"/>
                    </w:rPr>
                    <w:t>台</w:t>
                  </w:r>
                </w:p>
              </w:tc>
              <w:tc>
                <w:tcPr>
                  <w:tcW w:w="828" w:type="pct"/>
                  <w:vAlign w:val="center"/>
                </w:tcPr>
                <w:p w14:paraId="5EE6AE86">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66A92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4B649C61">
                  <w:pPr>
                    <w:pStyle w:val="287"/>
                    <w:framePr w:hSpace="0" w:wrap="auto" w:vAnchor="margin" w:hAnchor="text" w:xAlign="left" w:yAlign="inline"/>
                    <w:bidi w:val="0"/>
                    <w:rPr>
                      <w:rFonts w:hint="default"/>
                      <w:color w:val="auto"/>
                      <w:lang w:val="en-US" w:eastAsia="zh-CN"/>
                    </w:rPr>
                  </w:pPr>
                  <w:r>
                    <w:rPr>
                      <w:rFonts w:hint="eastAsia"/>
                      <w:color w:val="auto"/>
                      <w:lang w:val="en-US" w:eastAsia="zh-CN"/>
                    </w:rPr>
                    <w:t>5</w:t>
                  </w:r>
                </w:p>
              </w:tc>
              <w:tc>
                <w:tcPr>
                  <w:tcW w:w="958" w:type="pct"/>
                  <w:shd w:val="clear" w:color="auto" w:fill="auto"/>
                  <w:vAlign w:val="center"/>
                </w:tcPr>
                <w:p w14:paraId="3A0155BF">
                  <w:pPr>
                    <w:pStyle w:val="287"/>
                    <w:framePr w:hSpace="0" w:wrap="auto" w:vAnchor="margin" w:hAnchor="text" w:xAlign="left" w:yAlign="inline"/>
                    <w:bidi w:val="0"/>
                    <w:rPr>
                      <w:rFonts w:hint="eastAsia"/>
                      <w:color w:val="auto"/>
                      <w:lang w:val="en-US" w:eastAsia="zh-CN"/>
                    </w:rPr>
                  </w:pPr>
                  <w:r>
                    <w:rPr>
                      <w:rFonts w:hint="eastAsia"/>
                      <w:color w:val="auto"/>
                      <w:lang w:eastAsia="zh-CN"/>
                    </w:rPr>
                    <w:t>操作系统</w:t>
                  </w:r>
                </w:p>
              </w:tc>
              <w:tc>
                <w:tcPr>
                  <w:tcW w:w="1259" w:type="pct"/>
                  <w:shd w:val="clear" w:color="auto" w:fill="auto"/>
                  <w:vAlign w:val="center"/>
                </w:tcPr>
                <w:p w14:paraId="4B2C7B0C">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数控操作系统</w:t>
                  </w:r>
                </w:p>
              </w:tc>
              <w:tc>
                <w:tcPr>
                  <w:tcW w:w="712" w:type="pct"/>
                  <w:shd w:val="clear" w:color="auto" w:fill="auto"/>
                  <w:vAlign w:val="center"/>
                </w:tcPr>
                <w:p w14:paraId="2348008C">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1</w:t>
                  </w:r>
                </w:p>
              </w:tc>
              <w:tc>
                <w:tcPr>
                  <w:tcW w:w="828" w:type="pct"/>
                  <w:vAlign w:val="center"/>
                </w:tcPr>
                <w:p w14:paraId="592947D2">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套</w:t>
                  </w:r>
                </w:p>
              </w:tc>
              <w:tc>
                <w:tcPr>
                  <w:tcW w:w="828" w:type="pct"/>
                  <w:vAlign w:val="center"/>
                </w:tcPr>
                <w:p w14:paraId="0287C6A2">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36D4C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27158BAE">
                  <w:pPr>
                    <w:pStyle w:val="287"/>
                    <w:framePr w:hSpace="0" w:wrap="auto" w:vAnchor="margin" w:hAnchor="text" w:xAlign="left" w:yAlign="inline"/>
                    <w:bidi w:val="0"/>
                    <w:rPr>
                      <w:rFonts w:hint="default"/>
                      <w:color w:val="auto"/>
                      <w:lang w:val="en-US" w:eastAsia="zh-CN"/>
                    </w:rPr>
                  </w:pPr>
                  <w:r>
                    <w:rPr>
                      <w:rFonts w:hint="eastAsia"/>
                      <w:color w:val="auto"/>
                      <w:lang w:val="en-US" w:eastAsia="zh-CN"/>
                    </w:rPr>
                    <w:t>6</w:t>
                  </w:r>
                </w:p>
              </w:tc>
              <w:tc>
                <w:tcPr>
                  <w:tcW w:w="958" w:type="pct"/>
                  <w:shd w:val="clear" w:color="auto" w:fill="auto"/>
                  <w:vAlign w:val="center"/>
                </w:tcPr>
                <w:p w14:paraId="52A478C5">
                  <w:pPr>
                    <w:pStyle w:val="287"/>
                    <w:framePr w:hSpace="0" w:wrap="auto" w:vAnchor="margin" w:hAnchor="text" w:xAlign="left" w:yAlign="inline"/>
                    <w:bidi w:val="0"/>
                    <w:rPr>
                      <w:rFonts w:hint="eastAsia"/>
                      <w:color w:val="auto"/>
                      <w:lang w:val="en-US" w:eastAsia="zh-CN"/>
                    </w:rPr>
                  </w:pPr>
                  <w:r>
                    <w:rPr>
                      <w:rFonts w:hint="eastAsia"/>
                      <w:color w:val="auto"/>
                      <w:lang w:eastAsia="zh-CN"/>
                    </w:rPr>
                    <w:t>脱水筛</w:t>
                  </w:r>
                </w:p>
              </w:tc>
              <w:tc>
                <w:tcPr>
                  <w:tcW w:w="1259" w:type="pct"/>
                  <w:shd w:val="clear" w:color="auto" w:fill="auto"/>
                  <w:vAlign w:val="center"/>
                </w:tcPr>
                <w:p w14:paraId="15A42C3F">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Zk2448</w:t>
                  </w:r>
                </w:p>
              </w:tc>
              <w:tc>
                <w:tcPr>
                  <w:tcW w:w="712" w:type="pct"/>
                  <w:shd w:val="clear" w:color="auto" w:fill="auto"/>
                  <w:vAlign w:val="center"/>
                </w:tcPr>
                <w:p w14:paraId="1CD2D408">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6</w:t>
                  </w:r>
                </w:p>
              </w:tc>
              <w:tc>
                <w:tcPr>
                  <w:tcW w:w="828" w:type="pct"/>
                  <w:vAlign w:val="center"/>
                </w:tcPr>
                <w:p w14:paraId="5182B298">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套</w:t>
                  </w:r>
                </w:p>
              </w:tc>
              <w:tc>
                <w:tcPr>
                  <w:tcW w:w="828" w:type="pct"/>
                  <w:vAlign w:val="center"/>
                </w:tcPr>
                <w:p w14:paraId="5E26B2E4">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4A615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62CB299D">
                  <w:pPr>
                    <w:pStyle w:val="287"/>
                    <w:framePr w:hSpace="0" w:wrap="auto" w:vAnchor="margin" w:hAnchor="text" w:xAlign="left" w:yAlign="inline"/>
                    <w:bidi w:val="0"/>
                    <w:rPr>
                      <w:rFonts w:hint="default"/>
                      <w:color w:val="auto"/>
                      <w:lang w:val="en-US" w:eastAsia="zh-CN"/>
                    </w:rPr>
                  </w:pPr>
                  <w:r>
                    <w:rPr>
                      <w:rFonts w:hint="eastAsia"/>
                      <w:color w:val="auto"/>
                      <w:lang w:val="en-US" w:eastAsia="zh-CN"/>
                    </w:rPr>
                    <w:t>7</w:t>
                  </w:r>
                </w:p>
              </w:tc>
              <w:tc>
                <w:tcPr>
                  <w:tcW w:w="958" w:type="pct"/>
                  <w:shd w:val="clear" w:color="auto" w:fill="auto"/>
                  <w:vAlign w:val="center"/>
                </w:tcPr>
                <w:p w14:paraId="754AA675">
                  <w:pPr>
                    <w:pStyle w:val="287"/>
                    <w:framePr w:hSpace="0" w:wrap="auto" w:vAnchor="margin" w:hAnchor="text" w:xAlign="left" w:yAlign="inline"/>
                    <w:bidi w:val="0"/>
                    <w:rPr>
                      <w:rFonts w:hint="eastAsia"/>
                      <w:color w:val="auto"/>
                      <w:lang w:val="en-US" w:eastAsia="zh-CN"/>
                    </w:rPr>
                  </w:pPr>
                  <w:r>
                    <w:rPr>
                      <w:rFonts w:hint="eastAsia"/>
                      <w:color w:val="auto"/>
                      <w:lang w:eastAsia="zh-CN"/>
                    </w:rPr>
                    <w:t>提斗机</w:t>
                  </w:r>
                </w:p>
              </w:tc>
              <w:tc>
                <w:tcPr>
                  <w:tcW w:w="1259" w:type="pct"/>
                  <w:shd w:val="clear" w:color="auto" w:fill="auto"/>
                  <w:vAlign w:val="center"/>
                </w:tcPr>
                <w:p w14:paraId="50F34F97">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B32100</w:t>
                  </w:r>
                </w:p>
              </w:tc>
              <w:tc>
                <w:tcPr>
                  <w:tcW w:w="712" w:type="pct"/>
                  <w:shd w:val="clear" w:color="auto" w:fill="auto"/>
                  <w:vAlign w:val="center"/>
                </w:tcPr>
                <w:p w14:paraId="5BA056D3">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3</w:t>
                  </w:r>
                </w:p>
              </w:tc>
              <w:tc>
                <w:tcPr>
                  <w:tcW w:w="828" w:type="pct"/>
                  <w:vAlign w:val="center"/>
                </w:tcPr>
                <w:p w14:paraId="00A4E1B6">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套</w:t>
                  </w:r>
                </w:p>
              </w:tc>
              <w:tc>
                <w:tcPr>
                  <w:tcW w:w="828" w:type="pct"/>
                  <w:vAlign w:val="center"/>
                </w:tcPr>
                <w:p w14:paraId="0E4E58A3">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7219D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15835BC8">
                  <w:pPr>
                    <w:pStyle w:val="287"/>
                    <w:framePr w:hSpace="0" w:wrap="auto" w:vAnchor="margin" w:hAnchor="text" w:xAlign="left" w:yAlign="inline"/>
                    <w:bidi w:val="0"/>
                    <w:rPr>
                      <w:rFonts w:hint="default"/>
                      <w:color w:val="auto"/>
                      <w:lang w:val="en-US" w:eastAsia="zh-CN"/>
                    </w:rPr>
                  </w:pPr>
                  <w:r>
                    <w:rPr>
                      <w:rFonts w:hint="eastAsia"/>
                      <w:color w:val="auto"/>
                      <w:lang w:val="en-US" w:eastAsia="zh-CN"/>
                    </w:rPr>
                    <w:t>8</w:t>
                  </w:r>
                </w:p>
              </w:tc>
              <w:tc>
                <w:tcPr>
                  <w:tcW w:w="958" w:type="pct"/>
                  <w:shd w:val="clear" w:color="auto" w:fill="auto"/>
                  <w:vAlign w:val="center"/>
                </w:tcPr>
                <w:p w14:paraId="3538C806">
                  <w:pPr>
                    <w:pStyle w:val="287"/>
                    <w:framePr w:hSpace="0" w:wrap="auto" w:vAnchor="margin" w:hAnchor="text" w:xAlign="left" w:yAlign="inline"/>
                    <w:bidi w:val="0"/>
                    <w:rPr>
                      <w:rFonts w:hint="eastAsia"/>
                      <w:color w:val="auto"/>
                      <w:lang w:val="en-US" w:eastAsia="zh-CN"/>
                    </w:rPr>
                  </w:pPr>
                  <w:r>
                    <w:rPr>
                      <w:rFonts w:hint="eastAsia"/>
                      <w:color w:val="auto"/>
                      <w:lang w:eastAsia="zh-CN"/>
                    </w:rPr>
                    <w:t>水泵</w:t>
                  </w:r>
                </w:p>
              </w:tc>
              <w:tc>
                <w:tcPr>
                  <w:tcW w:w="1259" w:type="pct"/>
                  <w:shd w:val="clear" w:color="auto" w:fill="auto"/>
                  <w:vAlign w:val="center"/>
                </w:tcPr>
                <w:p w14:paraId="4F3014C0">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600</w:t>
                  </w:r>
                  <w:r>
                    <w:rPr>
                      <w:rFonts w:hint="default" w:ascii="Times New Roman" w:hAnsi="Times New Roman" w:cs="Times New Roman"/>
                      <w:color w:val="auto"/>
                      <w:lang w:val="en-US" w:eastAsia="zh-CN"/>
                    </w:rPr>
                    <w:t>m³</w:t>
                  </w:r>
                </w:p>
              </w:tc>
              <w:tc>
                <w:tcPr>
                  <w:tcW w:w="712" w:type="pct"/>
                  <w:shd w:val="clear" w:color="auto" w:fill="auto"/>
                  <w:vAlign w:val="center"/>
                </w:tcPr>
                <w:p w14:paraId="3B4518CF">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2</w:t>
                  </w:r>
                </w:p>
              </w:tc>
              <w:tc>
                <w:tcPr>
                  <w:tcW w:w="828" w:type="pct"/>
                  <w:vAlign w:val="center"/>
                </w:tcPr>
                <w:p w14:paraId="6B6367A1">
                  <w:pPr>
                    <w:pStyle w:val="287"/>
                    <w:framePr w:hSpace="0" w:wrap="auto" w:vAnchor="margin" w:hAnchor="text" w:xAlign="left" w:yAlign="inline"/>
                    <w:bidi w:val="0"/>
                    <w:rPr>
                      <w:rFonts w:hint="eastAsia"/>
                      <w:color w:val="auto"/>
                      <w:lang w:val="en-US" w:eastAsia="zh-CN"/>
                    </w:rPr>
                  </w:pPr>
                  <w:r>
                    <w:rPr>
                      <w:rFonts w:hint="eastAsia"/>
                      <w:color w:val="auto"/>
                      <w:lang w:eastAsia="zh-CN"/>
                    </w:rPr>
                    <w:t>台</w:t>
                  </w:r>
                </w:p>
              </w:tc>
              <w:tc>
                <w:tcPr>
                  <w:tcW w:w="828" w:type="pct"/>
                  <w:vAlign w:val="center"/>
                </w:tcPr>
                <w:p w14:paraId="6440CF73">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0AF9E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3DCB215F">
                  <w:pPr>
                    <w:pStyle w:val="287"/>
                    <w:framePr w:hSpace="0" w:wrap="auto" w:vAnchor="margin" w:hAnchor="text" w:xAlign="left" w:yAlign="inline"/>
                    <w:bidi w:val="0"/>
                    <w:rPr>
                      <w:rFonts w:hint="default"/>
                      <w:color w:val="auto"/>
                      <w:lang w:val="en-US" w:eastAsia="zh-CN"/>
                    </w:rPr>
                  </w:pPr>
                  <w:r>
                    <w:rPr>
                      <w:rFonts w:hint="eastAsia"/>
                      <w:color w:val="auto"/>
                      <w:lang w:val="en-US" w:eastAsia="zh-CN"/>
                    </w:rPr>
                    <w:t>9</w:t>
                  </w:r>
                </w:p>
              </w:tc>
              <w:tc>
                <w:tcPr>
                  <w:tcW w:w="958" w:type="pct"/>
                  <w:shd w:val="clear" w:color="auto" w:fill="auto"/>
                  <w:vAlign w:val="center"/>
                </w:tcPr>
                <w:p w14:paraId="70968CBE">
                  <w:pPr>
                    <w:pStyle w:val="287"/>
                    <w:framePr w:hSpace="0" w:wrap="auto" w:vAnchor="margin" w:hAnchor="text" w:xAlign="left" w:yAlign="inline"/>
                    <w:bidi w:val="0"/>
                    <w:rPr>
                      <w:rFonts w:hint="eastAsia"/>
                      <w:color w:val="auto"/>
                      <w:lang w:val="en-US" w:eastAsia="zh-CN"/>
                    </w:rPr>
                  </w:pPr>
                  <w:r>
                    <w:rPr>
                      <w:rFonts w:hint="eastAsia"/>
                      <w:color w:val="auto"/>
                      <w:lang w:eastAsia="zh-CN"/>
                    </w:rPr>
                    <w:t>风机</w:t>
                  </w:r>
                </w:p>
              </w:tc>
              <w:tc>
                <w:tcPr>
                  <w:tcW w:w="1259" w:type="pct"/>
                  <w:shd w:val="clear" w:color="auto" w:fill="auto"/>
                  <w:vAlign w:val="center"/>
                </w:tcPr>
                <w:p w14:paraId="038BC361">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NSR300</w:t>
                  </w:r>
                </w:p>
              </w:tc>
              <w:tc>
                <w:tcPr>
                  <w:tcW w:w="712" w:type="pct"/>
                  <w:shd w:val="clear" w:color="auto" w:fill="auto"/>
                  <w:vAlign w:val="center"/>
                </w:tcPr>
                <w:p w14:paraId="0AB347A3">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2</w:t>
                  </w:r>
                </w:p>
              </w:tc>
              <w:tc>
                <w:tcPr>
                  <w:tcW w:w="828" w:type="pct"/>
                  <w:vAlign w:val="center"/>
                </w:tcPr>
                <w:p w14:paraId="2F798A2B">
                  <w:pPr>
                    <w:pStyle w:val="287"/>
                    <w:framePr w:hSpace="0" w:wrap="auto" w:vAnchor="margin" w:hAnchor="text" w:xAlign="left" w:yAlign="inline"/>
                    <w:bidi w:val="0"/>
                    <w:rPr>
                      <w:rFonts w:hint="eastAsia"/>
                      <w:color w:val="auto"/>
                      <w:lang w:val="en-US" w:eastAsia="zh-CN"/>
                    </w:rPr>
                  </w:pPr>
                  <w:r>
                    <w:rPr>
                      <w:rFonts w:hint="eastAsia"/>
                      <w:color w:val="auto"/>
                      <w:lang w:eastAsia="zh-CN"/>
                    </w:rPr>
                    <w:t>台</w:t>
                  </w:r>
                </w:p>
              </w:tc>
              <w:tc>
                <w:tcPr>
                  <w:tcW w:w="828" w:type="pct"/>
                  <w:vAlign w:val="center"/>
                </w:tcPr>
                <w:p w14:paraId="6E06A836">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34D53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4B1711E3">
                  <w:pPr>
                    <w:pStyle w:val="287"/>
                    <w:framePr w:hSpace="0" w:wrap="auto" w:vAnchor="margin" w:hAnchor="text" w:xAlign="left" w:yAlign="inline"/>
                    <w:bidi w:val="0"/>
                    <w:rPr>
                      <w:rFonts w:hint="default"/>
                      <w:color w:val="auto"/>
                      <w:lang w:val="en-US" w:eastAsia="zh-CN"/>
                    </w:rPr>
                  </w:pPr>
                  <w:r>
                    <w:rPr>
                      <w:rFonts w:hint="eastAsia"/>
                      <w:color w:val="auto"/>
                      <w:lang w:val="en-US" w:eastAsia="zh-CN"/>
                    </w:rPr>
                    <w:t>10</w:t>
                  </w:r>
                </w:p>
              </w:tc>
              <w:tc>
                <w:tcPr>
                  <w:tcW w:w="958" w:type="pct"/>
                  <w:shd w:val="clear" w:color="auto" w:fill="auto"/>
                  <w:vAlign w:val="center"/>
                </w:tcPr>
                <w:p w14:paraId="106B5EC9">
                  <w:pPr>
                    <w:pStyle w:val="287"/>
                    <w:framePr w:hSpace="0" w:wrap="auto" w:vAnchor="margin" w:hAnchor="text" w:xAlign="left" w:yAlign="inline"/>
                    <w:bidi w:val="0"/>
                    <w:rPr>
                      <w:rFonts w:hint="eastAsia"/>
                      <w:color w:val="auto"/>
                      <w:lang w:val="en-US" w:eastAsia="zh-CN"/>
                    </w:rPr>
                  </w:pPr>
                  <w:r>
                    <w:rPr>
                      <w:rFonts w:hint="eastAsia"/>
                      <w:color w:val="auto"/>
                      <w:lang w:eastAsia="zh-CN"/>
                    </w:rPr>
                    <w:t>浓缩罐</w:t>
                  </w:r>
                </w:p>
              </w:tc>
              <w:tc>
                <w:tcPr>
                  <w:tcW w:w="1259" w:type="pct"/>
                  <w:shd w:val="clear" w:color="auto" w:fill="auto"/>
                  <w:vAlign w:val="center"/>
                </w:tcPr>
                <w:p w14:paraId="681AEF99">
                  <w:pPr>
                    <w:pStyle w:val="287"/>
                    <w:framePr w:hSpace="0" w:wrap="auto" w:vAnchor="margin" w:hAnchor="text" w:xAlign="left" w:yAlign="inline"/>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GN12</w:t>
                  </w:r>
                  <w:r>
                    <w:rPr>
                      <w:rFonts w:hint="eastAsia" w:cs="Times New Roman"/>
                      <w:color w:val="auto"/>
                      <w:lang w:val="en-US" w:eastAsia="zh-CN"/>
                    </w:rPr>
                    <w:t>,</w:t>
                  </w:r>
                  <w:r>
                    <w:rPr>
                      <w:rFonts w:hint="default" w:ascii="Times New Roman" w:hAnsi="Times New Roman" w:eastAsia="宋体" w:cs="Times New Roman"/>
                      <w:color w:val="auto"/>
                      <w:lang w:val="en-US" w:eastAsia="zh-CN"/>
                    </w:rPr>
                    <w:t>550m</w:t>
                  </w:r>
                  <w:r>
                    <w:rPr>
                      <w:rFonts w:hint="default" w:ascii="Times New Roman" w:hAnsi="Times New Roman" w:eastAsia="宋体" w:cs="Times New Roman"/>
                      <w:color w:val="auto"/>
                      <w:vertAlign w:val="superscript"/>
                      <w:lang w:val="en-US" w:eastAsia="zh-CN"/>
                    </w:rPr>
                    <w:t>3</w:t>
                  </w:r>
                </w:p>
              </w:tc>
              <w:tc>
                <w:tcPr>
                  <w:tcW w:w="712" w:type="pct"/>
                  <w:shd w:val="clear" w:color="auto" w:fill="auto"/>
                  <w:vAlign w:val="center"/>
                </w:tcPr>
                <w:p w14:paraId="721C32B4">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1</w:t>
                  </w:r>
                </w:p>
              </w:tc>
              <w:tc>
                <w:tcPr>
                  <w:tcW w:w="828" w:type="pct"/>
                  <w:vAlign w:val="center"/>
                </w:tcPr>
                <w:p w14:paraId="1CDD2882">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座</w:t>
                  </w:r>
                </w:p>
              </w:tc>
              <w:tc>
                <w:tcPr>
                  <w:tcW w:w="828" w:type="pct"/>
                  <w:vAlign w:val="center"/>
                </w:tcPr>
                <w:p w14:paraId="79AB731D">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258A1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794F9BB5">
                  <w:pPr>
                    <w:pStyle w:val="287"/>
                    <w:framePr w:hSpace="0" w:wrap="auto" w:vAnchor="margin" w:hAnchor="text" w:xAlign="left" w:yAlign="inline"/>
                    <w:bidi w:val="0"/>
                    <w:rPr>
                      <w:rFonts w:hint="default"/>
                      <w:color w:val="auto"/>
                      <w:lang w:val="en-US" w:eastAsia="zh-CN"/>
                    </w:rPr>
                  </w:pPr>
                  <w:r>
                    <w:rPr>
                      <w:rFonts w:hint="eastAsia"/>
                      <w:color w:val="auto"/>
                      <w:lang w:val="en-US" w:eastAsia="zh-CN"/>
                    </w:rPr>
                    <w:t>11</w:t>
                  </w:r>
                </w:p>
              </w:tc>
              <w:tc>
                <w:tcPr>
                  <w:tcW w:w="958" w:type="pct"/>
                  <w:shd w:val="clear" w:color="auto" w:fill="auto"/>
                  <w:vAlign w:val="center"/>
                </w:tcPr>
                <w:p w14:paraId="4C57CC94">
                  <w:pPr>
                    <w:pStyle w:val="287"/>
                    <w:framePr w:hSpace="0" w:wrap="auto" w:vAnchor="margin" w:hAnchor="text" w:xAlign="left" w:yAlign="inline"/>
                    <w:bidi w:val="0"/>
                    <w:rPr>
                      <w:rFonts w:hint="eastAsia"/>
                      <w:color w:val="auto"/>
                      <w:lang w:val="en-US" w:eastAsia="zh-CN"/>
                    </w:rPr>
                  </w:pPr>
                  <w:r>
                    <w:rPr>
                      <w:rFonts w:hint="eastAsia"/>
                      <w:color w:val="auto"/>
                      <w:lang w:eastAsia="zh-CN"/>
                    </w:rPr>
                    <w:t>压滤机</w:t>
                  </w:r>
                </w:p>
              </w:tc>
              <w:tc>
                <w:tcPr>
                  <w:tcW w:w="1259" w:type="pct"/>
                  <w:shd w:val="clear" w:color="auto" w:fill="auto"/>
                  <w:vAlign w:val="center"/>
                </w:tcPr>
                <w:p w14:paraId="15D6C707">
                  <w:pPr>
                    <w:pStyle w:val="287"/>
                    <w:framePr w:hSpace="0" w:wrap="auto" w:vAnchor="margin" w:hAnchor="text" w:xAlign="left" w:yAlign="inline"/>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1250/250型</w:t>
                  </w:r>
                </w:p>
              </w:tc>
              <w:tc>
                <w:tcPr>
                  <w:tcW w:w="712" w:type="pct"/>
                  <w:shd w:val="clear" w:color="auto" w:fill="auto"/>
                  <w:vAlign w:val="center"/>
                </w:tcPr>
                <w:p w14:paraId="2F373F3A">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2</w:t>
                  </w:r>
                </w:p>
              </w:tc>
              <w:tc>
                <w:tcPr>
                  <w:tcW w:w="828" w:type="pct"/>
                  <w:vAlign w:val="center"/>
                </w:tcPr>
                <w:p w14:paraId="04FB7189">
                  <w:pPr>
                    <w:pStyle w:val="287"/>
                    <w:framePr w:hSpace="0" w:wrap="auto" w:vAnchor="margin" w:hAnchor="text" w:xAlign="left" w:yAlign="inline"/>
                    <w:bidi w:val="0"/>
                    <w:rPr>
                      <w:rFonts w:hint="eastAsia"/>
                      <w:color w:val="auto"/>
                      <w:lang w:val="en-US" w:eastAsia="zh-CN"/>
                    </w:rPr>
                  </w:pPr>
                  <w:r>
                    <w:rPr>
                      <w:rFonts w:hint="eastAsia"/>
                      <w:color w:val="auto"/>
                      <w:lang w:eastAsia="zh-CN"/>
                    </w:rPr>
                    <w:t>台</w:t>
                  </w:r>
                </w:p>
              </w:tc>
              <w:tc>
                <w:tcPr>
                  <w:tcW w:w="828" w:type="pct"/>
                  <w:vAlign w:val="center"/>
                </w:tcPr>
                <w:p w14:paraId="5BCF8BC1">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71182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0E014688">
                  <w:pPr>
                    <w:pStyle w:val="287"/>
                    <w:framePr w:hSpace="0" w:wrap="auto" w:vAnchor="margin" w:hAnchor="text" w:xAlign="left" w:yAlign="inline"/>
                    <w:bidi w:val="0"/>
                    <w:rPr>
                      <w:rFonts w:hint="default"/>
                      <w:color w:val="auto"/>
                      <w:lang w:val="en-US" w:eastAsia="zh-CN"/>
                    </w:rPr>
                  </w:pPr>
                  <w:r>
                    <w:rPr>
                      <w:rFonts w:hint="eastAsia"/>
                      <w:color w:val="auto"/>
                      <w:lang w:val="en-US" w:eastAsia="zh-CN"/>
                    </w:rPr>
                    <w:t>12</w:t>
                  </w:r>
                </w:p>
              </w:tc>
              <w:tc>
                <w:tcPr>
                  <w:tcW w:w="958" w:type="pct"/>
                  <w:shd w:val="clear" w:color="auto" w:fill="auto"/>
                  <w:vAlign w:val="center"/>
                </w:tcPr>
                <w:p w14:paraId="2141BB3F">
                  <w:pPr>
                    <w:pStyle w:val="287"/>
                    <w:framePr w:hSpace="0" w:wrap="auto" w:vAnchor="margin" w:hAnchor="text" w:xAlign="left" w:yAlign="inline"/>
                    <w:bidi w:val="0"/>
                    <w:rPr>
                      <w:rFonts w:hint="eastAsia"/>
                      <w:color w:val="auto"/>
                      <w:lang w:val="en-US" w:eastAsia="zh-CN"/>
                    </w:rPr>
                  </w:pPr>
                  <w:r>
                    <w:rPr>
                      <w:rFonts w:hint="eastAsia"/>
                      <w:color w:val="auto"/>
                      <w:lang w:eastAsia="zh-CN"/>
                    </w:rPr>
                    <w:t>浆泵</w:t>
                  </w:r>
                </w:p>
              </w:tc>
              <w:tc>
                <w:tcPr>
                  <w:tcW w:w="1259" w:type="pct"/>
                  <w:shd w:val="clear" w:color="auto" w:fill="auto"/>
                  <w:vAlign w:val="center"/>
                </w:tcPr>
                <w:p w14:paraId="06651FD0">
                  <w:pPr>
                    <w:pStyle w:val="287"/>
                    <w:framePr w:hSpace="0" w:wrap="auto" w:vAnchor="margin" w:hAnchor="text" w:xAlign="left" w:yAlign="inline"/>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600m³</w:t>
                  </w:r>
                </w:p>
              </w:tc>
              <w:tc>
                <w:tcPr>
                  <w:tcW w:w="712" w:type="pct"/>
                  <w:shd w:val="clear" w:color="auto" w:fill="auto"/>
                  <w:vAlign w:val="center"/>
                </w:tcPr>
                <w:p w14:paraId="1C56A626">
                  <w:pPr>
                    <w:pStyle w:val="287"/>
                    <w:framePr w:hSpace="0" w:wrap="auto" w:vAnchor="margin" w:hAnchor="text" w:xAlign="left" w:yAlign="inline"/>
                    <w:bidi w:val="0"/>
                    <w:rPr>
                      <w:rFonts w:hint="eastAsia"/>
                      <w:color w:val="auto"/>
                      <w:lang w:val="en-US" w:eastAsia="zh-CN"/>
                    </w:rPr>
                  </w:pPr>
                  <w:r>
                    <w:rPr>
                      <w:rFonts w:hint="eastAsia"/>
                      <w:color w:val="auto"/>
                      <w:lang w:val="en-US" w:eastAsia="zh-CN"/>
                    </w:rPr>
                    <w:t>2</w:t>
                  </w:r>
                </w:p>
              </w:tc>
              <w:tc>
                <w:tcPr>
                  <w:tcW w:w="828" w:type="pct"/>
                  <w:vAlign w:val="center"/>
                </w:tcPr>
                <w:p w14:paraId="3D8B6BBC">
                  <w:pPr>
                    <w:pStyle w:val="287"/>
                    <w:framePr w:hSpace="0" w:wrap="auto" w:vAnchor="margin" w:hAnchor="text" w:xAlign="left" w:yAlign="inline"/>
                    <w:bidi w:val="0"/>
                    <w:rPr>
                      <w:rFonts w:hint="eastAsia"/>
                      <w:color w:val="auto"/>
                      <w:lang w:val="en-US" w:eastAsia="zh-CN"/>
                    </w:rPr>
                  </w:pPr>
                  <w:r>
                    <w:rPr>
                      <w:rFonts w:hint="eastAsia"/>
                      <w:color w:val="auto"/>
                      <w:lang w:eastAsia="zh-CN"/>
                    </w:rPr>
                    <w:t>台</w:t>
                  </w:r>
                </w:p>
              </w:tc>
              <w:tc>
                <w:tcPr>
                  <w:tcW w:w="828" w:type="pct"/>
                  <w:vAlign w:val="center"/>
                </w:tcPr>
                <w:p w14:paraId="24018E2A">
                  <w:pPr>
                    <w:pStyle w:val="287"/>
                    <w:framePr w:hSpace="0" w:wrap="auto" w:vAnchor="margin" w:hAnchor="text" w:xAlign="left" w:yAlign="inline"/>
                    <w:bidi w:val="0"/>
                    <w:rPr>
                      <w:rFonts w:hint="eastAsia"/>
                      <w:color w:val="auto"/>
                      <w:lang w:eastAsia="zh-CN"/>
                    </w:rPr>
                  </w:pPr>
                  <w:r>
                    <w:rPr>
                      <w:rFonts w:hint="eastAsia"/>
                      <w:color w:val="auto"/>
                      <w:lang w:eastAsia="zh-CN"/>
                    </w:rPr>
                    <w:t>新建</w:t>
                  </w:r>
                </w:p>
              </w:tc>
            </w:tr>
            <w:tr w14:paraId="71380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319E925E">
                  <w:pPr>
                    <w:pStyle w:val="287"/>
                    <w:framePr w:hSpace="0" w:wrap="auto" w:vAnchor="margin" w:hAnchor="text" w:xAlign="left" w:yAlign="inline"/>
                    <w:bidi w:val="0"/>
                    <w:rPr>
                      <w:rFonts w:hint="default"/>
                      <w:color w:val="auto"/>
                      <w:lang w:val="en-US" w:eastAsia="zh-CN"/>
                    </w:rPr>
                  </w:pPr>
                  <w:r>
                    <w:rPr>
                      <w:rFonts w:hint="eastAsia"/>
                      <w:color w:val="auto"/>
                      <w:lang w:val="en-US" w:eastAsia="zh-CN"/>
                    </w:rPr>
                    <w:t>13</w:t>
                  </w:r>
                </w:p>
              </w:tc>
              <w:tc>
                <w:tcPr>
                  <w:tcW w:w="958" w:type="pct"/>
                  <w:shd w:val="clear" w:color="auto" w:fill="auto"/>
                  <w:vAlign w:val="center"/>
                </w:tcPr>
                <w:p w14:paraId="7ABAF77E">
                  <w:pPr>
                    <w:pStyle w:val="77"/>
                    <w:bidi w:val="0"/>
                    <w:rPr>
                      <w:rFonts w:hint="eastAsia"/>
                      <w:color w:val="auto"/>
                      <w:lang w:val="en-US" w:eastAsia="zh-CN"/>
                    </w:rPr>
                  </w:pPr>
                  <w:r>
                    <w:rPr>
                      <w:rFonts w:hint="eastAsia"/>
                      <w:color w:val="auto"/>
                      <w:lang w:eastAsia="zh-CN"/>
                    </w:rPr>
                    <w:t>事故水池</w:t>
                  </w:r>
                </w:p>
              </w:tc>
              <w:tc>
                <w:tcPr>
                  <w:tcW w:w="1259" w:type="pct"/>
                  <w:shd w:val="clear" w:color="auto" w:fill="auto"/>
                  <w:vAlign w:val="center"/>
                </w:tcPr>
                <w:p w14:paraId="546E4337">
                  <w:pPr>
                    <w:pStyle w:val="287"/>
                    <w:framePr w:hSpace="0" w:wrap="auto" w:vAnchor="margin" w:hAnchor="text" w:xAlign="left" w:yAlign="inline"/>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150m³</w:t>
                  </w:r>
                </w:p>
              </w:tc>
              <w:tc>
                <w:tcPr>
                  <w:tcW w:w="712" w:type="pct"/>
                  <w:shd w:val="clear" w:color="auto" w:fill="auto"/>
                  <w:vAlign w:val="center"/>
                </w:tcPr>
                <w:p w14:paraId="7BE0C81C">
                  <w:pPr>
                    <w:pStyle w:val="77"/>
                    <w:bidi w:val="0"/>
                    <w:rPr>
                      <w:rFonts w:hint="default"/>
                      <w:color w:val="auto"/>
                      <w:lang w:val="en-US" w:eastAsia="zh-CN"/>
                    </w:rPr>
                  </w:pPr>
                  <w:r>
                    <w:rPr>
                      <w:rFonts w:hint="eastAsia"/>
                      <w:color w:val="auto"/>
                      <w:lang w:val="en-US" w:eastAsia="zh-CN"/>
                    </w:rPr>
                    <w:t>1</w:t>
                  </w:r>
                </w:p>
              </w:tc>
              <w:tc>
                <w:tcPr>
                  <w:tcW w:w="828" w:type="pct"/>
                  <w:vAlign w:val="center"/>
                </w:tcPr>
                <w:p w14:paraId="0CF5E237">
                  <w:pPr>
                    <w:pStyle w:val="77"/>
                    <w:bidi w:val="0"/>
                    <w:rPr>
                      <w:rFonts w:hint="eastAsia"/>
                      <w:color w:val="auto"/>
                      <w:lang w:eastAsia="zh-CN"/>
                    </w:rPr>
                  </w:pPr>
                  <w:r>
                    <w:rPr>
                      <w:rFonts w:hint="eastAsia"/>
                      <w:color w:val="auto"/>
                      <w:lang w:eastAsia="zh-CN"/>
                    </w:rPr>
                    <w:t>座</w:t>
                  </w:r>
                </w:p>
              </w:tc>
              <w:tc>
                <w:tcPr>
                  <w:tcW w:w="828" w:type="pct"/>
                  <w:vAlign w:val="center"/>
                </w:tcPr>
                <w:p w14:paraId="2D91D491">
                  <w:pPr>
                    <w:pStyle w:val="77"/>
                    <w:bidi w:val="0"/>
                    <w:rPr>
                      <w:rFonts w:hint="eastAsia"/>
                      <w:color w:val="auto"/>
                      <w:lang w:eastAsia="zh-CN"/>
                    </w:rPr>
                  </w:pPr>
                  <w:r>
                    <w:rPr>
                      <w:rFonts w:hint="eastAsia"/>
                      <w:color w:val="auto"/>
                      <w:lang w:eastAsia="zh-CN"/>
                    </w:rPr>
                    <w:t>新建</w:t>
                  </w:r>
                </w:p>
              </w:tc>
            </w:tr>
            <w:tr w14:paraId="4793B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11" w:type="pct"/>
                  <w:vAlign w:val="center"/>
                </w:tcPr>
                <w:p w14:paraId="22992E9A">
                  <w:pPr>
                    <w:pStyle w:val="287"/>
                    <w:framePr w:hSpace="0" w:wrap="auto" w:vAnchor="margin" w:hAnchor="text" w:xAlign="left" w:yAlign="inline"/>
                    <w:bidi w:val="0"/>
                    <w:rPr>
                      <w:rFonts w:hint="default"/>
                      <w:color w:val="auto"/>
                      <w:lang w:val="en-US" w:eastAsia="zh-CN"/>
                    </w:rPr>
                  </w:pPr>
                  <w:r>
                    <w:rPr>
                      <w:rFonts w:hint="eastAsia"/>
                      <w:color w:val="auto"/>
                      <w:lang w:val="en-US" w:eastAsia="zh-CN"/>
                    </w:rPr>
                    <w:t>14</w:t>
                  </w:r>
                </w:p>
              </w:tc>
              <w:tc>
                <w:tcPr>
                  <w:tcW w:w="958" w:type="pct"/>
                  <w:shd w:val="clear" w:color="auto" w:fill="auto"/>
                  <w:vAlign w:val="center"/>
                </w:tcPr>
                <w:p w14:paraId="63B0CF1F">
                  <w:pPr>
                    <w:pStyle w:val="77"/>
                    <w:bidi w:val="0"/>
                    <w:rPr>
                      <w:rFonts w:hint="eastAsia"/>
                      <w:color w:val="auto"/>
                      <w:lang w:val="en-US" w:eastAsia="zh-CN"/>
                    </w:rPr>
                  </w:pPr>
                  <w:r>
                    <w:rPr>
                      <w:rFonts w:hint="eastAsia"/>
                      <w:color w:val="auto"/>
                      <w:lang w:eastAsia="zh-CN"/>
                    </w:rPr>
                    <w:t>循环水池</w:t>
                  </w:r>
                </w:p>
              </w:tc>
              <w:tc>
                <w:tcPr>
                  <w:tcW w:w="1259" w:type="pct"/>
                  <w:shd w:val="clear" w:color="auto" w:fill="auto"/>
                  <w:vAlign w:val="center"/>
                </w:tcPr>
                <w:p w14:paraId="0DB0D901">
                  <w:pPr>
                    <w:pStyle w:val="287"/>
                    <w:framePr w:hSpace="0" w:wrap="auto" w:vAnchor="margin" w:hAnchor="text" w:xAlign="left" w:yAlign="inline"/>
                    <w:bidi w:val="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100m³</w:t>
                  </w:r>
                </w:p>
              </w:tc>
              <w:tc>
                <w:tcPr>
                  <w:tcW w:w="712" w:type="pct"/>
                  <w:shd w:val="clear" w:color="auto" w:fill="auto"/>
                  <w:vAlign w:val="center"/>
                </w:tcPr>
                <w:p w14:paraId="17AC84EF">
                  <w:pPr>
                    <w:pStyle w:val="77"/>
                    <w:bidi w:val="0"/>
                    <w:rPr>
                      <w:rFonts w:hint="default"/>
                      <w:color w:val="auto"/>
                      <w:lang w:val="en-US" w:eastAsia="zh-CN"/>
                    </w:rPr>
                  </w:pPr>
                  <w:r>
                    <w:rPr>
                      <w:rFonts w:hint="eastAsia"/>
                      <w:color w:val="auto"/>
                      <w:lang w:val="en-US" w:eastAsia="zh-CN"/>
                    </w:rPr>
                    <w:t>1</w:t>
                  </w:r>
                </w:p>
              </w:tc>
              <w:tc>
                <w:tcPr>
                  <w:tcW w:w="828" w:type="pct"/>
                  <w:vAlign w:val="center"/>
                </w:tcPr>
                <w:p w14:paraId="0110683B">
                  <w:pPr>
                    <w:pStyle w:val="77"/>
                    <w:bidi w:val="0"/>
                    <w:rPr>
                      <w:rFonts w:hint="eastAsia"/>
                      <w:color w:val="auto"/>
                      <w:lang w:eastAsia="zh-CN"/>
                    </w:rPr>
                  </w:pPr>
                  <w:r>
                    <w:rPr>
                      <w:rFonts w:hint="eastAsia"/>
                      <w:color w:val="auto"/>
                      <w:lang w:eastAsia="zh-CN"/>
                    </w:rPr>
                    <w:t>座</w:t>
                  </w:r>
                </w:p>
              </w:tc>
              <w:tc>
                <w:tcPr>
                  <w:tcW w:w="828" w:type="pct"/>
                  <w:vAlign w:val="center"/>
                </w:tcPr>
                <w:p w14:paraId="03662125">
                  <w:pPr>
                    <w:pStyle w:val="77"/>
                    <w:bidi w:val="0"/>
                    <w:rPr>
                      <w:rFonts w:hint="eastAsia"/>
                      <w:color w:val="auto"/>
                      <w:lang w:eastAsia="zh-CN"/>
                    </w:rPr>
                  </w:pPr>
                  <w:r>
                    <w:rPr>
                      <w:rFonts w:hint="eastAsia"/>
                      <w:color w:val="auto"/>
                      <w:lang w:eastAsia="zh-CN"/>
                    </w:rPr>
                    <w:t>新建</w:t>
                  </w:r>
                </w:p>
              </w:tc>
            </w:tr>
          </w:tbl>
          <w:p w14:paraId="3FA784CF">
            <w:pPr>
              <w:pStyle w:val="771"/>
              <w:bidi w:val="0"/>
              <w:rPr>
                <w:rFonts w:hint="eastAsia"/>
                <w:b/>
                <w:bCs/>
                <w:color w:val="auto"/>
                <w:lang w:val="en-US" w:eastAsia="zh-CN"/>
              </w:rPr>
            </w:pPr>
          </w:p>
          <w:p w14:paraId="589CC08B">
            <w:pPr>
              <w:pStyle w:val="771"/>
              <w:keepNext w:val="0"/>
              <w:keepLines w:val="0"/>
              <w:pageBreakBefore w:val="0"/>
              <w:kinsoku/>
              <w:wordWrap/>
              <w:overflowPunct/>
              <w:topLinePunct w:val="0"/>
              <w:autoSpaceDE/>
              <w:autoSpaceDN/>
              <w:bidi w:val="0"/>
              <w:adjustRightInd w:val="0"/>
              <w:snapToGrid w:val="0"/>
              <w:spacing w:line="460" w:lineRule="exact"/>
              <w:textAlignment w:val="auto"/>
              <w:rPr>
                <w:rFonts w:hint="eastAsia"/>
                <w:b/>
                <w:bCs/>
                <w:color w:val="auto"/>
                <w:lang w:val="en-US" w:eastAsia="zh-CN"/>
              </w:rPr>
            </w:pPr>
            <w:r>
              <w:rPr>
                <w:rFonts w:hint="eastAsia"/>
                <w:b/>
                <w:bCs/>
                <w:color w:val="auto"/>
                <w:lang w:val="en-US" w:eastAsia="zh-CN"/>
              </w:rPr>
              <w:t>产能的匹配性分析：</w:t>
            </w:r>
          </w:p>
          <w:p w14:paraId="3CF7587F">
            <w:pPr>
              <w:pStyle w:val="771"/>
              <w:keepNext w:val="0"/>
              <w:keepLines w:val="0"/>
              <w:pageBreakBefore w:val="0"/>
              <w:kinsoku/>
              <w:wordWrap/>
              <w:overflowPunct/>
              <w:topLinePunct w:val="0"/>
              <w:autoSpaceDE/>
              <w:autoSpaceDN/>
              <w:bidi w:val="0"/>
              <w:adjustRightInd w:val="0"/>
              <w:snapToGrid w:val="0"/>
              <w:spacing w:line="460" w:lineRule="exact"/>
              <w:textAlignment w:val="auto"/>
              <w:rPr>
                <w:rFonts w:hint="default" w:eastAsia="宋体"/>
                <w:b/>
                <w:bCs/>
                <w:color w:val="auto"/>
                <w:lang w:val="en-US" w:eastAsia="zh-CN"/>
              </w:rPr>
            </w:pPr>
            <w:r>
              <w:rPr>
                <w:rFonts w:hint="eastAsia" w:ascii="Times New Roman" w:hAnsi="Times New Roman" w:eastAsia="宋体" w:cs="Times New Roman"/>
                <w:color w:val="auto"/>
                <w:sz w:val="24"/>
                <w:highlight w:val="none"/>
                <w:lang w:val="en-US" w:eastAsia="zh-CN"/>
              </w:rPr>
              <w:t>根据建设单位提供资料，本项目选用SKT-12</w:t>
            </w:r>
            <w:r>
              <w:rPr>
                <w:rFonts w:hint="eastAsia" w:cs="Times New Roman"/>
                <w:color w:val="auto"/>
                <w:sz w:val="24"/>
                <w:highlight w:val="none"/>
                <w:lang w:val="en-US" w:eastAsia="zh-CN"/>
              </w:rPr>
              <w:t>平方</w:t>
            </w:r>
            <w:r>
              <w:rPr>
                <w:rFonts w:hint="eastAsia" w:ascii="Times New Roman" w:hAnsi="Times New Roman" w:eastAsia="宋体" w:cs="Times New Roman"/>
                <w:color w:val="auto"/>
                <w:sz w:val="24"/>
                <w:highlight w:val="none"/>
                <w:lang w:val="en-US" w:eastAsia="zh-CN"/>
              </w:rPr>
              <w:t>数控跳汰机2台，单台设备处理能力为</w:t>
            </w:r>
            <w:r>
              <w:rPr>
                <w:rFonts w:hint="eastAsia" w:cs="Times New Roman"/>
                <w:color w:val="auto"/>
                <w:sz w:val="24"/>
                <w:highlight w:val="none"/>
                <w:lang w:val="en-US" w:eastAsia="zh-CN"/>
              </w:rPr>
              <w:t>10-20（t/(m</w:t>
            </w:r>
            <w:r>
              <w:rPr>
                <w:rFonts w:hint="eastAsia" w:cs="Times New Roman"/>
                <w:color w:val="auto"/>
                <w:sz w:val="24"/>
                <w:highlight w:val="none"/>
                <w:vertAlign w:val="superscript"/>
                <w:lang w:val="en-US" w:eastAsia="zh-CN"/>
              </w:rPr>
              <w:t>2</w:t>
            </w:r>
            <w:r>
              <w:rPr>
                <w:rFonts w:hint="eastAsia" w:cs="Times New Roman"/>
                <w:color w:val="auto"/>
                <w:sz w:val="24"/>
                <w:highlight w:val="none"/>
                <w:lang w:val="en-US" w:eastAsia="zh-CN"/>
              </w:rPr>
              <w:t>·h)）之间，本项目取平均值15（t/(m</w:t>
            </w:r>
            <w:r>
              <w:rPr>
                <w:rFonts w:hint="eastAsia" w:cs="Times New Roman"/>
                <w:color w:val="auto"/>
                <w:sz w:val="24"/>
                <w:highlight w:val="none"/>
                <w:vertAlign w:val="superscript"/>
                <w:lang w:val="en-US" w:eastAsia="zh-CN"/>
              </w:rPr>
              <w:t>2</w:t>
            </w:r>
            <w:r>
              <w:rPr>
                <w:rFonts w:hint="eastAsia" w:cs="Times New Roman"/>
                <w:color w:val="auto"/>
                <w:sz w:val="24"/>
                <w:highlight w:val="none"/>
                <w:lang w:val="en-US" w:eastAsia="zh-CN"/>
              </w:rPr>
              <w:t>·h)），选用12m</w:t>
            </w:r>
            <w:r>
              <w:rPr>
                <w:rFonts w:hint="eastAsia" w:cs="Times New Roman"/>
                <w:color w:val="auto"/>
                <w:sz w:val="24"/>
                <w:highlight w:val="none"/>
                <w:vertAlign w:val="superscript"/>
                <w:lang w:val="en-US" w:eastAsia="zh-CN"/>
              </w:rPr>
              <w:t>2</w:t>
            </w:r>
            <w:r>
              <w:rPr>
                <w:rFonts w:hint="eastAsia" w:ascii="Times New Roman" w:hAnsi="Times New Roman" w:eastAsia="宋体" w:cs="Times New Roman"/>
                <w:color w:val="auto"/>
                <w:sz w:val="24"/>
                <w:highlight w:val="none"/>
                <w:lang w:val="en-US" w:eastAsia="zh-CN"/>
              </w:rPr>
              <w:t>数控跳汰机</w:t>
            </w:r>
            <w:r>
              <w:rPr>
                <w:rFonts w:hint="eastAsia" w:cs="Times New Roman"/>
                <w:color w:val="auto"/>
                <w:sz w:val="24"/>
                <w:highlight w:val="none"/>
                <w:lang w:val="en-US" w:eastAsia="zh-CN"/>
              </w:rPr>
              <w:t>处理能力为180t/h</w:t>
            </w:r>
            <w:r>
              <w:rPr>
                <w:rFonts w:hint="eastAsia" w:ascii="Times New Roman" w:hAnsi="Times New Roman" w:eastAsia="宋体" w:cs="Times New Roman"/>
                <w:color w:val="auto"/>
                <w:sz w:val="24"/>
                <w:highlight w:val="none"/>
                <w:lang w:val="en-US" w:eastAsia="zh-CN"/>
              </w:rPr>
              <w:t>。本项目年工作日为3</w:t>
            </w:r>
            <w:r>
              <w:rPr>
                <w:rFonts w:hint="eastAsia" w:cs="Times New Roman"/>
                <w:color w:val="auto"/>
                <w:sz w:val="24"/>
                <w:highlight w:val="none"/>
                <w:lang w:val="en-US" w:eastAsia="zh-CN"/>
              </w:rPr>
              <w:t>0</w:t>
            </w:r>
            <w:r>
              <w:rPr>
                <w:rFonts w:hint="eastAsia" w:ascii="Times New Roman" w:hAnsi="Times New Roman" w:eastAsia="宋体" w:cs="Times New Roman"/>
                <w:color w:val="auto"/>
                <w:sz w:val="24"/>
                <w:highlight w:val="none"/>
                <w:lang w:val="en-US" w:eastAsia="zh-CN"/>
              </w:rPr>
              <w:t>0天，工作时间合计为20小时/天，年洗选原煤</w:t>
            </w:r>
            <w:r>
              <w:rPr>
                <w:rFonts w:hint="eastAsia" w:cs="Times New Roman"/>
                <w:color w:val="auto"/>
                <w:sz w:val="24"/>
                <w:highlight w:val="none"/>
                <w:lang w:val="en-US" w:eastAsia="zh-CN"/>
              </w:rPr>
              <w:t>216</w:t>
            </w:r>
            <w:r>
              <w:rPr>
                <w:rFonts w:hint="eastAsia" w:ascii="Times New Roman" w:hAnsi="Times New Roman" w:eastAsia="宋体" w:cs="Times New Roman"/>
                <w:color w:val="auto"/>
                <w:sz w:val="24"/>
                <w:highlight w:val="none"/>
                <w:lang w:val="en-US" w:eastAsia="zh-CN"/>
              </w:rPr>
              <w:t>万吨</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故本项目跳汰机的生产能力能够满足年入洗煤炭</w:t>
            </w:r>
            <w:r>
              <w:rPr>
                <w:rFonts w:hint="eastAsia" w:cs="Times New Roman"/>
                <w:color w:val="auto"/>
                <w:sz w:val="24"/>
                <w:highlight w:val="none"/>
                <w:lang w:val="en-US" w:eastAsia="zh-CN"/>
              </w:rPr>
              <w:t>2</w:t>
            </w:r>
            <w:r>
              <w:rPr>
                <w:rFonts w:hint="eastAsia" w:ascii="Times New Roman" w:hAnsi="Times New Roman" w:eastAsia="宋体" w:cs="Times New Roman"/>
                <w:color w:val="auto"/>
                <w:sz w:val="24"/>
                <w:highlight w:val="none"/>
                <w:lang w:val="en-US" w:eastAsia="zh-CN"/>
              </w:rPr>
              <w:t>00万吨/a原煤</w:t>
            </w:r>
            <w:r>
              <w:rPr>
                <w:rFonts w:hint="eastAsia" w:cs="Times New Roman"/>
                <w:color w:val="auto"/>
                <w:sz w:val="24"/>
                <w:highlight w:val="none"/>
                <w:lang w:val="en-US" w:eastAsia="zh-CN"/>
              </w:rPr>
              <w:t>，</w:t>
            </w:r>
            <w:r>
              <w:rPr>
                <w:rFonts w:hint="eastAsia"/>
                <w:color w:val="auto"/>
                <w:kern w:val="0"/>
                <w:sz w:val="24"/>
                <w:szCs w:val="24"/>
                <w:highlight w:val="none"/>
                <w:lang w:val="en-US" w:eastAsia="zh-CN"/>
              </w:rPr>
              <w:t>可满足生产需要。</w:t>
            </w:r>
          </w:p>
          <w:p w14:paraId="2F643719">
            <w:pPr>
              <w:pStyle w:val="771"/>
              <w:keepNext w:val="0"/>
              <w:keepLines w:val="0"/>
              <w:pageBreakBefore w:val="0"/>
              <w:kinsoku/>
              <w:wordWrap/>
              <w:overflowPunct/>
              <w:topLinePunct w:val="0"/>
              <w:autoSpaceDE/>
              <w:autoSpaceDN/>
              <w:bidi w:val="0"/>
              <w:adjustRightInd w:val="0"/>
              <w:snapToGrid w:val="0"/>
              <w:spacing w:line="460" w:lineRule="exact"/>
              <w:textAlignment w:val="auto"/>
              <w:rPr>
                <w:b/>
                <w:bCs/>
                <w:color w:val="auto"/>
              </w:rPr>
            </w:pPr>
            <w:r>
              <w:rPr>
                <w:b/>
                <w:bCs/>
                <w:color w:val="auto"/>
              </w:rPr>
              <w:t>2.2.8</w:t>
            </w:r>
            <w:r>
              <w:rPr>
                <w:rFonts w:hint="eastAsia"/>
                <w:b/>
                <w:bCs/>
                <w:color w:val="auto"/>
              </w:rPr>
              <w:t>劳动定员及工作制度</w:t>
            </w:r>
          </w:p>
          <w:p w14:paraId="18E1FBB6">
            <w:pPr>
              <w:pStyle w:val="771"/>
              <w:keepNext w:val="0"/>
              <w:keepLines w:val="0"/>
              <w:pageBreakBefore w:val="0"/>
              <w:kinsoku/>
              <w:wordWrap/>
              <w:overflowPunct/>
              <w:topLinePunct w:val="0"/>
              <w:autoSpaceDE/>
              <w:autoSpaceDN/>
              <w:bidi w:val="0"/>
              <w:adjustRightInd w:val="0"/>
              <w:snapToGrid w:val="0"/>
              <w:spacing w:line="460" w:lineRule="exact"/>
              <w:textAlignment w:val="auto"/>
              <w:rPr>
                <w:color w:val="auto"/>
              </w:rPr>
            </w:pPr>
            <w:r>
              <w:rPr>
                <w:color w:val="auto"/>
              </w:rPr>
              <w:t>本项目劳动定员为</w:t>
            </w:r>
            <w:r>
              <w:rPr>
                <w:rFonts w:hint="eastAsia"/>
                <w:color w:val="auto"/>
                <w:lang w:val="en-US" w:eastAsia="zh-CN"/>
              </w:rPr>
              <w:t>26</w:t>
            </w:r>
            <w:r>
              <w:rPr>
                <w:rFonts w:hint="eastAsia"/>
                <w:color w:val="auto"/>
              </w:rPr>
              <w:t>名，实行</w:t>
            </w:r>
            <w:r>
              <w:rPr>
                <w:rFonts w:hint="eastAsia"/>
                <w:color w:val="auto"/>
                <w:lang w:eastAsia="zh-CN"/>
              </w:rPr>
              <w:t>两</w:t>
            </w:r>
            <w:r>
              <w:rPr>
                <w:rFonts w:hint="eastAsia"/>
                <w:color w:val="auto"/>
              </w:rPr>
              <w:t>班制生产，每班工作时间</w:t>
            </w:r>
            <w:r>
              <w:rPr>
                <w:rFonts w:hint="eastAsia"/>
                <w:color w:val="auto"/>
                <w:lang w:val="en-US" w:eastAsia="zh-CN"/>
              </w:rPr>
              <w:t>10</w:t>
            </w:r>
            <w:r>
              <w:rPr>
                <w:rFonts w:hint="eastAsia"/>
                <w:color w:val="auto"/>
              </w:rPr>
              <w:t>h，年均生产时间为300d</w:t>
            </w:r>
            <w:r>
              <w:rPr>
                <w:rFonts w:hint="eastAsia"/>
                <w:color w:val="auto"/>
                <w:lang w:eastAsia="zh-CN"/>
              </w:rPr>
              <w:t>，</w:t>
            </w:r>
            <w:r>
              <w:rPr>
                <w:rFonts w:hint="eastAsia"/>
                <w:color w:val="auto"/>
                <w:lang w:val="en-US" w:eastAsia="zh-CN"/>
              </w:rPr>
              <w:t>不设置员工食堂及宿舍。</w:t>
            </w:r>
          </w:p>
          <w:p w14:paraId="65A4896F">
            <w:pPr>
              <w:pStyle w:val="771"/>
              <w:keepNext w:val="0"/>
              <w:keepLines w:val="0"/>
              <w:pageBreakBefore w:val="0"/>
              <w:kinsoku/>
              <w:wordWrap/>
              <w:overflowPunct/>
              <w:topLinePunct w:val="0"/>
              <w:autoSpaceDE/>
              <w:autoSpaceDN/>
              <w:bidi w:val="0"/>
              <w:adjustRightInd w:val="0"/>
              <w:snapToGrid w:val="0"/>
              <w:spacing w:line="460" w:lineRule="exact"/>
              <w:textAlignment w:val="auto"/>
              <w:rPr>
                <w:b/>
                <w:bCs/>
                <w:color w:val="auto"/>
              </w:rPr>
            </w:pPr>
            <w:r>
              <w:rPr>
                <w:b/>
                <w:bCs/>
                <w:color w:val="auto"/>
              </w:rPr>
              <w:t>2.2.9总平面布置合理性分析总体布局</w:t>
            </w:r>
          </w:p>
          <w:p w14:paraId="7FC0C8D1">
            <w:pPr>
              <w:pStyle w:val="771"/>
              <w:keepNext w:val="0"/>
              <w:keepLines w:val="0"/>
              <w:pageBreakBefore w:val="0"/>
              <w:kinsoku/>
              <w:wordWrap/>
              <w:overflowPunct/>
              <w:topLinePunct w:val="0"/>
              <w:autoSpaceDE/>
              <w:autoSpaceDN/>
              <w:bidi w:val="0"/>
              <w:adjustRightInd w:val="0"/>
              <w:snapToGrid w:val="0"/>
              <w:spacing w:line="460" w:lineRule="exact"/>
              <w:textAlignment w:val="auto"/>
              <w:rPr>
                <w:color w:val="auto"/>
              </w:rPr>
            </w:pPr>
            <w:r>
              <w:rPr>
                <w:rFonts w:hint="eastAsia"/>
                <w:color w:val="auto"/>
                <w:lang w:val="en-US" w:eastAsia="zh-CN"/>
              </w:rPr>
              <w:t>本项目位于淮南市八公山区淮南舜岳水泥有限责任公司厂区内，建设单位依托现有建构筑物进行简单装修改造，占地面积约10000</w:t>
            </w:r>
            <w:r>
              <w:rPr>
                <w:rFonts w:hint="default"/>
                <w:color w:val="auto"/>
                <w:lang w:val="en-US" w:eastAsia="zh-CN"/>
              </w:rPr>
              <w:t>m</w:t>
            </w:r>
            <w:r>
              <w:rPr>
                <w:rFonts w:hint="eastAsia"/>
                <w:color w:val="auto"/>
                <w:vertAlign w:val="superscript"/>
                <w:lang w:val="en-US" w:eastAsia="zh-CN"/>
              </w:rPr>
              <w:t>2</w:t>
            </w:r>
            <w:r>
              <w:rPr>
                <w:rFonts w:hint="eastAsia"/>
                <w:color w:val="auto"/>
                <w:lang w:val="en-US" w:eastAsia="zh-CN"/>
              </w:rPr>
              <w:t>。数控跳汰洗选车间位于厂区东北侧，车间南侧设置事故水池</w:t>
            </w:r>
            <w:r>
              <w:rPr>
                <w:rFonts w:hint="eastAsia" w:ascii="Times New Roman" w:hAnsi="Times New Roman" w:eastAsia="宋体" w:cs="Times New Roman"/>
                <w:color w:val="auto"/>
                <w:lang w:val="en-US" w:eastAsia="zh-CN"/>
              </w:rPr>
              <w:t>。产品堆棚</w:t>
            </w:r>
            <w:r>
              <w:rPr>
                <w:rFonts w:hint="default" w:ascii="Times New Roman" w:hAnsi="Times New Roman" w:eastAsia="宋体" w:cs="Times New Roman"/>
                <w:color w:val="auto"/>
                <w:lang w:val="en-US" w:eastAsia="zh-CN"/>
              </w:rPr>
              <w:t>位于厂区西南侧，</w:t>
            </w:r>
            <w:r>
              <w:rPr>
                <w:rFonts w:hint="eastAsia" w:ascii="Times New Roman" w:hAnsi="Times New Roman" w:eastAsia="宋体" w:cs="Times New Roman"/>
                <w:color w:val="auto"/>
                <w:lang w:val="en-US" w:eastAsia="zh-CN"/>
              </w:rPr>
              <w:t>利用现有厂房改造为三个独立区域，分别作为精煤堆棚、中煤堆棚和矸石（胶凝材料原料）堆棚。厂区内设置有传送带运输。</w:t>
            </w:r>
            <w:r>
              <w:rPr>
                <w:rFonts w:hint="default" w:ascii="Times New Roman" w:hAnsi="Times New Roman" w:eastAsia="宋体" w:cs="Times New Roman"/>
                <w:color w:val="auto"/>
                <w:lang w:val="en-US" w:eastAsia="zh-CN"/>
              </w:rPr>
              <w:t>根据厂区自然条件，厂区内总体布局紧凑，整体环境和谐，因此厂区总体布局合理。</w:t>
            </w:r>
            <w:r>
              <w:rPr>
                <w:rFonts w:hint="eastAsia"/>
                <w:color w:val="auto"/>
                <w:highlight w:val="none"/>
                <w:lang w:val="en-US" w:eastAsia="zh-CN"/>
              </w:rPr>
              <w:t>具体平面布置详见附图2。</w:t>
            </w:r>
          </w:p>
          <w:p w14:paraId="12F5DE73">
            <w:pPr>
              <w:pStyle w:val="181"/>
              <w:keepNext w:val="0"/>
              <w:keepLines w:val="0"/>
              <w:pageBreakBefore w:val="0"/>
              <w:kinsoku/>
              <w:wordWrap/>
              <w:overflowPunct/>
              <w:topLinePunct w:val="0"/>
              <w:autoSpaceDE/>
              <w:autoSpaceDN/>
              <w:bidi w:val="0"/>
              <w:adjustRightInd w:val="0"/>
              <w:snapToGrid w:val="0"/>
              <w:spacing w:line="460" w:lineRule="exact"/>
              <w:ind w:firstLine="482"/>
              <w:textAlignment w:val="auto"/>
              <w:rPr>
                <w:b/>
                <w:bCs/>
                <w:color w:val="auto"/>
              </w:rPr>
            </w:pPr>
            <w:r>
              <w:rPr>
                <w:b/>
                <w:bCs/>
                <w:color w:val="auto"/>
              </w:rPr>
              <w:t>2.2.10水平衡分析</w:t>
            </w:r>
          </w:p>
          <w:p w14:paraId="70977352">
            <w:pPr>
              <w:pStyle w:val="181"/>
              <w:keepNext w:val="0"/>
              <w:keepLines w:val="0"/>
              <w:pageBreakBefore w:val="0"/>
              <w:kinsoku/>
              <w:wordWrap/>
              <w:overflowPunct/>
              <w:topLinePunct w:val="0"/>
              <w:autoSpaceDE/>
              <w:autoSpaceDN/>
              <w:bidi w:val="0"/>
              <w:adjustRightInd w:val="0"/>
              <w:snapToGrid w:val="0"/>
              <w:spacing w:line="460" w:lineRule="exact"/>
              <w:ind w:firstLine="480"/>
              <w:textAlignment w:val="auto"/>
              <w:rPr>
                <w:color w:val="auto"/>
              </w:rPr>
            </w:pPr>
            <w:r>
              <w:rPr>
                <w:rFonts w:hint="eastAsia"/>
                <w:color w:val="auto"/>
              </w:rPr>
              <w:t>本项目营运期用水主要为生活用水与生产用水。</w:t>
            </w:r>
          </w:p>
          <w:p w14:paraId="178D70D2">
            <w:pPr>
              <w:pStyle w:val="181"/>
              <w:keepNext w:val="0"/>
              <w:keepLines w:val="0"/>
              <w:pageBreakBefore w:val="0"/>
              <w:kinsoku/>
              <w:wordWrap/>
              <w:overflowPunct/>
              <w:topLinePunct w:val="0"/>
              <w:autoSpaceDE/>
              <w:autoSpaceDN/>
              <w:bidi w:val="0"/>
              <w:adjustRightInd w:val="0"/>
              <w:snapToGrid w:val="0"/>
              <w:spacing w:line="460" w:lineRule="exact"/>
              <w:ind w:firstLine="482"/>
              <w:textAlignment w:val="auto"/>
              <w:rPr>
                <w:b/>
                <w:bCs/>
                <w:color w:val="auto"/>
              </w:rPr>
            </w:pPr>
            <w:r>
              <w:rPr>
                <w:rFonts w:hint="eastAsia"/>
                <w:b/>
                <w:bCs/>
                <w:color w:val="auto"/>
              </w:rPr>
              <w:t>1、本项目用</w:t>
            </w:r>
            <w:r>
              <w:rPr>
                <w:rFonts w:hint="eastAsia"/>
                <w:b/>
                <w:bCs/>
                <w:color w:val="auto"/>
                <w:lang w:eastAsia="zh-CN"/>
              </w:rPr>
              <w:t>排</w:t>
            </w:r>
            <w:r>
              <w:rPr>
                <w:rFonts w:hint="eastAsia"/>
                <w:b/>
                <w:bCs/>
                <w:color w:val="auto"/>
              </w:rPr>
              <w:t>水情况</w:t>
            </w:r>
          </w:p>
          <w:p w14:paraId="5E32E804">
            <w:pPr>
              <w:pStyle w:val="181"/>
              <w:keepNext w:val="0"/>
              <w:keepLines w:val="0"/>
              <w:pageBreakBefore w:val="0"/>
              <w:widowControl/>
              <w:kinsoku/>
              <w:wordWrap/>
              <w:overflowPunct/>
              <w:topLinePunct w:val="0"/>
              <w:autoSpaceDE/>
              <w:autoSpaceDN/>
              <w:bidi w:val="0"/>
              <w:adjustRightInd w:val="0"/>
              <w:snapToGrid w:val="0"/>
              <w:spacing w:line="460" w:lineRule="exact"/>
              <w:ind w:firstLine="480"/>
              <w:textAlignment w:val="auto"/>
              <w:rPr>
                <w:rFonts w:hint="eastAsia" w:ascii="Times New Roman" w:hAnsi="Times New Roman" w:eastAsia="宋体" w:cs="Times New Roman"/>
                <w:color w:val="auto"/>
              </w:rPr>
            </w:pPr>
            <w:r>
              <w:rPr>
                <w:rFonts w:hint="eastAsia"/>
                <w:color w:val="auto"/>
              </w:rPr>
              <w:t>（1）生活用水：</w:t>
            </w:r>
            <w:r>
              <w:rPr>
                <w:color w:val="auto"/>
              </w:rPr>
              <w:t>本项目劳动定员为</w:t>
            </w:r>
            <w:r>
              <w:rPr>
                <w:rFonts w:hint="eastAsia"/>
                <w:color w:val="auto"/>
                <w:lang w:val="en-US" w:eastAsia="zh-CN"/>
              </w:rPr>
              <w:t>26</w:t>
            </w:r>
            <w:r>
              <w:rPr>
                <w:rFonts w:hint="eastAsia"/>
                <w:color w:val="auto"/>
              </w:rPr>
              <w:t>名，根据《安徽省行业用水定额》（DB34/T679-20</w:t>
            </w:r>
            <w:r>
              <w:rPr>
                <w:rFonts w:hint="eastAsia"/>
                <w:color w:val="auto"/>
                <w:lang w:val="en-US" w:eastAsia="zh-CN"/>
              </w:rPr>
              <w:t>25</w:t>
            </w:r>
            <w:r>
              <w:rPr>
                <w:rFonts w:hint="eastAsia"/>
                <w:color w:val="auto"/>
              </w:rPr>
              <w:t>）中的相关内容，办公用水定额取</w:t>
            </w:r>
            <w:r>
              <w:rPr>
                <w:rFonts w:hint="eastAsia"/>
                <w:color w:val="auto"/>
                <w:lang w:val="en-US" w:eastAsia="zh-CN"/>
              </w:rPr>
              <w:t>38</w:t>
            </w:r>
            <w:r>
              <w:rPr>
                <w:rFonts w:hint="eastAsia"/>
                <w:color w:val="auto"/>
              </w:rPr>
              <w:t>L/人·d。则生活用水量约为</w:t>
            </w:r>
            <w:r>
              <w:rPr>
                <w:rFonts w:hint="eastAsia" w:ascii="Times New Roman" w:hAnsi="Times New Roman" w:eastAsia="宋体" w:cs="Times New Roman"/>
                <w:color w:val="auto"/>
                <w:lang w:val="en-US" w:eastAsia="zh-CN"/>
              </w:rPr>
              <w:t>0.988t</w:t>
            </w:r>
            <w:r>
              <w:rPr>
                <w:rFonts w:hint="eastAsia" w:ascii="Times New Roman" w:hAnsi="Times New Roman" w:eastAsia="宋体" w:cs="Times New Roman"/>
                <w:color w:val="auto"/>
              </w:rPr>
              <w:t>/d，</w:t>
            </w:r>
            <w:r>
              <w:rPr>
                <w:rFonts w:hint="eastAsia" w:ascii="Times New Roman" w:hAnsi="Times New Roman" w:eastAsia="宋体" w:cs="Times New Roman"/>
                <w:color w:val="auto"/>
                <w:lang w:val="en-US" w:eastAsia="zh-CN"/>
              </w:rPr>
              <w:t>296.4</w:t>
            </w:r>
            <w:r>
              <w:rPr>
                <w:rFonts w:hint="eastAsia" w:ascii="Times New Roman" w:hAnsi="Times New Roman" w:eastAsia="宋体" w:cs="Times New Roman"/>
                <w:color w:val="auto"/>
              </w:rPr>
              <w:t>t/a；污水产生系数按照80%计，则生活污水产生量为</w:t>
            </w:r>
            <w:r>
              <w:rPr>
                <w:rFonts w:hint="eastAsia" w:ascii="Times New Roman" w:hAnsi="Times New Roman" w:eastAsia="宋体" w:cs="Times New Roman"/>
                <w:color w:val="auto"/>
                <w:lang w:val="en-US" w:eastAsia="zh-CN"/>
              </w:rPr>
              <w:t>0.79</w:t>
            </w:r>
            <w:r>
              <w:rPr>
                <w:rFonts w:hint="eastAsia" w:ascii="Times New Roman" w:hAnsi="Times New Roman" w:eastAsia="宋体" w:cs="Times New Roman"/>
                <w:color w:val="auto"/>
              </w:rPr>
              <w:t>t/d，</w:t>
            </w:r>
            <w:r>
              <w:rPr>
                <w:rFonts w:hint="eastAsia" w:ascii="Times New Roman" w:hAnsi="Times New Roman" w:eastAsia="宋体" w:cs="Times New Roman"/>
                <w:color w:val="auto"/>
                <w:lang w:val="en-US" w:eastAsia="zh-CN"/>
              </w:rPr>
              <w:t>234.3</w:t>
            </w:r>
            <w:r>
              <w:rPr>
                <w:rFonts w:hint="eastAsia" w:ascii="Times New Roman" w:hAnsi="Times New Roman" w:eastAsia="宋体" w:cs="Times New Roman"/>
                <w:color w:val="auto"/>
              </w:rPr>
              <w:t>t/a。</w:t>
            </w:r>
          </w:p>
          <w:p w14:paraId="5A72C86A">
            <w:pPr>
              <w:pStyle w:val="181"/>
              <w:keepNext w:val="0"/>
              <w:keepLines w:val="0"/>
              <w:pageBreakBefore w:val="0"/>
              <w:widowControl/>
              <w:kinsoku/>
              <w:wordWrap/>
              <w:overflowPunct/>
              <w:topLinePunct w:val="0"/>
              <w:autoSpaceDE/>
              <w:autoSpaceDN/>
              <w:bidi w:val="0"/>
              <w:adjustRightInd w:val="0"/>
              <w:snapToGrid w:val="0"/>
              <w:ind w:firstLine="480"/>
              <w:textAlignment w:val="auto"/>
              <w:rPr>
                <w:rFonts w:hint="eastAsia" w:ascii="Times New Roman" w:hAnsi="Times New Roman" w:eastAsia="宋体" w:cs="Times New Roman"/>
                <w:color w:val="auto"/>
                <w:lang w:eastAsia="zh-CN"/>
              </w:rPr>
            </w:pPr>
            <w:r>
              <w:rPr>
                <w:rFonts w:hint="eastAsia" w:ascii="Times New Roman" w:hAnsi="Times New Roman" w:eastAsia="宋体" w:cs="Times New Roman"/>
                <w:color w:val="auto"/>
              </w:rPr>
              <w:t>（2）</w:t>
            </w:r>
            <w:r>
              <w:rPr>
                <w:rFonts w:hint="eastAsia" w:ascii="Times New Roman" w:hAnsi="Times New Roman" w:eastAsia="宋体" w:cs="Times New Roman"/>
                <w:color w:val="auto"/>
                <w:lang w:eastAsia="zh-CN"/>
              </w:rPr>
              <w:t>生产用水</w:t>
            </w:r>
          </w:p>
          <w:p w14:paraId="6A867D54">
            <w:pPr>
              <w:pStyle w:val="181"/>
              <w:keepNext w:val="0"/>
              <w:keepLines w:val="0"/>
              <w:pageBreakBefore w:val="0"/>
              <w:widowControl/>
              <w:kinsoku/>
              <w:wordWrap/>
              <w:overflowPunct/>
              <w:topLinePunct w:val="0"/>
              <w:autoSpaceDE/>
              <w:autoSpaceDN/>
              <w:bidi w:val="0"/>
              <w:adjustRightInd w:val="0"/>
              <w:snapToGrid w:val="0"/>
              <w:ind w:firstLine="480"/>
              <w:textAlignment w:val="auto"/>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eastAsia="zh-CN"/>
              </w:rPr>
              <w:t>①洗煤用水</w:t>
            </w:r>
          </w:p>
          <w:p w14:paraId="5E1AFC41">
            <w:pPr>
              <w:pStyle w:val="181"/>
              <w:keepNext w:val="0"/>
              <w:keepLines w:val="0"/>
              <w:pageBreakBefore w:val="0"/>
              <w:widowControl/>
              <w:kinsoku/>
              <w:wordWrap/>
              <w:overflowPunct/>
              <w:topLinePunct w:val="0"/>
              <w:autoSpaceDE/>
              <w:autoSpaceDN/>
              <w:bidi w:val="0"/>
              <w:adjustRightInd w:val="0"/>
              <w:snapToGrid w:val="0"/>
              <w:ind w:firstLine="480"/>
              <w:textAlignment w:val="auto"/>
              <w:rPr>
                <w:rFonts w:hint="eastAsia"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rPr>
              <w:t>本项目洗煤废水采用闭路循环水洗煤工艺，不外排，洗煤废水经过投加絮凝剂，使细小的颗粒絮凝沉淀，上清液循环用于生产。根据</w:t>
            </w:r>
            <w:r>
              <w:rPr>
                <w:rFonts w:hint="eastAsia"/>
                <w:color w:val="auto"/>
              </w:rPr>
              <w:t>《安徽省行业用水定额》（DB34/T679-20</w:t>
            </w:r>
            <w:r>
              <w:rPr>
                <w:rFonts w:hint="eastAsia"/>
                <w:color w:val="auto"/>
                <w:lang w:val="en-US" w:eastAsia="zh-CN"/>
              </w:rPr>
              <w:t>25</w:t>
            </w:r>
            <w:r>
              <w:rPr>
                <w:rFonts w:hint="eastAsia"/>
                <w:color w:val="auto"/>
              </w:rPr>
              <w:t>）</w:t>
            </w:r>
            <w:r>
              <w:rPr>
                <w:rFonts w:hint="default" w:ascii="Times New Roman" w:hAnsi="Times New Roman" w:eastAsia="宋体" w:cs="Times New Roman"/>
                <w:color w:val="auto"/>
              </w:rPr>
              <w:t>，参照烟煤和无烟煤的开采洗选用水量中动力煤选煤厂数据，按0.09m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/t计算，本项目洗选原煤量为</w:t>
            </w:r>
            <w:r>
              <w:rPr>
                <w:rFonts w:hint="eastAsia" w:ascii="Times New Roman" w:hAnsi="Times New Roman" w:eastAsia="宋体" w:cs="Times New Roman"/>
                <w:color w:val="auto"/>
                <w:lang w:val="en-US" w:eastAsia="zh-CN"/>
              </w:rPr>
              <w:t>200</w:t>
            </w:r>
            <w:r>
              <w:rPr>
                <w:rFonts w:hint="default" w:ascii="Times New Roman" w:hAnsi="Times New Roman" w:eastAsia="宋体" w:cs="Times New Roman"/>
                <w:color w:val="auto"/>
              </w:rPr>
              <w:t>万吨/年，因此本项目洗煤用水量为</w:t>
            </w:r>
            <w:r>
              <w:rPr>
                <w:rFonts w:hint="eastAsia" w:ascii="Times New Roman" w:hAnsi="Times New Roman" w:eastAsia="宋体" w:cs="Times New Roman"/>
                <w:color w:val="auto"/>
                <w:lang w:val="en-US" w:eastAsia="zh-CN"/>
              </w:rPr>
              <w:t>180</w:t>
            </w:r>
            <w:r>
              <w:rPr>
                <w:rFonts w:hint="default" w:ascii="Times New Roman" w:hAnsi="Times New Roman" w:eastAsia="宋体" w:cs="Times New Roman"/>
                <w:color w:val="auto"/>
              </w:rPr>
              <w:t>000t/a，平均每天洗煤用水量约</w:t>
            </w:r>
            <w:r>
              <w:rPr>
                <w:rFonts w:hint="eastAsia" w:ascii="Times New Roman" w:hAnsi="Times New Roman" w:eastAsia="宋体" w:cs="Times New Roman"/>
                <w:color w:val="auto"/>
                <w:lang w:val="en-US" w:eastAsia="zh-CN"/>
              </w:rPr>
              <w:t>600t</w:t>
            </w:r>
            <w:r>
              <w:rPr>
                <w:rFonts w:hint="default" w:ascii="Times New Roman" w:hAnsi="Times New Roman" w:eastAsia="宋体" w:cs="Times New Roman"/>
                <w:color w:val="auto"/>
              </w:rPr>
              <w:t>。</w:t>
            </w:r>
            <w:r>
              <w:rPr>
                <w:rFonts w:hint="eastAsia" w:ascii="Times New Roman" w:hAnsi="Times New Roman" w:eastAsia="宋体" w:cs="Times New Roman"/>
                <w:color w:val="auto"/>
                <w:sz w:val="24"/>
                <w:highlight w:val="none"/>
                <w:lang w:val="en-US" w:eastAsia="zh-CN"/>
              </w:rPr>
              <w:t>本项目洗煤系统生产用水平衡表见下表。</w:t>
            </w:r>
          </w:p>
          <w:p w14:paraId="048FA1DE">
            <w:pPr>
              <w:pStyle w:val="15"/>
              <w:keepNext w:val="0"/>
              <w:keepLines w:val="0"/>
              <w:pageBreakBefore w:val="0"/>
              <w:widowControl w:val="0"/>
              <w:kinsoku/>
              <w:wordWrap/>
              <w:overflowPunct/>
              <w:topLinePunct w:val="0"/>
              <w:autoSpaceDE/>
              <w:autoSpaceDN/>
              <w:bidi w:val="0"/>
              <w:adjustRightInd/>
              <w:snapToGrid/>
              <w:spacing w:after="0"/>
              <w:textAlignment w:val="auto"/>
              <w:rPr>
                <w:rFonts w:hint="eastAsia" w:eastAsia="宋体"/>
                <w:lang w:val="en-US" w:eastAsia="zh-CN"/>
              </w:rPr>
            </w:pPr>
            <w:r>
              <w:t xml:space="preserve">表 </w:t>
            </w:r>
            <w:r>
              <w:rPr>
                <w:rFonts w:hint="eastAsia"/>
                <w:lang w:val="en-US" w:eastAsia="zh-CN"/>
              </w:rPr>
              <w:t>2</w:t>
            </w:r>
            <w:r>
              <w:rPr>
                <w:rFonts w:hint="eastAsia"/>
                <w:lang w:eastAsia="zh-CN"/>
              </w:rPr>
              <w:t>-</w:t>
            </w:r>
            <w:r>
              <w:fldChar w:fldCharType="begin"/>
            </w:r>
            <w:r>
              <w:instrText xml:space="preserve"> SEQ 表 \* ARABIC \s 1 </w:instrText>
            </w:r>
            <w:r>
              <w:fldChar w:fldCharType="separate"/>
            </w:r>
            <w:r>
              <w:t>6</w:t>
            </w:r>
            <w:r>
              <w:fldChar w:fldCharType="end"/>
            </w:r>
            <w:r>
              <w:rPr>
                <w:rFonts w:hint="eastAsia"/>
                <w:lang w:val="en-US" w:eastAsia="zh-CN"/>
              </w:rPr>
              <w:t xml:space="preserve"> 本项目生产用水平衡表</w:t>
            </w:r>
          </w:p>
          <w:tbl>
            <w:tblPr>
              <w:tblStyle w:val="53"/>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56"/>
              <w:gridCol w:w="1385"/>
              <w:gridCol w:w="1467"/>
              <w:gridCol w:w="1907"/>
              <w:gridCol w:w="1686"/>
              <w:gridCol w:w="1507"/>
            </w:tblGrid>
            <w:tr w14:paraId="27754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2071" w:type="pct"/>
                  <w:gridSpan w:val="3"/>
                  <w:tcBorders>
                    <w:top w:val="single" w:color="000000" w:sz="4" w:space="0"/>
                    <w:left w:val="single" w:color="000000" w:sz="4" w:space="0"/>
                    <w:bottom w:val="single" w:color="000000" w:sz="4" w:space="0"/>
                    <w:right w:val="single" w:color="000000" w:sz="4" w:space="0"/>
                    <w:tl2br w:val="nil"/>
                  </w:tcBorders>
                  <w:shd w:val="clear" w:color="auto" w:fill="FFFFFF"/>
                  <w:vAlign w:val="center"/>
                </w:tcPr>
                <w:p w14:paraId="569AC812">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选煤过程中</w:t>
                  </w:r>
                  <w:r>
                    <w:rPr>
                      <w:rFonts w:hint="eastAsia" w:ascii="Times New Roman" w:cs="Times New Roman"/>
                      <w:b w:val="0"/>
                      <w:color w:val="000000"/>
                      <w:sz w:val="18"/>
                      <w:szCs w:val="18"/>
                      <w:lang w:val="en-US" w:eastAsia="zh-CN"/>
                    </w:rPr>
                    <w:t>总</w:t>
                  </w:r>
                  <w:r>
                    <w:rPr>
                      <w:rFonts w:hint="default" w:ascii="Times New Roman" w:hAnsi="Times New Roman" w:eastAsia="宋体" w:cs="Times New Roman"/>
                      <w:b w:val="0"/>
                      <w:color w:val="000000"/>
                      <w:sz w:val="18"/>
                      <w:szCs w:val="18"/>
                      <w:lang w:val="en-US" w:eastAsia="zh-CN"/>
                    </w:rPr>
                    <w:t>进入水量，m</w:t>
                  </w:r>
                  <w:r>
                    <w:rPr>
                      <w:rFonts w:hint="default" w:ascii="Times New Roman" w:hAnsi="Times New Roman" w:eastAsia="宋体" w:cs="Times New Roman"/>
                      <w:b w:val="0"/>
                      <w:color w:val="000000"/>
                      <w:sz w:val="18"/>
                      <w:szCs w:val="18"/>
                      <w:vertAlign w:val="superscript"/>
                      <w:lang w:val="en-US" w:eastAsia="zh-CN"/>
                    </w:rPr>
                    <w:t>3</w:t>
                  </w:r>
                  <w:r>
                    <w:rPr>
                      <w:rFonts w:hint="default" w:ascii="Times New Roman" w:hAnsi="Times New Roman" w:eastAsia="宋体" w:cs="Times New Roman"/>
                      <w:b w:val="0"/>
                      <w:color w:val="000000"/>
                      <w:sz w:val="18"/>
                      <w:szCs w:val="18"/>
                      <w:lang w:val="en-US" w:eastAsia="zh-CN"/>
                    </w:rPr>
                    <w:t>/h</w:t>
                  </w:r>
                </w:p>
              </w:tc>
              <w:tc>
                <w:tcPr>
                  <w:tcW w:w="2928"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5A6E6F29">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选煤过程中</w:t>
                  </w:r>
                  <w:r>
                    <w:rPr>
                      <w:rFonts w:hint="eastAsia" w:ascii="Times New Roman" w:cs="Times New Roman"/>
                      <w:b w:val="0"/>
                      <w:color w:val="000000"/>
                      <w:sz w:val="18"/>
                      <w:szCs w:val="18"/>
                      <w:lang w:val="en-US" w:eastAsia="zh-CN"/>
                    </w:rPr>
                    <w:t>总</w:t>
                  </w:r>
                  <w:r>
                    <w:rPr>
                      <w:rFonts w:hint="default" w:ascii="Times New Roman" w:hAnsi="Times New Roman" w:eastAsia="宋体" w:cs="Times New Roman"/>
                      <w:b w:val="0"/>
                      <w:color w:val="000000"/>
                      <w:sz w:val="18"/>
                      <w:szCs w:val="18"/>
                      <w:lang w:val="en-US" w:eastAsia="zh-CN"/>
                    </w:rPr>
                    <w:t>排出水量，m</w:t>
                  </w:r>
                  <w:r>
                    <w:rPr>
                      <w:rFonts w:hint="default" w:ascii="Times New Roman" w:hAnsi="Times New Roman" w:eastAsia="宋体" w:cs="Times New Roman"/>
                      <w:b w:val="0"/>
                      <w:color w:val="000000"/>
                      <w:sz w:val="18"/>
                      <w:szCs w:val="18"/>
                      <w:vertAlign w:val="superscript"/>
                      <w:lang w:val="en-US" w:eastAsia="zh-CN"/>
                    </w:rPr>
                    <w:t>3</w:t>
                  </w:r>
                  <w:r>
                    <w:rPr>
                      <w:rFonts w:hint="default" w:ascii="Times New Roman" w:hAnsi="Times New Roman" w:eastAsia="宋体" w:cs="Times New Roman"/>
                      <w:b w:val="0"/>
                      <w:color w:val="000000"/>
                      <w:sz w:val="18"/>
                      <w:szCs w:val="18"/>
                      <w:lang w:val="en-US" w:eastAsia="zh-CN"/>
                    </w:rPr>
                    <w:t>/h</w:t>
                  </w:r>
                </w:p>
              </w:tc>
            </w:tr>
            <w:tr w14:paraId="4425F9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1229"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E030074">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原煤带入水</w:t>
                  </w:r>
                </w:p>
              </w:tc>
              <w:tc>
                <w:tcPr>
                  <w:tcW w:w="84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ABDE29">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24.13</w:t>
                  </w:r>
                </w:p>
              </w:tc>
              <w:tc>
                <w:tcPr>
                  <w:tcW w:w="1095"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A3DA59D">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损失水</w:t>
                  </w:r>
                </w:p>
              </w:tc>
              <w:tc>
                <w:tcPr>
                  <w:tcW w:w="96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CD2264">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精煤</w:t>
                  </w:r>
                </w:p>
              </w:tc>
              <w:tc>
                <w:tcPr>
                  <w:tcW w:w="86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F4680C">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9.20</w:t>
                  </w:r>
                </w:p>
              </w:tc>
            </w:tr>
            <w:tr w14:paraId="7F939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1229"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CCF2B6B">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小计</w:t>
                  </w:r>
                </w:p>
              </w:tc>
              <w:tc>
                <w:tcPr>
                  <w:tcW w:w="84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AEC42D">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24.13</w:t>
                  </w:r>
                </w:p>
              </w:tc>
              <w:tc>
                <w:tcPr>
                  <w:tcW w:w="1095"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529A103">
                  <w:pPr>
                    <w:pStyle w:val="77"/>
                    <w:bidi w:val="0"/>
                    <w:jc w:val="center"/>
                    <w:rPr>
                      <w:rFonts w:hint="default" w:ascii="Times New Roman" w:hAnsi="Times New Roman" w:eastAsia="宋体" w:cs="Times New Roman"/>
                      <w:b w:val="0"/>
                      <w:color w:val="000000"/>
                      <w:sz w:val="18"/>
                      <w:szCs w:val="18"/>
                    </w:rPr>
                  </w:pPr>
                </w:p>
              </w:tc>
              <w:tc>
                <w:tcPr>
                  <w:tcW w:w="96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D9C311">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中煤</w:t>
                  </w:r>
                </w:p>
              </w:tc>
              <w:tc>
                <w:tcPr>
                  <w:tcW w:w="86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F743BD">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2.73</w:t>
                  </w:r>
                </w:p>
              </w:tc>
            </w:tr>
            <w:tr w14:paraId="33779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43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4627877">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循环水</w:t>
                  </w:r>
                </w:p>
              </w:tc>
              <w:tc>
                <w:tcPr>
                  <w:tcW w:w="7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CDA99D">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跳汰用循环水</w:t>
                  </w:r>
                </w:p>
              </w:tc>
              <w:tc>
                <w:tcPr>
                  <w:tcW w:w="84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1408C3">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30.00</w:t>
                  </w:r>
                </w:p>
              </w:tc>
              <w:tc>
                <w:tcPr>
                  <w:tcW w:w="1095"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AA97B3B">
                  <w:pPr>
                    <w:pStyle w:val="77"/>
                    <w:bidi w:val="0"/>
                    <w:jc w:val="center"/>
                    <w:rPr>
                      <w:rFonts w:hint="default" w:ascii="Times New Roman" w:hAnsi="Times New Roman" w:eastAsia="宋体" w:cs="Times New Roman"/>
                      <w:b w:val="0"/>
                      <w:color w:val="000000"/>
                      <w:sz w:val="18"/>
                      <w:szCs w:val="18"/>
                    </w:rPr>
                  </w:pPr>
                </w:p>
              </w:tc>
              <w:tc>
                <w:tcPr>
                  <w:tcW w:w="96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00AD26">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煤泥</w:t>
                  </w:r>
                </w:p>
              </w:tc>
              <w:tc>
                <w:tcPr>
                  <w:tcW w:w="86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BBD229">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5.35</w:t>
                  </w:r>
                </w:p>
              </w:tc>
            </w:tr>
            <w:tr w14:paraId="5C5D0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43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2FAE80">
                  <w:pPr>
                    <w:pStyle w:val="77"/>
                    <w:bidi w:val="0"/>
                    <w:jc w:val="center"/>
                    <w:rPr>
                      <w:rFonts w:hint="default" w:ascii="Times New Roman" w:hAnsi="Times New Roman" w:eastAsia="宋体" w:cs="Times New Roman"/>
                      <w:b w:val="0"/>
                      <w:color w:val="000000"/>
                      <w:sz w:val="18"/>
                      <w:szCs w:val="18"/>
                    </w:rPr>
                  </w:pPr>
                </w:p>
              </w:tc>
              <w:tc>
                <w:tcPr>
                  <w:tcW w:w="7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FBDFC9">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小计</w:t>
                  </w:r>
                </w:p>
              </w:tc>
              <w:tc>
                <w:tcPr>
                  <w:tcW w:w="84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1BD2B2">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30.00</w:t>
                  </w:r>
                </w:p>
              </w:tc>
              <w:tc>
                <w:tcPr>
                  <w:tcW w:w="1095"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493F252">
                  <w:pPr>
                    <w:pStyle w:val="77"/>
                    <w:bidi w:val="0"/>
                    <w:jc w:val="center"/>
                    <w:rPr>
                      <w:rFonts w:hint="default" w:ascii="Times New Roman" w:hAnsi="Times New Roman" w:eastAsia="宋体" w:cs="Times New Roman"/>
                      <w:b w:val="0"/>
                      <w:color w:val="000000"/>
                      <w:sz w:val="18"/>
                      <w:szCs w:val="18"/>
                    </w:rPr>
                  </w:pPr>
                </w:p>
              </w:tc>
              <w:tc>
                <w:tcPr>
                  <w:tcW w:w="96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57607A8">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矸石</w:t>
                  </w:r>
                </w:p>
              </w:tc>
              <w:tc>
                <w:tcPr>
                  <w:tcW w:w="86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C64421">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13.85</w:t>
                  </w:r>
                </w:p>
              </w:tc>
            </w:tr>
            <w:tr w14:paraId="3D4FB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434"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4B360A9">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清水</w:t>
                  </w:r>
                </w:p>
              </w:tc>
              <w:tc>
                <w:tcPr>
                  <w:tcW w:w="7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33D485">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补充清水</w:t>
                  </w:r>
                </w:p>
              </w:tc>
              <w:tc>
                <w:tcPr>
                  <w:tcW w:w="84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350647">
                  <w:pPr>
                    <w:pStyle w:val="77"/>
                    <w:bidi w:val="0"/>
                    <w:jc w:val="center"/>
                    <w:rPr>
                      <w:rFonts w:hint="default" w:ascii="Times New Roman" w:hAnsi="Times New Roman" w:eastAsia="宋体" w:cs="Times New Roman"/>
                      <w:b w:val="0"/>
                      <w:color w:val="000000"/>
                      <w:sz w:val="18"/>
                      <w:szCs w:val="18"/>
                      <w:lang w:val="en-US"/>
                    </w:rPr>
                  </w:pPr>
                  <w:r>
                    <w:rPr>
                      <w:rFonts w:hint="eastAsia" w:ascii="Times New Roman" w:hAnsi="Times New Roman" w:eastAsia="宋体" w:cs="Times New Roman"/>
                      <w:b w:val="0"/>
                      <w:color w:val="000000"/>
                      <w:sz w:val="18"/>
                      <w:szCs w:val="18"/>
                      <w:lang w:val="en-US" w:eastAsia="zh-CN"/>
                    </w:rPr>
                    <w:t>6.99</w:t>
                  </w:r>
                </w:p>
              </w:tc>
              <w:tc>
                <w:tcPr>
                  <w:tcW w:w="1095"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9AF8260">
                  <w:pPr>
                    <w:pStyle w:val="77"/>
                    <w:bidi w:val="0"/>
                    <w:jc w:val="center"/>
                    <w:rPr>
                      <w:rFonts w:hint="default" w:ascii="Times New Roman" w:hAnsi="Times New Roman" w:eastAsia="宋体" w:cs="Times New Roman"/>
                      <w:b w:val="0"/>
                      <w:color w:val="000000"/>
                      <w:sz w:val="18"/>
                      <w:szCs w:val="18"/>
                    </w:rPr>
                  </w:pPr>
                </w:p>
              </w:tc>
              <w:tc>
                <w:tcPr>
                  <w:tcW w:w="96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FA5573">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小计</w:t>
                  </w:r>
                </w:p>
              </w:tc>
              <w:tc>
                <w:tcPr>
                  <w:tcW w:w="86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60F969">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31.13</w:t>
                  </w:r>
                </w:p>
              </w:tc>
            </w:tr>
            <w:tr w14:paraId="4577A8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434"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C73DE74">
                  <w:pPr>
                    <w:pStyle w:val="77"/>
                    <w:bidi w:val="0"/>
                    <w:jc w:val="center"/>
                    <w:rPr>
                      <w:rFonts w:hint="default" w:ascii="Times New Roman" w:hAnsi="Times New Roman" w:eastAsia="宋体" w:cs="Times New Roman"/>
                      <w:b w:val="0"/>
                      <w:color w:val="000000"/>
                      <w:sz w:val="18"/>
                      <w:szCs w:val="18"/>
                    </w:rPr>
                  </w:pPr>
                </w:p>
              </w:tc>
              <w:tc>
                <w:tcPr>
                  <w:tcW w:w="7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44D9B3">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小计</w:t>
                  </w:r>
                </w:p>
              </w:tc>
              <w:tc>
                <w:tcPr>
                  <w:tcW w:w="84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1AAC01">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6.99</w:t>
                  </w:r>
                </w:p>
              </w:tc>
              <w:tc>
                <w:tcPr>
                  <w:tcW w:w="1095"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8F0AC6D">
                  <w:pPr>
                    <w:pStyle w:val="77"/>
                    <w:bidi w:val="0"/>
                    <w:jc w:val="center"/>
                    <w:rPr>
                      <w:rFonts w:hint="default" w:ascii="Times New Roman" w:hAnsi="Times New Roman" w:eastAsia="宋体" w:cs="Times New Roman"/>
                      <w:b w:val="0"/>
                      <w:color w:val="000000"/>
                      <w:sz w:val="18"/>
                      <w:szCs w:val="18"/>
                    </w:rPr>
                  </w:pPr>
                  <w:r>
                    <w:rPr>
                      <w:rFonts w:hint="eastAsia" w:ascii="Times New Roman" w:cs="Times New Roman"/>
                      <w:b w:val="0"/>
                      <w:color w:val="000000"/>
                      <w:sz w:val="18"/>
                      <w:szCs w:val="18"/>
                      <w:lang w:val="en-US" w:eastAsia="zh-CN"/>
                    </w:rPr>
                    <w:t>循环返回</w:t>
                  </w:r>
                  <w:r>
                    <w:rPr>
                      <w:rFonts w:hint="default" w:ascii="Times New Roman" w:hAnsi="Times New Roman" w:eastAsia="宋体" w:cs="Times New Roman"/>
                      <w:b w:val="0"/>
                      <w:color w:val="000000"/>
                      <w:sz w:val="18"/>
                      <w:szCs w:val="18"/>
                      <w:lang w:val="en-US" w:eastAsia="zh-CN"/>
                    </w:rPr>
                    <w:t>水</w:t>
                  </w:r>
                </w:p>
              </w:tc>
              <w:tc>
                <w:tcPr>
                  <w:tcW w:w="96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4068D9">
                  <w:pPr>
                    <w:pStyle w:val="77"/>
                    <w:bidi w:val="0"/>
                    <w:jc w:val="center"/>
                    <w:rPr>
                      <w:rFonts w:hint="default" w:ascii="Times New Roman" w:hAnsi="Times New Roman" w:eastAsia="宋体" w:cs="Times New Roman"/>
                      <w:b w:val="0"/>
                      <w:color w:val="000000"/>
                      <w:sz w:val="18"/>
                      <w:szCs w:val="18"/>
                      <w:lang w:val="zh-CN" w:eastAsia="zh-CN" w:bidi="ar-SA"/>
                    </w:rPr>
                  </w:pPr>
                  <w:r>
                    <w:rPr>
                      <w:rFonts w:hint="eastAsia" w:ascii="Times New Roman" w:cs="Times New Roman"/>
                      <w:b w:val="0"/>
                      <w:color w:val="000000"/>
                      <w:sz w:val="18"/>
                      <w:szCs w:val="18"/>
                      <w:lang w:val="en-US" w:eastAsia="zh-CN"/>
                    </w:rPr>
                    <w:t>循环返回</w:t>
                  </w:r>
                  <w:r>
                    <w:rPr>
                      <w:rFonts w:hint="default" w:ascii="Times New Roman" w:hAnsi="Times New Roman" w:eastAsia="宋体" w:cs="Times New Roman"/>
                      <w:b w:val="0"/>
                      <w:color w:val="000000"/>
                      <w:sz w:val="18"/>
                      <w:szCs w:val="18"/>
                      <w:lang w:val="en-US" w:eastAsia="zh-CN"/>
                    </w:rPr>
                    <w:t>水</w:t>
                  </w:r>
                </w:p>
              </w:tc>
              <w:tc>
                <w:tcPr>
                  <w:tcW w:w="86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5484AE">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30.00</w:t>
                  </w:r>
                </w:p>
              </w:tc>
            </w:tr>
            <w:tr w14:paraId="5AF97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43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24E7C63">
                  <w:pPr>
                    <w:pStyle w:val="77"/>
                    <w:bidi w:val="0"/>
                    <w:jc w:val="center"/>
                    <w:rPr>
                      <w:rFonts w:hint="default" w:ascii="Times New Roman" w:hAnsi="Times New Roman" w:eastAsia="宋体" w:cs="Times New Roman"/>
                      <w:b w:val="0"/>
                      <w:color w:val="000000"/>
                      <w:sz w:val="18"/>
                      <w:szCs w:val="18"/>
                    </w:rPr>
                  </w:pPr>
                </w:p>
              </w:tc>
              <w:tc>
                <w:tcPr>
                  <w:tcW w:w="79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006BA6">
                  <w:pPr>
                    <w:pStyle w:val="77"/>
                    <w:bidi w:val="0"/>
                    <w:jc w:val="center"/>
                    <w:rPr>
                      <w:rFonts w:hint="default" w:ascii="Times New Roman" w:hAnsi="Times New Roman" w:eastAsia="宋体" w:cs="Times New Roman"/>
                      <w:b w:val="0"/>
                      <w:color w:val="000000"/>
                      <w:sz w:val="18"/>
                      <w:szCs w:val="18"/>
                    </w:rPr>
                  </w:pPr>
                </w:p>
              </w:tc>
              <w:tc>
                <w:tcPr>
                  <w:tcW w:w="84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5D0503">
                  <w:pPr>
                    <w:pStyle w:val="77"/>
                    <w:bidi w:val="0"/>
                    <w:jc w:val="center"/>
                    <w:rPr>
                      <w:rFonts w:hint="default" w:ascii="Times New Roman" w:hAnsi="Times New Roman" w:eastAsia="宋体" w:cs="Times New Roman"/>
                      <w:b w:val="0"/>
                      <w:color w:val="000000"/>
                      <w:sz w:val="18"/>
                      <w:szCs w:val="18"/>
                    </w:rPr>
                  </w:pPr>
                </w:p>
              </w:tc>
              <w:tc>
                <w:tcPr>
                  <w:tcW w:w="1095"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6A5C7EF">
                  <w:pPr>
                    <w:pStyle w:val="77"/>
                    <w:bidi w:val="0"/>
                    <w:jc w:val="center"/>
                    <w:rPr>
                      <w:rFonts w:hint="default" w:ascii="Times New Roman" w:hAnsi="Times New Roman" w:eastAsia="宋体" w:cs="Times New Roman"/>
                      <w:b w:val="0"/>
                      <w:color w:val="000000"/>
                      <w:sz w:val="18"/>
                      <w:szCs w:val="18"/>
                    </w:rPr>
                  </w:pPr>
                </w:p>
              </w:tc>
              <w:tc>
                <w:tcPr>
                  <w:tcW w:w="96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81708C">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小计</w:t>
                  </w:r>
                </w:p>
              </w:tc>
              <w:tc>
                <w:tcPr>
                  <w:tcW w:w="86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F6E2D8">
                  <w:pPr>
                    <w:pStyle w:val="77"/>
                    <w:bidi w:val="0"/>
                    <w:jc w:val="center"/>
                    <w:rPr>
                      <w:rFonts w:hint="default" w:ascii="Times New Roman" w:hAnsi="Times New Roman" w:eastAsia="宋体" w:cs="Times New Roman"/>
                      <w:b w:val="0"/>
                      <w:color w:val="000000"/>
                      <w:sz w:val="18"/>
                      <w:szCs w:val="18"/>
                      <w:lang w:val="zh-CN" w:eastAsia="zh-CN" w:bidi="ar-SA"/>
                    </w:rPr>
                  </w:pPr>
                  <w:r>
                    <w:rPr>
                      <w:rFonts w:hint="default" w:ascii="Times New Roman" w:hAnsi="Times New Roman" w:eastAsia="宋体" w:cs="Times New Roman"/>
                      <w:b w:val="0"/>
                      <w:color w:val="000000"/>
                      <w:sz w:val="18"/>
                      <w:szCs w:val="18"/>
                      <w:lang w:val="en-US" w:eastAsia="zh-CN"/>
                    </w:rPr>
                    <w:t>30.00</w:t>
                  </w:r>
                </w:p>
              </w:tc>
            </w:tr>
            <w:tr w14:paraId="37999B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1229"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D41463D">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全部用水量</w:t>
                  </w:r>
                </w:p>
              </w:tc>
              <w:tc>
                <w:tcPr>
                  <w:tcW w:w="84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2ED4E25">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61.13</w:t>
                  </w:r>
                </w:p>
              </w:tc>
              <w:tc>
                <w:tcPr>
                  <w:tcW w:w="2063"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B570D68">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排出总水量</w:t>
                  </w:r>
                </w:p>
              </w:tc>
              <w:tc>
                <w:tcPr>
                  <w:tcW w:w="865"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A7F743">
                  <w:pPr>
                    <w:pStyle w:val="77"/>
                    <w:bidi w:val="0"/>
                    <w:jc w:val="center"/>
                    <w:rPr>
                      <w:rFonts w:hint="default" w:ascii="Times New Roman" w:hAnsi="Times New Roman" w:eastAsia="宋体" w:cs="Times New Roman"/>
                      <w:b w:val="0"/>
                      <w:color w:val="000000"/>
                      <w:sz w:val="18"/>
                      <w:szCs w:val="18"/>
                    </w:rPr>
                  </w:pPr>
                  <w:r>
                    <w:rPr>
                      <w:rFonts w:hint="default" w:ascii="Times New Roman" w:hAnsi="Times New Roman" w:eastAsia="宋体" w:cs="Times New Roman"/>
                      <w:b w:val="0"/>
                      <w:color w:val="000000"/>
                      <w:sz w:val="18"/>
                      <w:szCs w:val="18"/>
                      <w:lang w:val="en-US" w:eastAsia="zh-CN"/>
                    </w:rPr>
                    <w:t>61.13</w:t>
                  </w:r>
                </w:p>
              </w:tc>
            </w:tr>
          </w:tbl>
          <w:p w14:paraId="2F49FF62">
            <w:pPr>
              <w:pStyle w:val="181"/>
              <w:wordWrap/>
              <w:ind w:firstLine="480"/>
              <w:rPr>
                <w:rFonts w:hint="default" w:ascii="Times New Roman" w:hAnsi="Times New Roman" w:eastAsia="宋体" w:cs="Times New Roman"/>
                <w:color w:val="auto"/>
                <w:lang w:eastAsia="zh-CN"/>
              </w:rPr>
            </w:pPr>
            <w:r>
              <w:rPr>
                <w:rFonts w:hint="default" w:ascii="Times New Roman" w:hAnsi="Times New Roman" w:eastAsia="宋体" w:cs="Times New Roman"/>
                <w:color w:val="auto"/>
              </w:rPr>
              <w:t>设计用水量指标满足《选煤厂洗水闭路循环等级》（MT/T810-1999）要求，即：一级闭路循环系统补水量＜0.15m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/t（入选原料煤），水重复利用率＞90%。满足《清洁生产标准煤炭采选业》（HJ446-2008）要求：即：吨入洗原煤补充水量&lt;0.10m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煤泥水达到闭路循环，不外排</w:t>
            </w:r>
            <w:r>
              <w:rPr>
                <w:rFonts w:hint="default" w:ascii="Times New Roman" w:hAnsi="Times New Roman" w:eastAsia="宋体" w:cs="Times New Roman"/>
                <w:color w:val="auto"/>
                <w:lang w:eastAsia="zh-CN"/>
              </w:rPr>
              <w:t>。</w:t>
            </w:r>
          </w:p>
          <w:p w14:paraId="3F48029A">
            <w:pPr>
              <w:pStyle w:val="181"/>
              <w:keepNext w:val="0"/>
              <w:keepLines w:val="0"/>
              <w:pageBreakBefore w:val="0"/>
              <w:kinsoku/>
              <w:wordWrap/>
              <w:overflowPunct/>
              <w:topLinePunct w:val="0"/>
              <w:autoSpaceDE/>
              <w:autoSpaceDN/>
              <w:bidi w:val="0"/>
              <w:adjustRightInd/>
              <w:snapToGrid/>
              <w:spacing w:line="500" w:lineRule="exact"/>
              <w:ind w:firstLine="480"/>
              <w:textAlignment w:val="auto"/>
              <w:rPr>
                <w:rFonts w:hint="default" w:ascii="Times New Roman" w:hAnsi="Times New Roman" w:eastAsia="宋体" w:cs="Times New Roman"/>
                <w:color w:val="auto"/>
              </w:rPr>
            </w:pPr>
            <w:r>
              <w:rPr>
                <w:rFonts w:hint="eastAsia" w:cs="Times New Roman"/>
                <w:color w:val="auto"/>
                <w:lang w:eastAsia="zh-CN"/>
              </w:rPr>
              <w:t>②</w:t>
            </w:r>
            <w:r>
              <w:rPr>
                <w:rFonts w:hint="default" w:ascii="Times New Roman" w:hAnsi="Times New Roman" w:eastAsia="宋体" w:cs="Times New Roman"/>
                <w:color w:val="auto"/>
              </w:rPr>
              <w:t>洒水抑尘用水</w:t>
            </w:r>
          </w:p>
          <w:p w14:paraId="4D3DADD6">
            <w:pPr>
              <w:pStyle w:val="181"/>
              <w:keepNext w:val="0"/>
              <w:keepLines w:val="0"/>
              <w:pageBreakBefore w:val="0"/>
              <w:kinsoku/>
              <w:wordWrap/>
              <w:overflowPunct/>
              <w:topLinePunct w:val="0"/>
              <w:autoSpaceDE/>
              <w:autoSpaceDN/>
              <w:bidi w:val="0"/>
              <w:adjustRightInd/>
              <w:snapToGrid/>
              <w:spacing w:line="500" w:lineRule="exact"/>
              <w:ind w:firstLine="480"/>
              <w:textAlignment w:val="auto"/>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rPr>
              <w:t>本项目转载点起尘处需洒水抑尘，对运输路面等也要进行定期洒水。</w:t>
            </w:r>
            <w:r>
              <w:rPr>
                <w:rFonts w:hint="eastAsia" w:cs="Times New Roman"/>
                <w:color w:val="auto"/>
                <w:lang w:eastAsia="zh-CN"/>
              </w:rPr>
              <w:t>日常对</w:t>
            </w:r>
            <w:r>
              <w:rPr>
                <w:rFonts w:hint="default" w:ascii="Times New Roman" w:hAnsi="Times New Roman" w:eastAsia="宋体" w:cs="Times New Roman"/>
                <w:color w:val="auto"/>
                <w:lang w:val="en-US" w:eastAsia="zh-CN"/>
              </w:rPr>
              <w:t>中煤</w:t>
            </w:r>
            <w:r>
              <w:rPr>
                <w:rFonts w:hint="eastAsia" w:ascii="Times New Roman" w:hAnsi="Times New Roman" w:eastAsia="宋体" w:cs="Times New Roman"/>
                <w:color w:val="auto"/>
                <w:lang w:val="en-US" w:eastAsia="zh-CN"/>
              </w:rPr>
              <w:t>堆棚</w:t>
            </w:r>
            <w:r>
              <w:rPr>
                <w:rFonts w:hint="default" w:ascii="Times New Roman" w:hAnsi="Times New Roman" w:eastAsia="宋体" w:cs="Times New Roman"/>
                <w:color w:val="auto"/>
                <w:lang w:val="en-US" w:eastAsia="zh-CN"/>
              </w:rPr>
              <w:t>、</w:t>
            </w:r>
            <w:r>
              <w:rPr>
                <w:rFonts w:hint="eastAsia" w:cs="Times New Roman"/>
                <w:color w:val="auto"/>
                <w:lang w:val="en-US" w:eastAsia="zh-CN"/>
              </w:rPr>
              <w:t>生产车间</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精煤堆棚</w:t>
            </w:r>
            <w:r>
              <w:rPr>
                <w:rFonts w:hint="default" w:ascii="Times New Roman" w:hAnsi="Times New Roman" w:eastAsia="宋体" w:cs="Times New Roman"/>
                <w:color w:val="auto"/>
                <w:lang w:val="en-US" w:eastAsia="zh-CN"/>
              </w:rPr>
              <w:t>、矸石</w:t>
            </w:r>
            <w:r>
              <w:rPr>
                <w:rFonts w:hint="eastAsia" w:ascii="Times New Roman" w:hAnsi="Times New Roman" w:eastAsia="宋体" w:cs="Times New Roman"/>
                <w:color w:val="auto"/>
                <w:lang w:val="en-US" w:eastAsia="zh-CN"/>
              </w:rPr>
              <w:t>堆棚</w:t>
            </w:r>
            <w:r>
              <w:rPr>
                <w:rFonts w:hint="eastAsia" w:cs="Times New Roman"/>
                <w:color w:val="auto"/>
                <w:lang w:val="en-US" w:eastAsia="zh-CN"/>
              </w:rPr>
              <w:t>及厂区路面</w:t>
            </w:r>
            <w:r>
              <w:rPr>
                <w:rFonts w:hint="default" w:ascii="Times New Roman" w:hAnsi="Times New Roman" w:eastAsia="宋体" w:cs="Times New Roman"/>
                <w:color w:val="auto"/>
                <w:lang w:val="en-US" w:eastAsia="zh-CN"/>
              </w:rPr>
              <w:t>等</w:t>
            </w:r>
            <w:r>
              <w:rPr>
                <w:rFonts w:hint="eastAsia" w:cs="Times New Roman"/>
                <w:color w:val="auto"/>
                <w:lang w:val="en-US" w:eastAsia="zh-CN"/>
              </w:rPr>
              <w:t>区域</w:t>
            </w:r>
            <w:r>
              <w:rPr>
                <w:rFonts w:hint="default" w:ascii="Times New Roman" w:hAnsi="Times New Roman" w:eastAsia="宋体" w:cs="Times New Roman"/>
                <w:color w:val="auto"/>
                <w:lang w:val="en-US" w:eastAsia="zh-CN"/>
              </w:rPr>
              <w:t>降尘洒水，降尘用水按</w:t>
            </w:r>
            <w:r>
              <w:rPr>
                <w:rFonts w:hint="eastAsia" w:ascii="Times New Roman" w:hAnsi="Times New Roman" w:eastAsia="宋体" w:cs="Times New Roman"/>
                <w:color w:val="auto"/>
                <w:lang w:val="en-US" w:eastAsia="zh-CN"/>
              </w:rPr>
              <w:t>2.5</w:t>
            </w:r>
            <w:r>
              <w:rPr>
                <w:rFonts w:hint="default" w:ascii="Times New Roman" w:hAnsi="Times New Roman" w:eastAsia="宋体" w:cs="Times New Roman"/>
                <w:color w:val="auto"/>
                <w:lang w:val="en-US" w:eastAsia="zh-CN"/>
              </w:rPr>
              <w:t>L/m</w:t>
            </w:r>
            <w:r>
              <w:rPr>
                <w:rFonts w:hint="default"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val="en-US" w:eastAsia="zh-CN"/>
              </w:rPr>
              <w:t>·d 计，总洒水降尘面积共计约为</w:t>
            </w:r>
            <w:r>
              <w:rPr>
                <w:rFonts w:hint="eastAsia" w:ascii="Times New Roman" w:hAnsi="Times New Roman" w:eastAsia="宋体" w:cs="Times New Roman"/>
                <w:color w:val="auto"/>
                <w:lang w:val="en-US" w:eastAsia="zh-CN"/>
              </w:rPr>
              <w:t>100</w:t>
            </w:r>
            <w:r>
              <w:rPr>
                <w:rFonts w:hint="default" w:ascii="Times New Roman" w:hAnsi="Times New Roman" w:eastAsia="宋体" w:cs="Times New Roman"/>
                <w:color w:val="auto"/>
                <w:lang w:val="en-US" w:eastAsia="zh-CN"/>
              </w:rPr>
              <w:t>00m</w:t>
            </w:r>
            <w:r>
              <w:rPr>
                <w:rFonts w:hint="default"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val="en-US" w:eastAsia="zh-CN"/>
              </w:rPr>
              <w:t>，</w:t>
            </w:r>
            <w:r>
              <w:rPr>
                <w:rFonts w:hint="default" w:ascii="Times New Roman" w:hAnsi="Times New Roman" w:eastAsia="宋体" w:cs="Times New Roman"/>
                <w:color w:val="auto"/>
              </w:rPr>
              <w:t>每天用于洒水抑尘的水量约</w:t>
            </w:r>
            <w:r>
              <w:rPr>
                <w:rFonts w:hint="eastAsia" w:ascii="Times New Roman" w:hAnsi="Times New Roman" w:eastAsia="宋体" w:cs="Times New Roman"/>
                <w:color w:val="auto"/>
                <w:lang w:val="en-US" w:eastAsia="zh-CN"/>
              </w:rPr>
              <w:t>25t</w:t>
            </w:r>
            <w:r>
              <w:rPr>
                <w:rFonts w:hint="default" w:ascii="Times New Roman" w:hAnsi="Times New Roman" w:eastAsia="宋体" w:cs="Times New Roman"/>
                <w:color w:val="auto"/>
              </w:rPr>
              <w:t>/d，</w:t>
            </w:r>
            <w:r>
              <w:rPr>
                <w:rFonts w:hint="eastAsia" w:ascii="Times New Roman" w:hAnsi="Times New Roman" w:eastAsia="宋体" w:cs="Times New Roman"/>
                <w:color w:val="auto"/>
                <w:lang w:val="en-US" w:eastAsia="zh-CN"/>
              </w:rPr>
              <w:t>7500t</w:t>
            </w:r>
            <w:r>
              <w:rPr>
                <w:rFonts w:hint="default" w:ascii="Times New Roman" w:hAnsi="Times New Roman" w:eastAsia="宋体" w:cs="Times New Roman"/>
                <w:color w:val="auto"/>
              </w:rPr>
              <w:t>/a。洒水抑尘</w:t>
            </w:r>
            <w:r>
              <w:rPr>
                <w:rFonts w:hint="eastAsia" w:ascii="Times New Roman" w:hAnsi="Times New Roman" w:eastAsia="宋体" w:cs="Times New Roman"/>
                <w:color w:val="auto"/>
                <w:lang w:eastAsia="zh-CN"/>
              </w:rPr>
              <w:t>全部蒸发消耗，不</w:t>
            </w:r>
            <w:r>
              <w:rPr>
                <w:rFonts w:hint="eastAsia" w:ascii="Times New Roman" w:hAnsi="Times New Roman" w:eastAsia="宋体" w:cs="Times New Roman"/>
                <w:color w:val="auto"/>
                <w:lang w:val="en-US" w:eastAsia="zh-CN"/>
              </w:rPr>
              <w:t>外排。</w:t>
            </w:r>
          </w:p>
          <w:p w14:paraId="001255E8">
            <w:pPr>
              <w:pStyle w:val="771"/>
              <w:keepNext w:val="0"/>
              <w:keepLines w:val="0"/>
              <w:pageBreakBefore w:val="0"/>
              <w:kinsoku/>
              <w:wordWrap/>
              <w:overflowPunct/>
              <w:topLinePunct w:val="0"/>
              <w:autoSpaceDE/>
              <w:autoSpaceDN/>
              <w:bidi w:val="0"/>
              <w:adjustRightInd/>
              <w:snapToGrid/>
              <w:spacing w:line="500" w:lineRule="exact"/>
              <w:textAlignment w:val="auto"/>
              <w:rPr>
                <w:rFonts w:hint="eastAsia"/>
                <w:color w:val="auto"/>
                <w:lang w:eastAsia="zh-CN"/>
              </w:rPr>
            </w:pPr>
            <w:r>
              <w:rPr>
                <w:rFonts w:hint="eastAsia"/>
                <w:color w:val="auto"/>
                <w:szCs w:val="20"/>
                <w:lang w:val="en-US" w:eastAsia="zh-CN"/>
              </w:rPr>
              <w:t>综上，本项目建成后水平衡如下所示。</w:t>
            </w:r>
          </w:p>
          <w:p w14:paraId="25155EE6">
            <w:pPr>
              <w:pStyle w:val="286"/>
              <w:framePr w:hSpace="0" w:wrap="auto" w:vAnchor="margin" w:hAnchor="text" w:xAlign="left" w:yAlign="inline"/>
              <w:spacing w:line="360" w:lineRule="auto"/>
              <w:rPr>
                <w:rStyle w:val="729"/>
                <w:b/>
                <w:color w:val="auto"/>
                <w:lang w:val="zh-CN"/>
              </w:rPr>
            </w:pPr>
            <w:r>
              <w:rPr>
                <w:rStyle w:val="729"/>
                <w:b/>
                <w:color w:val="auto"/>
                <w:lang w:val="zh-CN"/>
              </w:rPr>
              <w:drawing>
                <wp:inline distT="0" distB="0" distL="114300" distR="114300">
                  <wp:extent cx="4949190" cy="4388485"/>
                  <wp:effectExtent l="0" t="0" r="0" b="0"/>
                  <wp:docPr id="10" name="ECB019B1-382A-4266-B25C-5B523AA43C14-1" descr="C:/Users/Administrator/AppData/Local/Temp/wps.rpMOfl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CB019B1-382A-4266-B25C-5B523AA43C14-1" descr="C:/Users/Administrator/AppData/Local/Temp/wps.rpMOflwps"/>
                          <pic:cNvPicPr>
                            <a:picLocks noChangeAspect="1"/>
                          </pic:cNvPicPr>
                        </pic:nvPicPr>
                        <pic:blipFill>
                          <a:blip r:embed="rId25"/>
                          <a:stretch>
                            <a:fillRect/>
                          </a:stretch>
                        </pic:blipFill>
                        <pic:spPr>
                          <a:xfrm>
                            <a:off x="0" y="0"/>
                            <a:ext cx="4949190" cy="4388485"/>
                          </a:xfrm>
                          <a:prstGeom prst="rect">
                            <a:avLst/>
                          </a:prstGeom>
                        </pic:spPr>
                      </pic:pic>
                    </a:graphicData>
                  </a:graphic>
                </wp:inline>
              </w:drawing>
            </w:r>
          </w:p>
          <w:p w14:paraId="6519C091">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color w:val="auto"/>
                <w:lang w:val="en-US" w:eastAsia="zh-CN"/>
              </w:rPr>
            </w:pPr>
            <w:r>
              <w:rPr>
                <w:color w:val="auto"/>
              </w:rPr>
              <w:t xml:space="preserve">图 </w:t>
            </w:r>
            <w:r>
              <w:rPr>
                <w:rFonts w:hint="eastAsia"/>
                <w:color w:val="auto"/>
                <w:lang w:val="en-US" w:eastAsia="zh-CN"/>
              </w:rPr>
              <w:t>2</w:t>
            </w:r>
            <w:r>
              <w:rPr>
                <w:rFonts w:hint="eastAsia"/>
                <w:color w:val="auto"/>
                <w:lang w:eastAsia="zh-CN"/>
              </w:rPr>
              <w:t>-</w:t>
            </w:r>
            <w:r>
              <w:rPr>
                <w:color w:val="auto"/>
              </w:rPr>
              <w:fldChar w:fldCharType="begin"/>
            </w:r>
            <w:r>
              <w:rPr>
                <w:color w:val="auto"/>
              </w:rPr>
              <w:instrText xml:space="preserve"> SEQ 图 \* ARABIC \s 1 </w:instrText>
            </w:r>
            <w:r>
              <w:rPr>
                <w:color w:val="auto"/>
              </w:rPr>
              <w:fldChar w:fldCharType="separate"/>
            </w:r>
            <w:r>
              <w:rPr>
                <w:color w:val="auto"/>
              </w:rPr>
              <w:t>2</w:t>
            </w:r>
            <w:r>
              <w:rPr>
                <w:color w:val="auto"/>
              </w:rPr>
              <w:fldChar w:fldCharType="end"/>
            </w:r>
            <w:r>
              <w:rPr>
                <w:rFonts w:hint="eastAsia"/>
                <w:color w:val="auto"/>
                <w:lang w:val="en-US" w:eastAsia="zh-CN"/>
              </w:rPr>
              <w:t xml:space="preserve"> </w:t>
            </w:r>
            <w:r>
              <w:rPr>
                <w:color w:val="auto"/>
                <w:lang w:val="zh-CN"/>
              </w:rPr>
              <w:t>本项目建成后水平衡图（单位：t/</w:t>
            </w:r>
            <w:r>
              <w:rPr>
                <w:rFonts w:hint="eastAsia"/>
                <w:color w:val="auto"/>
                <w:lang w:val="en-US" w:eastAsia="zh-CN"/>
              </w:rPr>
              <w:t>d</w:t>
            </w:r>
            <w:r>
              <w:rPr>
                <w:color w:val="auto"/>
                <w:lang w:val="zh-CN"/>
              </w:rPr>
              <w:t>）</w:t>
            </w:r>
          </w:p>
          <w:p w14:paraId="08B5355D">
            <w:pPr>
              <w:pStyle w:val="180"/>
              <w:framePr w:hSpace="0" w:wrap="auto" w:vAnchor="margin" w:hAnchor="text" w:xAlign="left" w:yAlign="inline"/>
              <w:ind w:firstLine="482"/>
              <w:rPr>
                <w:rFonts w:ascii="宋体" w:hAnsi="宋体" w:cs="宋体"/>
                <w:color w:val="auto"/>
              </w:rPr>
            </w:pPr>
            <w:r>
              <w:rPr>
                <w:color w:val="auto"/>
              </w:rPr>
              <w:t>2.2.</w:t>
            </w:r>
            <w:r>
              <w:rPr>
                <w:rFonts w:hint="eastAsia" w:eastAsiaTheme="minorEastAsia"/>
                <w:color w:val="auto"/>
                <w:lang w:val="en-US" w:eastAsia="zh-CN"/>
              </w:rPr>
              <w:t>11</w:t>
            </w:r>
            <w:r>
              <w:rPr>
                <w:rFonts w:hint="eastAsia" w:ascii="宋体" w:hAnsi="宋体" w:cs="宋体"/>
                <w:color w:val="auto"/>
              </w:rPr>
              <w:t>公用工程</w:t>
            </w:r>
          </w:p>
          <w:p w14:paraId="1B3D72DC">
            <w:pPr>
              <w:pStyle w:val="181"/>
              <w:wordWrap/>
              <w:ind w:firstLine="480"/>
              <w:rPr>
                <w:color w:val="auto"/>
              </w:rPr>
            </w:pPr>
            <w:r>
              <w:rPr>
                <w:color w:val="auto"/>
              </w:rPr>
              <w:t>1、给水</w:t>
            </w:r>
          </w:p>
          <w:p w14:paraId="2B0457EC">
            <w:pPr>
              <w:pStyle w:val="181"/>
              <w:wordWrap/>
              <w:ind w:firstLine="480"/>
              <w:rPr>
                <w:color w:val="auto"/>
                <w:lang w:eastAsia="zh-TW"/>
              </w:rPr>
            </w:pPr>
            <w:r>
              <w:rPr>
                <w:color w:val="auto"/>
              </w:rPr>
              <w:t>本项目</w:t>
            </w:r>
            <w:r>
              <w:rPr>
                <w:rFonts w:hint="eastAsia"/>
                <w:color w:val="auto"/>
                <w:lang w:eastAsia="zh-CN"/>
              </w:rPr>
              <w:t>给水</w:t>
            </w:r>
            <w:r>
              <w:rPr>
                <w:color w:val="auto"/>
              </w:rPr>
              <w:t>由</w:t>
            </w:r>
            <w:r>
              <w:rPr>
                <w:color w:val="auto"/>
                <w:lang w:eastAsia="zh-TW"/>
              </w:rPr>
              <w:t>市政</w:t>
            </w:r>
            <w:r>
              <w:rPr>
                <w:rFonts w:hint="eastAsia"/>
                <w:color w:val="auto"/>
                <w:lang w:eastAsia="zh-CN"/>
              </w:rPr>
              <w:t>供水</w:t>
            </w:r>
            <w:r>
              <w:rPr>
                <w:color w:val="auto"/>
                <w:lang w:eastAsia="zh-TW"/>
              </w:rPr>
              <w:t>系统提供。</w:t>
            </w:r>
          </w:p>
          <w:p w14:paraId="242060E0">
            <w:pPr>
              <w:pStyle w:val="181"/>
              <w:wordWrap/>
              <w:ind w:firstLine="480"/>
              <w:rPr>
                <w:color w:val="auto"/>
              </w:rPr>
            </w:pPr>
            <w:r>
              <w:rPr>
                <w:color w:val="auto"/>
              </w:rPr>
              <w:t>2、排水</w:t>
            </w:r>
          </w:p>
          <w:p w14:paraId="57343F49">
            <w:pPr>
              <w:pStyle w:val="181"/>
              <w:wordWrap/>
              <w:ind w:firstLine="480"/>
              <w:rPr>
                <w:rFonts w:hint="eastAsia" w:eastAsia="宋体"/>
                <w:color w:val="auto"/>
                <w:lang w:eastAsia="zh-CN"/>
              </w:rPr>
            </w:pPr>
            <w:r>
              <w:rPr>
                <w:color w:val="auto"/>
              </w:rPr>
              <w:t>本项目</w:t>
            </w:r>
            <w:r>
              <w:rPr>
                <w:rFonts w:hint="eastAsia"/>
                <w:color w:val="auto"/>
                <w:lang w:eastAsia="zh-CN"/>
              </w:rPr>
              <w:t>雨水进入初期雨水收集池，作为厂区内洒水抑尘用水。生活污水依托舜岳水泥有限责任公司厂区内地埋式化粪池处理后进入市政污水管网，接入八公山污水处理厂处理；生产废水实现闭路循环，不外排。</w:t>
            </w:r>
          </w:p>
          <w:p w14:paraId="08D5BE75">
            <w:pPr>
              <w:pStyle w:val="181"/>
              <w:wordWrap/>
              <w:ind w:firstLine="480"/>
              <w:rPr>
                <w:color w:val="auto"/>
              </w:rPr>
            </w:pPr>
            <w:r>
              <w:rPr>
                <w:color w:val="auto"/>
              </w:rPr>
              <w:t>3、供电</w:t>
            </w:r>
          </w:p>
          <w:p w14:paraId="3CC1A1D4">
            <w:pPr>
              <w:pStyle w:val="181"/>
              <w:wordWrap/>
              <w:ind w:firstLine="480"/>
              <w:rPr>
                <w:rFonts w:hint="default"/>
                <w:color w:val="auto"/>
                <w:lang w:val="en-US" w:eastAsia="zh-CN"/>
              </w:rPr>
            </w:pPr>
            <w:r>
              <w:rPr>
                <w:color w:val="auto"/>
              </w:rPr>
              <w:t>本项目年用电约为</w:t>
            </w:r>
            <w:r>
              <w:rPr>
                <w:rFonts w:hint="eastAsia"/>
                <w:color w:val="auto"/>
                <w:lang w:val="en-US" w:eastAsia="zh-CN"/>
              </w:rPr>
              <w:t>25</w:t>
            </w:r>
            <w:r>
              <w:rPr>
                <w:color w:val="auto"/>
              </w:rPr>
              <w:t>万kW·h，由市政电网供电，电力供应充足，可以满足项目所需。</w:t>
            </w:r>
          </w:p>
        </w:tc>
      </w:tr>
      <w:tr w14:paraId="2F0AF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8" w:hRule="atLeast"/>
          <w:jc w:val="center"/>
        </w:trPr>
        <w:tc>
          <w:tcPr>
            <w:tcW w:w="704" w:type="dxa"/>
            <w:vAlign w:val="center"/>
          </w:tcPr>
          <w:p w14:paraId="3C126148">
            <w:pPr>
              <w:adjustRightInd w:val="0"/>
              <w:snapToGrid w:val="0"/>
              <w:spacing w:after="0"/>
              <w:jc w:val="center"/>
              <w:rPr>
                <w:color w:val="auto"/>
              </w:rPr>
            </w:pPr>
            <w:r>
              <w:rPr>
                <w:rFonts w:ascii="Times New Roman" w:hAnsi="Times New Roman" w:eastAsia="宋体" w:cs="Times New Roman"/>
                <w:color w:val="auto"/>
              </w:rPr>
              <w:t>工艺流程和产排污环节</w:t>
            </w:r>
          </w:p>
        </w:tc>
        <w:tc>
          <w:tcPr>
            <w:tcW w:w="8394" w:type="dxa"/>
          </w:tcPr>
          <w:p w14:paraId="7FEFF2C9">
            <w:pPr>
              <w:pStyle w:val="180"/>
              <w:framePr w:hSpace="0" w:wrap="auto" w:vAnchor="margin" w:hAnchor="text" w:xAlign="left" w:yAlign="inline"/>
              <w:spacing w:line="360" w:lineRule="auto"/>
              <w:ind w:left="0" w:leftChars="0" w:firstLine="0" w:firstLineChars="0"/>
              <w:rPr>
                <w:color w:val="auto"/>
              </w:rPr>
            </w:pPr>
            <w:r>
              <w:rPr>
                <w:rFonts w:hint="eastAsia" w:ascii="Times New Roman" w:hAnsi="Times New Roman" w:eastAsia="宋体" w:cs="Times New Roman"/>
                <w:color w:val="auto"/>
              </w:rPr>
              <w:t>2.3工艺</w:t>
            </w:r>
            <w:r>
              <w:rPr>
                <w:rFonts w:hint="eastAsia"/>
                <w:color w:val="auto"/>
              </w:rPr>
              <w:t>流程和产排污环节</w:t>
            </w:r>
          </w:p>
          <w:p w14:paraId="7895136B">
            <w:pPr>
              <w:pStyle w:val="180"/>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after="0" w:line="360" w:lineRule="auto"/>
              <w:ind w:firstLine="482"/>
              <w:textAlignment w:val="auto"/>
              <w:rPr>
                <w:color w:val="auto"/>
              </w:rPr>
            </w:pPr>
            <w:r>
              <w:rPr>
                <w:rFonts w:hint="eastAsia"/>
                <w:color w:val="auto"/>
              </w:rPr>
              <w:t>2</w:t>
            </w:r>
            <w:r>
              <w:rPr>
                <w:color w:val="auto"/>
              </w:rPr>
              <w:t>.3.1</w:t>
            </w:r>
            <w:r>
              <w:rPr>
                <w:rFonts w:hint="eastAsia"/>
                <w:color w:val="auto"/>
              </w:rPr>
              <w:t>施工期</w:t>
            </w:r>
          </w:p>
          <w:p w14:paraId="556DFE57">
            <w:pPr>
              <w:keepNext w:val="0"/>
              <w:keepLines w:val="0"/>
              <w:pageBreakBefore w:val="0"/>
              <w:kinsoku/>
              <w:wordWrap/>
              <w:overflowPunct/>
              <w:topLinePunct w:val="0"/>
              <w:autoSpaceDE/>
              <w:autoSpaceDN/>
              <w:bidi w:val="0"/>
              <w:adjustRightInd w:val="0"/>
              <w:snapToGrid w:val="0"/>
              <w:spacing w:after="0" w:line="360" w:lineRule="auto"/>
              <w:ind w:firstLine="600" w:firstLineChars="250"/>
              <w:textAlignment w:val="auto"/>
              <w:rPr>
                <w:color w:val="auto"/>
                <w:sz w:val="24"/>
              </w:rPr>
            </w:pPr>
            <w:r>
              <w:rPr>
                <w:rFonts w:hint="eastAsia"/>
                <w:color w:val="auto"/>
                <w:sz w:val="24"/>
                <w:lang w:val="en-US" w:eastAsia="zh-CN"/>
              </w:rPr>
              <w:t>项目利用已建成厂房，施工期主要为内部装修及设备安装，基本不涉及土建</w:t>
            </w:r>
            <w:r>
              <w:rPr>
                <w:color w:val="auto"/>
                <w:sz w:val="24"/>
              </w:rPr>
              <w:t>。</w:t>
            </w:r>
          </w:p>
          <w:p w14:paraId="649BF1D4">
            <w:pPr>
              <w:pStyle w:val="180"/>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after="0" w:line="360" w:lineRule="auto"/>
              <w:ind w:firstLine="482"/>
              <w:textAlignment w:val="auto"/>
              <w:rPr>
                <w:color w:val="auto"/>
              </w:rPr>
            </w:pPr>
            <w:r>
              <w:rPr>
                <w:rFonts w:hint="eastAsia"/>
                <w:color w:val="auto"/>
              </w:rPr>
              <w:t>2</w:t>
            </w:r>
            <w:r>
              <w:rPr>
                <w:color w:val="auto"/>
              </w:rPr>
              <w:t>.3.2</w:t>
            </w:r>
            <w:r>
              <w:rPr>
                <w:rFonts w:hint="eastAsia"/>
                <w:color w:val="auto"/>
              </w:rPr>
              <w:t>营运期</w:t>
            </w:r>
          </w:p>
          <w:p w14:paraId="544F4CFF">
            <w:pPr>
              <w:pStyle w:val="181"/>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color w:val="auto"/>
              </w:rPr>
            </w:pPr>
            <w:r>
              <w:rPr>
                <w:rFonts w:hint="eastAsia"/>
                <w:color w:val="auto"/>
              </w:rPr>
              <w:t>本项目主要</w:t>
            </w:r>
            <w:r>
              <w:rPr>
                <w:rFonts w:hint="eastAsia"/>
                <w:color w:val="auto"/>
                <w:lang w:eastAsia="zh-CN"/>
              </w:rPr>
              <w:t>为煤炭洗选</w:t>
            </w:r>
            <w:r>
              <w:rPr>
                <w:rFonts w:hint="eastAsia"/>
                <w:color w:val="auto"/>
              </w:rPr>
              <w:t>，工艺流程图如下</w:t>
            </w:r>
            <w:r>
              <w:rPr>
                <w:color w:val="auto"/>
              </w:rPr>
              <w:t>图所示</w:t>
            </w:r>
            <w:r>
              <w:rPr>
                <w:rFonts w:hint="eastAsia"/>
                <w:color w:val="auto"/>
              </w:rPr>
              <w:t>。</w:t>
            </w:r>
          </w:p>
          <w:p w14:paraId="0638C31B">
            <w:pPr>
              <w:bidi w:val="0"/>
              <w:jc w:val="center"/>
              <w:rPr>
                <w:rFonts w:hint="default"/>
                <w:color w:val="auto"/>
                <w:lang w:val="en-US" w:eastAsia="zh-CN"/>
              </w:rPr>
            </w:pPr>
            <w:r>
              <w:rPr>
                <w:rFonts w:hint="default"/>
                <w:color w:val="auto"/>
                <w:lang w:val="en-US" w:eastAsia="zh-CN"/>
              </w:rPr>
              <w:drawing>
                <wp:inline distT="0" distB="0" distL="114300" distR="114300">
                  <wp:extent cx="5347970" cy="7361555"/>
                  <wp:effectExtent l="0" t="0" r="0" b="0"/>
                  <wp:docPr id="15" name="ECB019B1-382A-4266-B25C-5B523AA43C14-2" descr="C:/Users/Administrator/AppData/Local/Temp/wps.nToHJP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CB019B1-382A-4266-B25C-5B523AA43C14-2" descr="C:/Users/Administrator/AppData/Local/Temp/wps.nToHJPwps"/>
                          <pic:cNvPicPr>
                            <a:picLocks noChangeAspect="1"/>
                          </pic:cNvPicPr>
                        </pic:nvPicPr>
                        <pic:blipFill>
                          <a:blip r:embed="rId26"/>
                          <a:stretch>
                            <a:fillRect/>
                          </a:stretch>
                        </pic:blipFill>
                        <pic:spPr>
                          <a:xfrm>
                            <a:off x="0" y="0"/>
                            <a:ext cx="5347970" cy="7361555"/>
                          </a:xfrm>
                          <a:prstGeom prst="rect">
                            <a:avLst/>
                          </a:prstGeom>
                        </pic:spPr>
                      </pic:pic>
                    </a:graphicData>
                  </a:graphic>
                </wp:inline>
              </w:drawing>
            </w:r>
          </w:p>
          <w:p w14:paraId="723D6803">
            <w:pPr>
              <w:bidi w:val="0"/>
              <w:rPr>
                <w:rFonts w:hint="eastAsia"/>
                <w:color w:val="auto"/>
                <w:lang w:val="en-US" w:eastAsia="zh-CN"/>
              </w:rPr>
            </w:pPr>
            <w:r>
              <w:rPr>
                <w:b w:val="0"/>
                <w:color w:val="auto"/>
                <w:sz w:val="18"/>
                <w:szCs w:val="18"/>
              </w:rPr>
              <w:t>注：噪声伴随生产全过程</w:t>
            </w:r>
          </w:p>
          <w:p w14:paraId="46EFCAF3">
            <w:pPr>
              <w:pStyle w:val="15"/>
              <w:bidi w:val="0"/>
              <w:rPr>
                <w:rFonts w:hint="default" w:ascii="Times New Roman" w:hAnsi="Times New Roman" w:eastAsia="宋体" w:cs="Times New Roman"/>
                <w:color w:val="auto"/>
                <w:szCs w:val="18"/>
                <w:lang w:eastAsia="zh-CN"/>
              </w:rPr>
            </w:pPr>
            <w:r>
              <w:rPr>
                <w:rFonts w:hint="default"/>
              </w:rPr>
              <w:t xml:space="preserve">图 </w:t>
            </w:r>
            <w:r>
              <w:rPr>
                <w:rFonts w:hint="default"/>
                <w:lang w:val="en-US" w:eastAsia="zh-CN"/>
              </w:rPr>
              <w:t>2</w:t>
            </w:r>
            <w:r>
              <w:rPr>
                <w:rFonts w:hint="default"/>
                <w:lang w:eastAsia="zh-CN"/>
              </w:rPr>
              <w:t>-</w:t>
            </w:r>
            <w:r>
              <w:rPr>
                <w:rFonts w:hint="default"/>
              </w:rPr>
              <w:fldChar w:fldCharType="begin"/>
            </w:r>
            <w:r>
              <w:rPr>
                <w:rFonts w:hint="default"/>
              </w:rPr>
              <w:instrText xml:space="preserve"> SEQ 图 \* ARABIC \s 1 </w:instrText>
            </w:r>
            <w:r>
              <w:rPr>
                <w:rFonts w:hint="default"/>
              </w:rPr>
              <w:fldChar w:fldCharType="separate"/>
            </w:r>
            <w:r>
              <w:rPr>
                <w:rFonts w:hint="default"/>
              </w:rPr>
              <w:t>3</w:t>
            </w:r>
            <w:r>
              <w:rPr>
                <w:rFonts w:hint="default"/>
              </w:rPr>
              <w:fldChar w:fldCharType="end"/>
            </w:r>
            <w:r>
              <w:rPr>
                <w:rFonts w:hint="default"/>
                <w:lang w:val="en-US" w:eastAsia="zh-CN"/>
              </w:rPr>
              <w:t xml:space="preserve"> </w:t>
            </w:r>
            <w:r>
              <w:rPr>
                <w:rFonts w:hint="default"/>
              </w:rPr>
              <w:t>生产工艺流程及产污节点图</w:t>
            </w:r>
          </w:p>
          <w:p w14:paraId="35380A9D">
            <w:pPr>
              <w:pStyle w:val="181"/>
              <w:wordWrap/>
              <w:ind w:firstLine="482"/>
              <w:rPr>
                <w:b/>
                <w:color w:val="auto"/>
              </w:rPr>
            </w:pPr>
            <w:r>
              <w:rPr>
                <w:b/>
                <w:color w:val="auto"/>
              </w:rPr>
              <w:t>工艺流程说明：</w:t>
            </w:r>
          </w:p>
          <w:p w14:paraId="7A4D27D8">
            <w:pPr>
              <w:keepNext w:val="0"/>
              <w:keepLines w:val="0"/>
              <w:pageBreakBefore w:val="0"/>
              <w:kinsoku/>
              <w:wordWrap/>
              <w:overflowPunct/>
              <w:topLinePunct w:val="0"/>
              <w:autoSpaceDE/>
              <w:autoSpaceDN/>
              <w:bidi w:val="0"/>
              <w:adjustRightInd w:val="0"/>
              <w:snapToGrid w:val="0"/>
              <w:spacing w:after="0" w:line="360" w:lineRule="auto"/>
              <w:ind w:firstLine="600" w:firstLineChars="250"/>
              <w:textAlignment w:val="auto"/>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（1）跳汰分选：将淮南舜岳水泥有限责任公司提供的破碎后的原煤经传送带输送到数控跳台洗选车间，利用SKT-12平方数控筛下跳汰机，根据物料密度差异，有效分离出精煤、中煤、矸石（胶凝材料</w:t>
            </w:r>
            <w:r>
              <w:rPr>
                <w:rFonts w:hint="eastAsia" w:cs="Times New Roman"/>
                <w:color w:val="auto"/>
                <w:sz w:val="24"/>
                <w:lang w:val="en-US" w:eastAsia="zh-CN"/>
              </w:rPr>
              <w:t>生产</w:t>
            </w:r>
            <w:r>
              <w:rPr>
                <w:rFonts w:hint="eastAsia" w:ascii="Times New Roman" w:hAnsi="Times New Roman" w:eastAsia="宋体" w:cs="Times New Roman"/>
                <w:color w:val="auto"/>
                <w:sz w:val="24"/>
                <w:lang w:val="en-US" w:eastAsia="zh-CN"/>
              </w:rPr>
              <w:t>原料）。</w:t>
            </w:r>
          </w:p>
          <w:p w14:paraId="70C7C00E">
            <w:pPr>
              <w:keepNext w:val="0"/>
              <w:keepLines w:val="0"/>
              <w:pageBreakBefore w:val="0"/>
              <w:kinsoku/>
              <w:wordWrap/>
              <w:overflowPunct/>
              <w:topLinePunct w:val="0"/>
              <w:autoSpaceDE/>
              <w:autoSpaceDN/>
              <w:bidi w:val="0"/>
              <w:adjustRightInd w:val="0"/>
              <w:snapToGrid w:val="0"/>
              <w:spacing w:after="0" w:line="360" w:lineRule="auto"/>
              <w:ind w:firstLine="600" w:firstLineChars="250"/>
              <w:textAlignment w:val="auto"/>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（2）磁选提纯：对分选后的物料进行磁选，进一步富集高铝成分或提纯高岭土。</w:t>
            </w:r>
          </w:p>
          <w:p w14:paraId="63252F3B">
            <w:pPr>
              <w:keepNext w:val="0"/>
              <w:keepLines w:val="0"/>
              <w:pageBreakBefore w:val="0"/>
              <w:kinsoku/>
              <w:wordWrap/>
              <w:overflowPunct/>
              <w:topLinePunct w:val="0"/>
              <w:autoSpaceDE/>
              <w:autoSpaceDN/>
              <w:bidi w:val="0"/>
              <w:adjustRightInd w:val="0"/>
              <w:snapToGrid w:val="0"/>
              <w:spacing w:after="0" w:line="360" w:lineRule="auto"/>
              <w:ind w:firstLine="600" w:firstLineChars="250"/>
              <w:textAlignment w:val="auto"/>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（3）脱水回收：采用直线脱水筛、高频筛等设备对精煤等产品进行脱水，得到最终需要的产品，由输送带运送至精煤堆棚、中煤堆棚和矸石（胶凝材料原料）堆棚。</w:t>
            </w:r>
          </w:p>
          <w:p w14:paraId="065C06A1">
            <w:pPr>
              <w:keepNext w:val="0"/>
              <w:keepLines w:val="0"/>
              <w:pageBreakBefore w:val="0"/>
              <w:kinsoku/>
              <w:wordWrap/>
              <w:overflowPunct/>
              <w:topLinePunct w:val="0"/>
              <w:autoSpaceDE/>
              <w:autoSpaceDN/>
              <w:bidi w:val="0"/>
              <w:adjustRightInd w:val="0"/>
              <w:snapToGrid w:val="0"/>
              <w:spacing w:after="0" w:line="360" w:lineRule="auto"/>
              <w:ind w:firstLine="600" w:firstLineChars="250"/>
              <w:textAlignment w:val="auto"/>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（4）煤泥水处理(闭路循环):生产废水全部进入</w:t>
            </w:r>
            <w:r>
              <w:rPr>
                <w:rFonts w:hint="eastAsia" w:cs="Times New Roman"/>
                <w:color w:val="auto"/>
                <w:sz w:val="24"/>
                <w:lang w:val="en-US" w:eastAsia="zh-CN"/>
              </w:rPr>
              <w:t>“</w:t>
            </w:r>
            <w:r>
              <w:rPr>
                <w:rFonts w:hint="eastAsia" w:ascii="Times New Roman" w:hAnsi="Times New Roman" w:eastAsia="宋体" w:cs="Times New Roman"/>
                <w:color w:val="auto"/>
                <w:sz w:val="24"/>
                <w:lang w:val="en-US" w:eastAsia="zh-CN"/>
              </w:rPr>
              <w:t>深锥浓缩罐+板框压滤机</w:t>
            </w:r>
            <w:r>
              <w:rPr>
                <w:rFonts w:hint="eastAsia" w:cs="Times New Roman"/>
                <w:color w:val="auto"/>
                <w:sz w:val="24"/>
                <w:lang w:val="en-US" w:eastAsia="zh-CN"/>
              </w:rPr>
              <w:t>”</w:t>
            </w:r>
            <w:r>
              <w:rPr>
                <w:rFonts w:hint="eastAsia" w:ascii="Times New Roman" w:hAnsi="Times New Roman" w:eastAsia="宋体" w:cs="Times New Roman"/>
                <w:color w:val="auto"/>
                <w:sz w:val="24"/>
                <w:lang w:val="en-US" w:eastAsia="zh-CN"/>
              </w:rPr>
              <w:t>污水处理系统，实现泥水分离，清水循环使用，煤泥饼可作为建材原料，直接装车由淮南舜岳水泥有限责任公司综合利用，煤泥饼日产日清，不在厂区内贮存。</w:t>
            </w:r>
          </w:p>
          <w:p w14:paraId="6F701AE6">
            <w:pPr>
              <w:pStyle w:val="180"/>
              <w:framePr w:hSpace="0" w:wrap="auto" w:vAnchor="margin" w:hAnchor="text" w:xAlign="left" w:yAlign="inline"/>
              <w:ind w:firstLine="482"/>
              <w:rPr>
                <w:color w:val="auto"/>
              </w:rPr>
            </w:pPr>
            <w:r>
              <w:rPr>
                <w:color w:val="auto"/>
              </w:rPr>
              <w:t xml:space="preserve">2.3.3 </w:t>
            </w:r>
            <w:r>
              <w:rPr>
                <w:rFonts w:hint="eastAsia"/>
                <w:color w:val="auto"/>
              </w:rPr>
              <w:t>本项目污染工序及污染因子</w:t>
            </w:r>
          </w:p>
          <w:p w14:paraId="75A67E45">
            <w:pPr>
              <w:pStyle w:val="181"/>
              <w:wordWrap/>
              <w:ind w:firstLine="480"/>
              <w:rPr>
                <w:color w:val="auto"/>
              </w:rPr>
            </w:pPr>
            <w:r>
              <w:rPr>
                <w:rFonts w:hint="eastAsia"/>
                <w:color w:val="auto"/>
              </w:rPr>
              <w:t>根据建设项目工艺流程，本项目建设完成后主要污染源及产生的污染物如下：</w:t>
            </w:r>
          </w:p>
          <w:p w14:paraId="5ED11F90">
            <w:pPr>
              <w:pStyle w:val="286"/>
              <w:framePr w:hSpace="0" w:wrap="auto" w:vAnchor="margin" w:hAnchor="text" w:xAlign="left" w:yAlign="inline"/>
              <w:rPr>
                <w:color w:val="auto"/>
              </w:rPr>
            </w:pPr>
            <w:r>
              <w:rPr>
                <w:color w:val="auto"/>
              </w:rPr>
              <w:t>表</w:t>
            </w:r>
            <w:r>
              <w:rPr>
                <w:rFonts w:hint="eastAsia"/>
                <w:color w:val="auto"/>
                <w:lang w:val="en-US" w:eastAsia="zh-CN"/>
              </w:rPr>
              <w:t>2-7</w:t>
            </w:r>
            <w:r>
              <w:rPr>
                <w:color w:val="auto"/>
              </w:rPr>
              <w:t xml:space="preserve"> 主要产物环节和排污特征</w:t>
            </w:r>
          </w:p>
          <w:tbl>
            <w:tblPr>
              <w:tblStyle w:val="53"/>
              <w:tblpPr w:leftFromText="180" w:rightFromText="180" w:vertAnchor="text" w:tblpXSpec="center" w:tblpY="1"/>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1" w:type="dxa"/>
                <w:bottom w:w="0" w:type="dxa"/>
                <w:right w:w="51" w:type="dxa"/>
              </w:tblCellMar>
            </w:tblPr>
            <w:tblGrid>
              <w:gridCol w:w="609"/>
              <w:gridCol w:w="884"/>
              <w:gridCol w:w="1450"/>
              <w:gridCol w:w="2109"/>
              <w:gridCol w:w="3646"/>
            </w:tblGrid>
            <w:tr w14:paraId="6C247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Align w:val="center"/>
                </w:tcPr>
                <w:p w14:paraId="1242DCAC">
                  <w:pPr>
                    <w:pStyle w:val="287"/>
                    <w:framePr w:hSpace="0" w:wrap="auto" w:vAnchor="margin" w:hAnchor="text" w:xAlign="left" w:yAlign="inline"/>
                    <w:rPr>
                      <w:color w:val="auto"/>
                    </w:rPr>
                  </w:pPr>
                  <w:r>
                    <w:rPr>
                      <w:color w:val="auto"/>
                    </w:rPr>
                    <w:t>类别</w:t>
                  </w:r>
                </w:p>
              </w:tc>
              <w:tc>
                <w:tcPr>
                  <w:tcW w:w="1341" w:type="pct"/>
                  <w:gridSpan w:val="2"/>
                  <w:vAlign w:val="center"/>
                </w:tcPr>
                <w:p w14:paraId="043180FA">
                  <w:pPr>
                    <w:pStyle w:val="287"/>
                    <w:framePr w:hSpace="0" w:wrap="auto" w:vAnchor="margin" w:hAnchor="text" w:xAlign="left" w:yAlign="inline"/>
                    <w:rPr>
                      <w:color w:val="auto"/>
                    </w:rPr>
                  </w:pPr>
                  <w:r>
                    <w:rPr>
                      <w:rFonts w:hint="eastAsia"/>
                      <w:color w:val="auto"/>
                    </w:rPr>
                    <w:t>产污环节</w:t>
                  </w:r>
                </w:p>
              </w:tc>
              <w:tc>
                <w:tcPr>
                  <w:tcW w:w="1212" w:type="pct"/>
                  <w:vAlign w:val="center"/>
                </w:tcPr>
                <w:p w14:paraId="5B22BE27">
                  <w:pPr>
                    <w:pStyle w:val="287"/>
                    <w:framePr w:hSpace="0" w:wrap="auto" w:vAnchor="margin" w:hAnchor="text" w:xAlign="left" w:yAlign="inline"/>
                    <w:rPr>
                      <w:color w:val="auto"/>
                    </w:rPr>
                  </w:pPr>
                  <w:r>
                    <w:rPr>
                      <w:color w:val="auto"/>
                    </w:rPr>
                    <w:t>污染物</w:t>
                  </w:r>
                </w:p>
              </w:tc>
              <w:tc>
                <w:tcPr>
                  <w:tcW w:w="2095" w:type="pct"/>
                  <w:vAlign w:val="center"/>
                </w:tcPr>
                <w:p w14:paraId="682BF56D">
                  <w:pPr>
                    <w:pStyle w:val="287"/>
                    <w:framePr w:hSpace="0" w:wrap="auto" w:vAnchor="margin" w:hAnchor="text" w:xAlign="left" w:yAlign="inline"/>
                    <w:rPr>
                      <w:color w:val="auto"/>
                    </w:rPr>
                  </w:pPr>
                  <w:r>
                    <w:rPr>
                      <w:color w:val="auto"/>
                    </w:rPr>
                    <w:t>处理措施</w:t>
                  </w:r>
                </w:p>
              </w:tc>
            </w:tr>
            <w:tr w14:paraId="5B207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153" w:hRule="atLeast"/>
              </w:trPr>
              <w:tc>
                <w:tcPr>
                  <w:tcW w:w="350" w:type="pct"/>
                  <w:vMerge w:val="restart"/>
                  <w:vAlign w:val="center"/>
                </w:tcPr>
                <w:p w14:paraId="1B556FA8">
                  <w:pPr>
                    <w:pStyle w:val="287"/>
                    <w:framePr w:hSpace="0" w:wrap="auto" w:vAnchor="margin" w:hAnchor="text" w:xAlign="left" w:yAlign="inline"/>
                    <w:rPr>
                      <w:color w:val="auto"/>
                    </w:rPr>
                  </w:pPr>
                  <w:r>
                    <w:rPr>
                      <w:color w:val="auto"/>
                    </w:rPr>
                    <w:t>废气</w:t>
                  </w:r>
                </w:p>
              </w:tc>
              <w:tc>
                <w:tcPr>
                  <w:tcW w:w="1341" w:type="pct"/>
                  <w:gridSpan w:val="2"/>
                  <w:vAlign w:val="center"/>
                </w:tcPr>
                <w:p w14:paraId="7CE12C84">
                  <w:pPr>
                    <w:pStyle w:val="287"/>
                    <w:framePr w:hSpace="0" w:wrap="auto" w:vAnchor="margin" w:hAnchor="text" w:xAlign="left" w:yAlign="inline"/>
                    <w:rPr>
                      <w:rFonts w:hint="eastAsia" w:eastAsia="宋体"/>
                      <w:color w:val="auto"/>
                      <w:lang w:eastAsia="zh-CN"/>
                    </w:rPr>
                  </w:pPr>
                  <w:r>
                    <w:rPr>
                      <w:rFonts w:hint="eastAsia"/>
                      <w:color w:val="auto"/>
                      <w:lang w:eastAsia="zh-CN"/>
                    </w:rPr>
                    <w:t>产品堆放、装卸扬尘</w:t>
                  </w:r>
                </w:p>
              </w:tc>
              <w:tc>
                <w:tcPr>
                  <w:tcW w:w="1212" w:type="pct"/>
                  <w:vAlign w:val="center"/>
                </w:tcPr>
                <w:p w14:paraId="3FCF0FFD">
                  <w:pPr>
                    <w:pStyle w:val="287"/>
                    <w:framePr w:hSpace="0" w:wrap="auto" w:vAnchor="margin" w:hAnchor="text" w:xAlign="left" w:yAlign="inline"/>
                    <w:rPr>
                      <w:color w:val="auto"/>
                    </w:rPr>
                  </w:pPr>
                  <w:r>
                    <w:rPr>
                      <w:rFonts w:hint="eastAsia"/>
                      <w:color w:val="auto"/>
                      <w:lang w:eastAsia="zh-CN"/>
                    </w:rPr>
                    <w:t>颗粒物</w:t>
                  </w:r>
                </w:p>
              </w:tc>
              <w:tc>
                <w:tcPr>
                  <w:tcW w:w="2095" w:type="pct"/>
                  <w:vAlign w:val="center"/>
                </w:tcPr>
                <w:p w14:paraId="47A284B9">
                  <w:pPr>
                    <w:pStyle w:val="287"/>
                    <w:framePr w:hSpace="0" w:wrap="auto" w:vAnchor="margin" w:hAnchor="text" w:xAlign="left" w:yAlign="inline"/>
                    <w:rPr>
                      <w:rFonts w:hint="default" w:eastAsia="宋体"/>
                      <w:color w:val="auto"/>
                      <w:lang w:val="en-US" w:eastAsia="zh-CN"/>
                    </w:rPr>
                  </w:pPr>
                  <w:r>
                    <w:rPr>
                      <w:rFonts w:hint="eastAsia" w:ascii="Times New Roman" w:hAnsi="Times New Roman" w:eastAsia="宋体" w:cs="宋体"/>
                      <w:color w:val="auto"/>
                      <w:lang w:eastAsia="zh-CN"/>
                    </w:rPr>
                    <w:t>产品堆棚</w:t>
                  </w:r>
                  <w:r>
                    <w:rPr>
                      <w:rFonts w:hint="default" w:ascii="Times New Roman" w:hAnsi="Times New Roman" w:eastAsia="宋体" w:cs="宋体"/>
                      <w:color w:val="auto"/>
                      <w:lang w:eastAsia="zh-CN"/>
                    </w:rPr>
                    <w:t>采取</w:t>
                  </w:r>
                  <w:r>
                    <w:rPr>
                      <w:rFonts w:hint="eastAsia" w:ascii="Times New Roman" w:hAnsi="Times New Roman" w:eastAsia="宋体" w:cs="宋体"/>
                      <w:color w:val="auto"/>
                      <w:lang w:eastAsia="zh-CN"/>
                    </w:rPr>
                    <w:t>全</w:t>
                  </w:r>
                  <w:r>
                    <w:rPr>
                      <w:rFonts w:hint="default" w:ascii="Times New Roman" w:hAnsi="Times New Roman" w:eastAsia="宋体" w:cs="宋体"/>
                      <w:color w:val="auto"/>
                      <w:lang w:eastAsia="zh-CN"/>
                    </w:rPr>
                    <w:t>封闭式结构，地面硬化，堆场下部设置围堰、顶部搭棚密封，再采取洒水喷淋措施</w:t>
                  </w:r>
                  <w:r>
                    <w:rPr>
                      <w:rFonts w:hint="eastAsia" w:ascii="Times New Roman" w:hAnsi="Times New Roman" w:eastAsia="宋体" w:cs="宋体"/>
                      <w:color w:val="auto"/>
                      <w:lang w:eastAsia="zh-CN"/>
                    </w:rPr>
                    <w:t>。</w:t>
                  </w:r>
                </w:p>
              </w:tc>
            </w:tr>
            <w:tr w14:paraId="4D5B6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153" w:hRule="atLeast"/>
              </w:trPr>
              <w:tc>
                <w:tcPr>
                  <w:tcW w:w="350" w:type="pct"/>
                  <w:vMerge w:val="continue"/>
                  <w:vAlign w:val="center"/>
                </w:tcPr>
                <w:p w14:paraId="73477DA0">
                  <w:pPr>
                    <w:pStyle w:val="287"/>
                    <w:framePr w:hSpace="0" w:wrap="auto" w:vAnchor="margin" w:hAnchor="text" w:xAlign="left" w:yAlign="inline"/>
                    <w:rPr>
                      <w:color w:val="auto"/>
                    </w:rPr>
                  </w:pPr>
                </w:p>
              </w:tc>
              <w:tc>
                <w:tcPr>
                  <w:tcW w:w="1341" w:type="pct"/>
                  <w:gridSpan w:val="2"/>
                  <w:vAlign w:val="center"/>
                </w:tcPr>
                <w:p w14:paraId="2A7C064B">
                  <w:pPr>
                    <w:pStyle w:val="287"/>
                    <w:framePr w:hSpace="0" w:wrap="auto" w:vAnchor="margin" w:hAnchor="text" w:xAlign="left" w:yAlign="inline"/>
                    <w:rPr>
                      <w:rFonts w:hint="eastAsia"/>
                      <w:color w:val="auto"/>
                      <w:lang w:eastAsia="zh-CN"/>
                    </w:rPr>
                  </w:pPr>
                  <w:r>
                    <w:rPr>
                      <w:rFonts w:hint="eastAsia"/>
                      <w:color w:val="auto"/>
                      <w:lang w:eastAsia="zh-CN"/>
                    </w:rPr>
                    <w:t>厂区物料输送转载点扬尘</w:t>
                  </w:r>
                </w:p>
              </w:tc>
              <w:tc>
                <w:tcPr>
                  <w:tcW w:w="1212" w:type="pct"/>
                  <w:vAlign w:val="center"/>
                </w:tcPr>
                <w:p w14:paraId="2E883FD2">
                  <w:pPr>
                    <w:pStyle w:val="287"/>
                    <w:framePr w:hSpace="0" w:wrap="auto" w:vAnchor="margin" w:hAnchor="text" w:xAlign="left" w:yAlign="inline"/>
                    <w:rPr>
                      <w:rFonts w:hint="eastAsia"/>
                      <w:color w:val="auto"/>
                      <w:lang w:eastAsia="zh-CN"/>
                    </w:rPr>
                  </w:pPr>
                  <w:r>
                    <w:rPr>
                      <w:rFonts w:hint="eastAsia"/>
                      <w:color w:val="auto"/>
                      <w:lang w:eastAsia="zh-CN"/>
                    </w:rPr>
                    <w:t>颗粒物</w:t>
                  </w:r>
                </w:p>
              </w:tc>
              <w:tc>
                <w:tcPr>
                  <w:tcW w:w="2095" w:type="pct"/>
                  <w:vAlign w:val="center"/>
                </w:tcPr>
                <w:p w14:paraId="462C86AD">
                  <w:pPr>
                    <w:pStyle w:val="287"/>
                    <w:framePr w:hSpace="0" w:wrap="auto" w:vAnchor="margin" w:hAnchor="text" w:xAlign="left" w:yAlign="inline"/>
                    <w:rPr>
                      <w:rFonts w:hint="eastAsia" w:ascii="Times New Roman" w:hAnsi="Times New Roman" w:eastAsia="宋体" w:cs="宋体"/>
                      <w:color w:val="auto"/>
                      <w:lang w:eastAsia="zh-CN"/>
                    </w:rPr>
                  </w:pPr>
                  <w:r>
                    <w:rPr>
                      <w:rFonts w:hint="eastAsia" w:cs="宋体"/>
                      <w:color w:val="auto"/>
                      <w:lang w:eastAsia="zh-CN"/>
                    </w:rPr>
                    <w:t>采用全封闭皮带输送廊道，在落料、输送转载点设置喷雾洒水装置。</w:t>
                  </w:r>
                </w:p>
              </w:tc>
            </w:tr>
            <w:tr w14:paraId="0F540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23" w:hRule="atLeast"/>
              </w:trPr>
              <w:tc>
                <w:tcPr>
                  <w:tcW w:w="350" w:type="pct"/>
                  <w:vMerge w:val="continue"/>
                  <w:vAlign w:val="center"/>
                </w:tcPr>
                <w:p w14:paraId="7171BD39">
                  <w:pPr>
                    <w:pStyle w:val="287"/>
                    <w:framePr w:hSpace="0" w:wrap="auto" w:vAnchor="margin" w:hAnchor="text" w:xAlign="left" w:yAlign="inline"/>
                    <w:rPr>
                      <w:color w:val="auto"/>
                    </w:rPr>
                  </w:pPr>
                </w:p>
              </w:tc>
              <w:tc>
                <w:tcPr>
                  <w:tcW w:w="1341" w:type="pct"/>
                  <w:gridSpan w:val="2"/>
                  <w:vAlign w:val="center"/>
                </w:tcPr>
                <w:p w14:paraId="6A88C144">
                  <w:pPr>
                    <w:pStyle w:val="287"/>
                    <w:framePr w:hSpace="0" w:wrap="auto" w:vAnchor="margin" w:hAnchor="text" w:xAlign="left" w:yAlign="inline"/>
                    <w:rPr>
                      <w:rFonts w:hint="eastAsia"/>
                      <w:color w:val="auto"/>
                      <w:lang w:eastAsia="zh-CN"/>
                    </w:rPr>
                  </w:pPr>
                  <w:r>
                    <w:rPr>
                      <w:rFonts w:hint="eastAsia"/>
                      <w:color w:val="auto"/>
                      <w:lang w:eastAsia="zh-CN"/>
                    </w:rPr>
                    <w:t>道路运输扬尘</w:t>
                  </w:r>
                </w:p>
              </w:tc>
              <w:tc>
                <w:tcPr>
                  <w:tcW w:w="1212" w:type="pct"/>
                  <w:vAlign w:val="center"/>
                </w:tcPr>
                <w:p w14:paraId="11D54643">
                  <w:pPr>
                    <w:pStyle w:val="287"/>
                    <w:framePr w:hSpace="0" w:wrap="auto" w:vAnchor="margin" w:hAnchor="text" w:xAlign="left" w:yAlign="inline"/>
                    <w:rPr>
                      <w:rFonts w:hint="eastAsia" w:ascii="Times New Roman" w:hAnsi="Times New Roman" w:eastAsia="宋体" w:cs="宋体"/>
                      <w:color w:val="auto"/>
                      <w:lang w:eastAsia="zh-CN"/>
                    </w:rPr>
                  </w:pPr>
                  <w:r>
                    <w:rPr>
                      <w:rFonts w:hint="eastAsia" w:ascii="Times New Roman" w:hAnsi="Times New Roman" w:eastAsia="宋体" w:cs="宋体"/>
                      <w:color w:val="auto"/>
                      <w:lang w:eastAsia="zh-CN"/>
                    </w:rPr>
                    <w:t>颗粒物</w:t>
                  </w:r>
                </w:p>
              </w:tc>
              <w:tc>
                <w:tcPr>
                  <w:tcW w:w="2095" w:type="pct"/>
                  <w:vAlign w:val="center"/>
                </w:tcPr>
                <w:p w14:paraId="5D0A306A">
                  <w:pPr>
                    <w:pStyle w:val="287"/>
                    <w:framePr w:hSpace="0" w:wrap="auto" w:vAnchor="margin" w:hAnchor="text" w:xAlign="left" w:yAlign="inline"/>
                    <w:rPr>
                      <w:rFonts w:hint="default" w:ascii="Times New Roman" w:hAnsi="Times New Roman" w:eastAsia="宋体" w:cs="宋体"/>
                      <w:color w:val="auto"/>
                      <w:lang w:val="en-US" w:eastAsia="zh-CN"/>
                    </w:rPr>
                  </w:pPr>
                  <w:r>
                    <w:rPr>
                      <w:rFonts w:hint="default" w:ascii="Times New Roman" w:hAnsi="Times New Roman" w:eastAsia="宋体" w:cs="宋体"/>
                      <w:color w:val="auto"/>
                      <w:lang w:eastAsia="zh-CN"/>
                    </w:rPr>
                    <w:t>加盖</w:t>
                  </w:r>
                  <w:r>
                    <w:rPr>
                      <w:rFonts w:hint="eastAsia" w:ascii="Times New Roman" w:hAnsi="Times New Roman" w:eastAsia="宋体" w:cs="宋体"/>
                      <w:color w:val="auto"/>
                      <w:lang w:eastAsia="zh-CN"/>
                    </w:rPr>
                    <w:t>苫布</w:t>
                  </w:r>
                  <w:r>
                    <w:rPr>
                      <w:rFonts w:hint="default" w:ascii="Times New Roman" w:hAnsi="Times New Roman" w:eastAsia="宋体" w:cs="宋体"/>
                      <w:color w:val="auto"/>
                      <w:lang w:eastAsia="zh-CN"/>
                    </w:rPr>
                    <w:t>、洒水降尘、厂内道路全部硬化。</w:t>
                  </w:r>
                </w:p>
              </w:tc>
            </w:tr>
            <w:tr w14:paraId="27274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Merge w:val="restart"/>
                  <w:vAlign w:val="center"/>
                </w:tcPr>
                <w:p w14:paraId="31A56836">
                  <w:pPr>
                    <w:pStyle w:val="287"/>
                    <w:framePr w:hSpace="0" w:wrap="auto" w:vAnchor="margin" w:hAnchor="text" w:xAlign="left" w:yAlign="inline"/>
                    <w:rPr>
                      <w:color w:val="auto"/>
                    </w:rPr>
                  </w:pPr>
                  <w:r>
                    <w:rPr>
                      <w:color w:val="auto"/>
                    </w:rPr>
                    <w:t>废水</w:t>
                  </w:r>
                </w:p>
              </w:tc>
              <w:tc>
                <w:tcPr>
                  <w:tcW w:w="1341" w:type="pct"/>
                  <w:gridSpan w:val="2"/>
                  <w:vAlign w:val="center"/>
                </w:tcPr>
                <w:p w14:paraId="6BD9CA07">
                  <w:pPr>
                    <w:pStyle w:val="287"/>
                    <w:framePr w:hSpace="0" w:wrap="auto" w:vAnchor="margin" w:hAnchor="text" w:xAlign="left" w:yAlign="inline"/>
                    <w:rPr>
                      <w:color w:val="auto"/>
                    </w:rPr>
                  </w:pPr>
                  <w:r>
                    <w:rPr>
                      <w:color w:val="auto"/>
                    </w:rPr>
                    <w:t>职工生活</w:t>
                  </w:r>
                </w:p>
              </w:tc>
              <w:tc>
                <w:tcPr>
                  <w:tcW w:w="1212" w:type="pct"/>
                  <w:vAlign w:val="center"/>
                </w:tcPr>
                <w:p w14:paraId="4C28C1C0">
                  <w:pPr>
                    <w:pStyle w:val="287"/>
                    <w:framePr w:hSpace="0" w:wrap="auto" w:vAnchor="margin" w:hAnchor="text" w:xAlign="left" w:yAlign="inline"/>
                    <w:rPr>
                      <w:color w:val="auto"/>
                      <w:lang w:val="en-US"/>
                    </w:rPr>
                  </w:pPr>
                  <w:r>
                    <w:rPr>
                      <w:color w:val="auto"/>
                    </w:rPr>
                    <w:t>生活污水</w:t>
                  </w:r>
                </w:p>
              </w:tc>
              <w:tc>
                <w:tcPr>
                  <w:tcW w:w="2095" w:type="pct"/>
                  <w:vAlign w:val="center"/>
                </w:tcPr>
                <w:p w14:paraId="0EAF6F8E">
                  <w:pPr>
                    <w:pStyle w:val="287"/>
                    <w:framePr w:hSpace="0" w:wrap="auto" w:vAnchor="margin" w:hAnchor="text" w:xAlign="left" w:yAlign="inline"/>
                    <w:rPr>
                      <w:rFonts w:hint="eastAsia" w:eastAsia="宋体"/>
                      <w:color w:val="auto"/>
                      <w:lang w:eastAsia="zh-CN"/>
                    </w:rPr>
                  </w:pPr>
                  <w:r>
                    <w:rPr>
                      <w:rFonts w:hint="eastAsia"/>
                      <w:color w:val="auto"/>
                      <w:lang w:eastAsia="zh-CN"/>
                    </w:rPr>
                    <w:t>依托淮南舜岳水泥有限责任公司厂区内地埋式化粪池处理后接入市政污水管网进入八公山污水处理厂</w:t>
                  </w:r>
                </w:p>
              </w:tc>
            </w:tr>
            <w:tr w14:paraId="6CE9E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Merge w:val="continue"/>
                  <w:vAlign w:val="center"/>
                </w:tcPr>
                <w:p w14:paraId="7550DE18">
                  <w:pPr>
                    <w:pStyle w:val="287"/>
                    <w:framePr w:hSpace="0" w:wrap="auto" w:vAnchor="margin" w:hAnchor="text" w:xAlign="left" w:yAlign="inline"/>
                    <w:rPr>
                      <w:color w:val="auto"/>
                    </w:rPr>
                  </w:pPr>
                </w:p>
              </w:tc>
              <w:tc>
                <w:tcPr>
                  <w:tcW w:w="1341" w:type="pct"/>
                  <w:gridSpan w:val="2"/>
                  <w:vMerge w:val="restart"/>
                  <w:vAlign w:val="center"/>
                </w:tcPr>
                <w:p w14:paraId="2443823A">
                  <w:pPr>
                    <w:pStyle w:val="287"/>
                    <w:framePr w:hSpace="0" w:wrap="auto" w:vAnchor="margin" w:hAnchor="text" w:xAlign="left" w:yAlign="inline"/>
                    <w:rPr>
                      <w:rFonts w:hint="eastAsia" w:ascii="Times New Roman" w:hAnsi="Times New Roman" w:eastAsia="宋体" w:cs="宋体"/>
                      <w:color w:val="auto"/>
                      <w:lang w:eastAsia="zh-CN"/>
                    </w:rPr>
                  </w:pPr>
                  <w:r>
                    <w:rPr>
                      <w:rFonts w:hint="eastAsia" w:ascii="Times New Roman" w:hAnsi="Times New Roman" w:eastAsia="宋体" w:cs="宋体"/>
                      <w:color w:val="auto"/>
                      <w:lang w:eastAsia="zh-CN"/>
                    </w:rPr>
                    <w:t>生产废水</w:t>
                  </w:r>
                </w:p>
              </w:tc>
              <w:tc>
                <w:tcPr>
                  <w:tcW w:w="1212" w:type="pct"/>
                  <w:vAlign w:val="center"/>
                </w:tcPr>
                <w:p w14:paraId="5324C3EE">
                  <w:pPr>
                    <w:pStyle w:val="287"/>
                    <w:framePr w:hSpace="0" w:wrap="auto" w:vAnchor="margin" w:hAnchor="text" w:xAlign="left" w:yAlign="inline"/>
                    <w:rPr>
                      <w:rFonts w:hint="default" w:ascii="Times New Roman" w:hAnsi="Times New Roman" w:eastAsia="宋体" w:cs="宋体"/>
                      <w:color w:val="auto"/>
                      <w:lang w:val="en-US" w:eastAsia="zh-CN"/>
                    </w:rPr>
                  </w:pPr>
                  <w:r>
                    <w:rPr>
                      <w:rFonts w:hint="eastAsia" w:ascii="Times New Roman" w:hAnsi="Times New Roman" w:eastAsia="宋体" w:cs="宋体"/>
                      <w:color w:val="auto"/>
                      <w:lang w:val="en-US" w:eastAsia="zh-CN"/>
                    </w:rPr>
                    <w:t>洗煤废水</w:t>
                  </w:r>
                </w:p>
              </w:tc>
              <w:tc>
                <w:tcPr>
                  <w:tcW w:w="2095" w:type="pct"/>
                  <w:vMerge w:val="restart"/>
                  <w:vAlign w:val="center"/>
                </w:tcPr>
                <w:p w14:paraId="13A33B99">
                  <w:pPr>
                    <w:pStyle w:val="287"/>
                    <w:framePr w:hSpace="0" w:wrap="auto" w:vAnchor="margin" w:hAnchor="text" w:xAlign="left" w:yAlign="inline"/>
                    <w:rPr>
                      <w:rFonts w:hint="eastAsia" w:eastAsia="宋体"/>
                      <w:color w:val="auto"/>
                      <w:lang w:eastAsia="zh-CN"/>
                    </w:rPr>
                  </w:pPr>
                  <w:r>
                    <w:rPr>
                      <w:rFonts w:hint="eastAsia"/>
                      <w:color w:val="auto"/>
                      <w:lang w:eastAsia="zh-CN"/>
                    </w:rPr>
                    <w:t>生产废水实现闭路循环，不外排；洒水抑尘废水全部蒸发损耗</w:t>
                  </w:r>
                </w:p>
              </w:tc>
            </w:tr>
            <w:tr w14:paraId="33711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277" w:hRule="atLeast"/>
              </w:trPr>
              <w:tc>
                <w:tcPr>
                  <w:tcW w:w="350" w:type="pct"/>
                  <w:vMerge w:val="continue"/>
                  <w:vAlign w:val="center"/>
                </w:tcPr>
                <w:p w14:paraId="300EDCAC">
                  <w:pPr>
                    <w:pStyle w:val="287"/>
                    <w:framePr w:hSpace="0" w:wrap="auto" w:vAnchor="margin" w:hAnchor="text" w:xAlign="left" w:yAlign="inline"/>
                    <w:rPr>
                      <w:color w:val="auto"/>
                    </w:rPr>
                  </w:pPr>
                </w:p>
              </w:tc>
              <w:tc>
                <w:tcPr>
                  <w:tcW w:w="1341" w:type="pct"/>
                  <w:gridSpan w:val="2"/>
                  <w:vMerge w:val="continue"/>
                  <w:vAlign w:val="center"/>
                </w:tcPr>
                <w:p w14:paraId="28329B96">
                  <w:pPr>
                    <w:pStyle w:val="287"/>
                    <w:framePr w:hSpace="0" w:wrap="auto" w:vAnchor="margin" w:hAnchor="text" w:xAlign="left" w:yAlign="inline"/>
                    <w:rPr>
                      <w:rFonts w:hint="eastAsia" w:ascii="Times New Roman" w:hAnsi="Times New Roman" w:eastAsia="宋体" w:cs="宋体"/>
                      <w:color w:val="auto"/>
                      <w:lang w:eastAsia="zh-CN"/>
                    </w:rPr>
                  </w:pPr>
                </w:p>
              </w:tc>
              <w:tc>
                <w:tcPr>
                  <w:tcW w:w="1212" w:type="pct"/>
                  <w:shd w:val="clear" w:color="auto" w:fill="auto"/>
                  <w:vAlign w:val="center"/>
                </w:tcPr>
                <w:p w14:paraId="7FAA76B0">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cs="宋体"/>
                      <w:color w:val="auto"/>
                      <w:highlight w:val="none"/>
                      <w:lang w:eastAsia="zh-CN"/>
                    </w:rPr>
                    <w:t>洒水抑尘</w:t>
                  </w:r>
                  <w:r>
                    <w:rPr>
                      <w:rFonts w:hint="eastAsia" w:ascii="Times New Roman" w:hAnsi="Times New Roman" w:eastAsia="宋体" w:cs="宋体"/>
                      <w:color w:val="auto"/>
                      <w:highlight w:val="none"/>
                      <w:lang w:eastAsia="zh-CN"/>
                    </w:rPr>
                    <w:t>废水</w:t>
                  </w:r>
                </w:p>
              </w:tc>
              <w:tc>
                <w:tcPr>
                  <w:tcW w:w="2095" w:type="pct"/>
                  <w:vMerge w:val="continue"/>
                  <w:vAlign w:val="center"/>
                </w:tcPr>
                <w:p w14:paraId="268F300D">
                  <w:pPr>
                    <w:pStyle w:val="287"/>
                    <w:framePr w:hSpace="0" w:wrap="auto" w:vAnchor="margin" w:hAnchor="text" w:xAlign="left" w:yAlign="inline"/>
                    <w:rPr>
                      <w:rFonts w:hint="eastAsia"/>
                      <w:color w:val="auto"/>
                    </w:rPr>
                  </w:pPr>
                </w:p>
              </w:tc>
            </w:tr>
            <w:tr w14:paraId="3404D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Merge w:val="continue"/>
                  <w:vAlign w:val="center"/>
                </w:tcPr>
                <w:p w14:paraId="0E666475">
                  <w:pPr>
                    <w:pStyle w:val="287"/>
                    <w:framePr w:hSpace="0" w:wrap="auto" w:vAnchor="margin" w:hAnchor="text" w:xAlign="left" w:yAlign="inline"/>
                    <w:rPr>
                      <w:color w:val="auto"/>
                    </w:rPr>
                  </w:pPr>
                </w:p>
              </w:tc>
              <w:tc>
                <w:tcPr>
                  <w:tcW w:w="1341" w:type="pct"/>
                  <w:gridSpan w:val="2"/>
                  <w:vAlign w:val="center"/>
                </w:tcPr>
                <w:p w14:paraId="311E94DF">
                  <w:pPr>
                    <w:pStyle w:val="287"/>
                    <w:framePr w:hSpace="0" w:wrap="auto" w:vAnchor="margin" w:hAnchor="text" w:xAlign="left" w:yAlign="inline"/>
                    <w:rPr>
                      <w:rFonts w:hint="eastAsia" w:ascii="Times New Roman" w:hAnsi="Times New Roman" w:eastAsia="宋体" w:cs="宋体"/>
                      <w:color w:val="auto"/>
                      <w:lang w:eastAsia="zh-CN"/>
                    </w:rPr>
                  </w:pPr>
                  <w:r>
                    <w:rPr>
                      <w:rFonts w:hint="eastAsia" w:ascii="Times New Roman" w:hAnsi="Times New Roman" w:eastAsia="宋体" w:cs="宋体"/>
                      <w:color w:val="auto"/>
                      <w:lang w:eastAsia="zh-CN"/>
                    </w:rPr>
                    <w:t>初期雨水</w:t>
                  </w:r>
                </w:p>
              </w:tc>
              <w:tc>
                <w:tcPr>
                  <w:tcW w:w="1212" w:type="pct"/>
                  <w:shd w:val="clear" w:color="auto" w:fill="auto"/>
                  <w:vAlign w:val="center"/>
                </w:tcPr>
                <w:p w14:paraId="46AE9B7F">
                  <w:pPr>
                    <w:pStyle w:val="287"/>
                    <w:framePr w:hSpace="0" w:wrap="auto" w:vAnchor="margin" w:hAnchor="text" w:xAlign="left" w:yAlign="inline"/>
                    <w:rPr>
                      <w:rFonts w:hint="default" w:ascii="Times New Roman" w:hAnsi="Times New Roman" w:eastAsia="宋体" w:cs="宋体"/>
                      <w:color w:val="auto"/>
                      <w:lang w:val="en-US" w:eastAsia="zh-CN"/>
                    </w:rPr>
                  </w:pPr>
                  <w:r>
                    <w:rPr>
                      <w:rFonts w:hint="eastAsia" w:ascii="Times New Roman" w:hAnsi="Times New Roman" w:eastAsia="宋体" w:cs="宋体"/>
                      <w:color w:val="auto"/>
                      <w:lang w:val="en-US" w:eastAsia="zh-CN"/>
                    </w:rPr>
                    <w:t>/</w:t>
                  </w:r>
                </w:p>
              </w:tc>
              <w:tc>
                <w:tcPr>
                  <w:tcW w:w="2095" w:type="pct"/>
                  <w:vAlign w:val="center"/>
                </w:tcPr>
                <w:p w14:paraId="5CD5AAC2">
                  <w:pPr>
                    <w:pStyle w:val="287"/>
                    <w:framePr w:hSpace="0" w:wrap="auto" w:vAnchor="margin" w:hAnchor="text" w:xAlign="left" w:yAlign="inline"/>
                    <w:rPr>
                      <w:rFonts w:hint="eastAsia" w:ascii="Times New Roman" w:hAnsi="Times New Roman" w:eastAsia="宋体" w:cs="宋体"/>
                      <w:color w:val="auto"/>
                      <w:lang w:eastAsia="zh-CN"/>
                    </w:rPr>
                  </w:pPr>
                  <w:r>
                    <w:rPr>
                      <w:rFonts w:hint="eastAsia" w:ascii="Times New Roman" w:hAnsi="Times New Roman" w:eastAsia="宋体" w:cs="宋体"/>
                      <w:color w:val="auto"/>
                      <w:lang w:eastAsia="zh-CN"/>
                    </w:rPr>
                    <w:t>经初期雨水收集池沉淀后用于厂区洒水抑尘</w:t>
                  </w:r>
                </w:p>
              </w:tc>
            </w:tr>
            <w:tr w14:paraId="6A75D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Merge w:val="restart"/>
                  <w:vAlign w:val="center"/>
                </w:tcPr>
                <w:p w14:paraId="38D59CC1">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固废</w:t>
                  </w:r>
                </w:p>
              </w:tc>
              <w:tc>
                <w:tcPr>
                  <w:tcW w:w="508" w:type="pct"/>
                  <w:vMerge w:val="restart"/>
                  <w:vAlign w:val="center"/>
                </w:tcPr>
                <w:p w14:paraId="6192E2F2">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一般工业固废</w:t>
                  </w:r>
                </w:p>
              </w:tc>
              <w:tc>
                <w:tcPr>
                  <w:tcW w:w="833" w:type="pct"/>
                  <w:shd w:val="clear" w:color="auto" w:fill="auto"/>
                  <w:vAlign w:val="center"/>
                </w:tcPr>
                <w:p w14:paraId="2510AC09">
                  <w:pPr>
                    <w:pStyle w:val="287"/>
                    <w:framePr w:hSpace="0" w:wrap="auto" w:vAnchor="margin" w:hAnchor="text" w:xAlign="left" w:yAlign="inline"/>
                    <w:rPr>
                      <w:rFonts w:hint="eastAsia" w:ascii="Times New Roman" w:hAnsi="Times New Roman" w:eastAsia="宋体" w:cs="宋体"/>
                      <w:color w:val="auto"/>
                      <w:lang w:val="zh-CN" w:eastAsia="zh-CN"/>
                    </w:rPr>
                  </w:pPr>
                  <w:r>
                    <w:rPr>
                      <w:rFonts w:hint="eastAsia" w:ascii="Times New Roman" w:hAnsi="Times New Roman" w:eastAsia="宋体" w:cs="宋体"/>
                      <w:color w:val="auto"/>
                      <w:lang w:val="en-US" w:eastAsia="zh-CN"/>
                    </w:rPr>
                    <w:t>洗选工序</w:t>
                  </w:r>
                </w:p>
              </w:tc>
              <w:tc>
                <w:tcPr>
                  <w:tcW w:w="1212" w:type="pct"/>
                  <w:shd w:val="clear" w:color="auto" w:fill="auto"/>
                  <w:vAlign w:val="center"/>
                </w:tcPr>
                <w:p w14:paraId="388135A9">
                  <w:pPr>
                    <w:pStyle w:val="287"/>
                    <w:framePr w:hSpace="0" w:wrap="auto" w:vAnchor="margin" w:hAnchor="text" w:xAlign="left" w:yAlign="inline"/>
                    <w:rPr>
                      <w:rFonts w:hint="eastAsia" w:ascii="Times New Roman" w:hAnsi="Times New Roman" w:eastAsia="宋体" w:cs="宋体"/>
                      <w:color w:val="auto"/>
                      <w:lang w:val="zh-CN" w:eastAsia="zh-CN"/>
                    </w:rPr>
                  </w:pPr>
                  <w:r>
                    <w:rPr>
                      <w:rFonts w:hint="eastAsia" w:ascii="Times New Roman" w:hAnsi="Times New Roman" w:eastAsia="宋体" w:cs="宋体"/>
                      <w:color w:val="auto"/>
                      <w:lang w:val="en-US" w:eastAsia="zh-CN"/>
                    </w:rPr>
                    <w:t>矸石</w:t>
                  </w:r>
                </w:p>
              </w:tc>
              <w:tc>
                <w:tcPr>
                  <w:tcW w:w="2095" w:type="pct"/>
                  <w:shd w:val="clear" w:color="auto" w:fill="auto"/>
                  <w:vAlign w:val="center"/>
                </w:tcPr>
                <w:p w14:paraId="4461FFAB">
                  <w:pPr>
                    <w:pStyle w:val="287"/>
                    <w:framePr w:hSpace="0" w:wrap="auto" w:vAnchor="margin" w:hAnchor="text" w:xAlign="left" w:yAlign="inline"/>
                    <w:rPr>
                      <w:rFonts w:hint="eastAsia" w:ascii="Times New Roman" w:hAnsi="Times New Roman" w:eastAsia="宋体" w:cs="宋体"/>
                      <w:color w:val="auto"/>
                      <w:lang w:val="zh-CN" w:eastAsia="zh-CN"/>
                    </w:rPr>
                  </w:pPr>
                  <w:r>
                    <w:rPr>
                      <w:rFonts w:hint="default" w:ascii="Times New Roman" w:hAnsi="Times New Roman" w:eastAsia="宋体" w:cs="宋体"/>
                      <w:color w:val="auto"/>
                      <w:lang w:val="en-US" w:eastAsia="zh-CN"/>
                    </w:rPr>
                    <w:t>暂存于矸石</w:t>
                  </w:r>
                  <w:r>
                    <w:rPr>
                      <w:rFonts w:hint="eastAsia" w:ascii="Times New Roman" w:hAnsi="Times New Roman" w:eastAsia="宋体" w:cs="宋体"/>
                      <w:color w:val="auto"/>
                      <w:lang w:val="en-US" w:eastAsia="zh-CN"/>
                    </w:rPr>
                    <w:t>堆棚</w:t>
                  </w:r>
                  <w:r>
                    <w:rPr>
                      <w:rFonts w:hint="default" w:ascii="Times New Roman" w:hAnsi="Times New Roman" w:eastAsia="宋体" w:cs="宋体"/>
                      <w:color w:val="auto"/>
                      <w:lang w:val="en-US" w:eastAsia="zh-CN"/>
                    </w:rPr>
                    <w:t>，</w:t>
                  </w:r>
                  <w:r>
                    <w:rPr>
                      <w:rFonts w:hint="eastAsia" w:ascii="Times New Roman" w:hAnsi="Times New Roman" w:eastAsia="宋体" w:cs="宋体"/>
                      <w:color w:val="auto"/>
                      <w:lang w:val="en-US" w:eastAsia="zh-CN"/>
                    </w:rPr>
                    <w:t>作为胶凝材料原料交由淮南舜岳水泥有限责任公司生产使用</w:t>
                  </w:r>
                </w:p>
              </w:tc>
            </w:tr>
            <w:tr w14:paraId="1DEFC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Merge w:val="continue"/>
                  <w:vAlign w:val="center"/>
                </w:tcPr>
                <w:p w14:paraId="19912E15">
                  <w:pPr>
                    <w:pStyle w:val="287"/>
                    <w:framePr w:hSpace="0" w:wrap="auto" w:vAnchor="margin" w:hAnchor="text" w:xAlign="left" w:yAlign="inline"/>
                    <w:rPr>
                      <w:rFonts w:hint="eastAsia" w:ascii="Times New Roman" w:hAnsi="Times New Roman" w:eastAsia="宋体" w:cs="宋体"/>
                      <w:color w:val="auto"/>
                      <w:lang w:val="en-US" w:eastAsia="zh-CN"/>
                    </w:rPr>
                  </w:pPr>
                </w:p>
              </w:tc>
              <w:tc>
                <w:tcPr>
                  <w:tcW w:w="508" w:type="pct"/>
                  <w:vMerge w:val="continue"/>
                  <w:vAlign w:val="center"/>
                </w:tcPr>
                <w:p w14:paraId="3743AF9F">
                  <w:pPr>
                    <w:pStyle w:val="287"/>
                    <w:framePr w:hSpace="0" w:wrap="auto" w:vAnchor="margin" w:hAnchor="text" w:xAlign="left" w:yAlign="inline"/>
                    <w:rPr>
                      <w:rFonts w:hint="eastAsia" w:ascii="Times New Roman" w:hAnsi="Times New Roman" w:eastAsia="宋体" w:cs="宋体"/>
                      <w:color w:val="auto"/>
                      <w:lang w:val="en-US" w:eastAsia="zh-CN"/>
                    </w:rPr>
                  </w:pPr>
                </w:p>
              </w:tc>
              <w:tc>
                <w:tcPr>
                  <w:tcW w:w="833" w:type="pct"/>
                  <w:shd w:val="clear" w:color="auto" w:fill="auto"/>
                  <w:vAlign w:val="center"/>
                </w:tcPr>
                <w:p w14:paraId="64F4CC76">
                  <w:pPr>
                    <w:pStyle w:val="287"/>
                    <w:framePr w:hSpace="0" w:wrap="auto" w:vAnchor="margin" w:hAnchor="text" w:xAlign="left" w:yAlign="inline"/>
                    <w:rPr>
                      <w:rFonts w:hint="eastAsia" w:ascii="Times New Roman" w:hAnsi="Times New Roman" w:eastAsia="宋体" w:cs="宋体"/>
                      <w:color w:val="auto"/>
                      <w:lang w:val="zh-CN" w:eastAsia="zh-CN"/>
                    </w:rPr>
                  </w:pPr>
                  <w:r>
                    <w:rPr>
                      <w:rFonts w:hint="eastAsia" w:ascii="Times New Roman" w:hAnsi="Times New Roman" w:eastAsia="宋体" w:cs="宋体"/>
                      <w:color w:val="auto"/>
                      <w:lang w:val="en-US" w:eastAsia="zh-CN"/>
                    </w:rPr>
                    <w:t>生产废水处理</w:t>
                  </w:r>
                </w:p>
              </w:tc>
              <w:tc>
                <w:tcPr>
                  <w:tcW w:w="1212" w:type="pct"/>
                  <w:shd w:val="clear" w:color="auto" w:fill="auto"/>
                  <w:vAlign w:val="center"/>
                </w:tcPr>
                <w:p w14:paraId="02AAA3A6">
                  <w:pPr>
                    <w:pStyle w:val="287"/>
                    <w:framePr w:hSpace="0" w:wrap="auto" w:vAnchor="margin" w:hAnchor="text" w:xAlign="left" w:yAlign="inline"/>
                    <w:rPr>
                      <w:rFonts w:hint="eastAsia" w:ascii="Times New Roman" w:hAnsi="Times New Roman" w:eastAsia="宋体" w:cs="宋体"/>
                      <w:color w:val="auto"/>
                      <w:lang w:val="zh-CN" w:eastAsia="zh-CN"/>
                    </w:rPr>
                  </w:pPr>
                  <w:r>
                    <w:rPr>
                      <w:rFonts w:hint="eastAsia" w:ascii="Times New Roman" w:hAnsi="Times New Roman" w:eastAsia="宋体" w:cs="宋体"/>
                      <w:color w:val="auto"/>
                      <w:lang w:val="en-US" w:eastAsia="zh-CN"/>
                    </w:rPr>
                    <w:t>煤泥</w:t>
                  </w:r>
                </w:p>
              </w:tc>
              <w:tc>
                <w:tcPr>
                  <w:tcW w:w="2095" w:type="pct"/>
                  <w:shd w:val="clear" w:color="auto" w:fill="auto"/>
                  <w:vAlign w:val="center"/>
                </w:tcPr>
                <w:p w14:paraId="5347785B">
                  <w:pPr>
                    <w:pStyle w:val="287"/>
                    <w:framePr w:hSpace="0" w:wrap="auto" w:vAnchor="margin" w:hAnchor="text" w:xAlign="left" w:yAlign="inline"/>
                    <w:rPr>
                      <w:rFonts w:hint="eastAsia" w:ascii="Times New Roman" w:hAnsi="Times New Roman" w:eastAsia="宋体" w:cs="宋体"/>
                      <w:color w:val="auto"/>
                      <w:lang w:val="en-US" w:eastAsia="zh-CN"/>
                    </w:rPr>
                  </w:pPr>
                  <w:r>
                    <w:rPr>
                      <w:rFonts w:hint="default" w:ascii="Times New Roman" w:hAnsi="Times New Roman" w:eastAsia="宋体" w:cs="宋体"/>
                      <w:color w:val="auto"/>
                      <w:lang w:val="en-US" w:eastAsia="zh-CN"/>
                    </w:rPr>
                    <w:t>产生的煤泥饼直接装车</w:t>
                  </w:r>
                  <w:r>
                    <w:rPr>
                      <w:rFonts w:hint="eastAsia" w:ascii="Times New Roman" w:hAnsi="Times New Roman" w:eastAsia="宋体" w:cs="宋体"/>
                      <w:color w:val="auto"/>
                      <w:lang w:val="en-US" w:eastAsia="zh-CN"/>
                    </w:rPr>
                    <w:t>交由淮南舜岳水泥有限责任公司综合利用</w:t>
                  </w:r>
                  <w:r>
                    <w:rPr>
                      <w:rFonts w:hint="default" w:ascii="Times New Roman" w:hAnsi="Times New Roman" w:eastAsia="宋体" w:cs="宋体"/>
                      <w:color w:val="auto"/>
                      <w:lang w:val="en-US" w:eastAsia="zh-CN"/>
                    </w:rPr>
                    <w:t>，日产日清，不在厂区堆存</w:t>
                  </w:r>
                </w:p>
              </w:tc>
            </w:tr>
            <w:tr w14:paraId="6710C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Merge w:val="continue"/>
                  <w:vAlign w:val="center"/>
                </w:tcPr>
                <w:p w14:paraId="2014635B">
                  <w:pPr>
                    <w:pStyle w:val="287"/>
                    <w:framePr w:hSpace="0" w:wrap="auto" w:vAnchor="margin" w:hAnchor="text" w:xAlign="left" w:yAlign="inline"/>
                    <w:rPr>
                      <w:rFonts w:hint="eastAsia" w:ascii="Times New Roman" w:hAnsi="Times New Roman" w:eastAsia="宋体" w:cs="宋体"/>
                      <w:color w:val="auto"/>
                      <w:lang w:val="en-US" w:eastAsia="zh-CN"/>
                    </w:rPr>
                  </w:pPr>
                </w:p>
              </w:tc>
              <w:tc>
                <w:tcPr>
                  <w:tcW w:w="508" w:type="pct"/>
                  <w:vMerge w:val="restart"/>
                  <w:vAlign w:val="center"/>
                </w:tcPr>
                <w:p w14:paraId="716C01E6">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危险废物</w:t>
                  </w:r>
                </w:p>
              </w:tc>
              <w:tc>
                <w:tcPr>
                  <w:tcW w:w="833" w:type="pct"/>
                  <w:shd w:val="clear" w:color="auto" w:fill="auto"/>
                  <w:vAlign w:val="center"/>
                </w:tcPr>
                <w:p w14:paraId="3714DC25">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废机油</w:t>
                  </w:r>
                </w:p>
              </w:tc>
              <w:tc>
                <w:tcPr>
                  <w:tcW w:w="1212" w:type="pct"/>
                  <w:shd w:val="clear" w:color="auto" w:fill="auto"/>
                  <w:vAlign w:val="center"/>
                </w:tcPr>
                <w:p w14:paraId="4F1F15E5">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废机油</w:t>
                  </w:r>
                </w:p>
              </w:tc>
              <w:tc>
                <w:tcPr>
                  <w:tcW w:w="2095" w:type="pct"/>
                  <w:vMerge w:val="restart"/>
                  <w:shd w:val="clear" w:color="auto" w:fill="auto"/>
                  <w:vAlign w:val="center"/>
                </w:tcPr>
                <w:p w14:paraId="0E22F179">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暂存在危废暂存间，定期由有资质单位处置</w:t>
                  </w:r>
                </w:p>
              </w:tc>
            </w:tr>
            <w:tr w14:paraId="3115D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Merge w:val="continue"/>
                  <w:vAlign w:val="center"/>
                </w:tcPr>
                <w:p w14:paraId="4E181C3E">
                  <w:pPr>
                    <w:pStyle w:val="287"/>
                    <w:framePr w:hSpace="0" w:wrap="auto" w:vAnchor="margin" w:hAnchor="text" w:xAlign="left" w:yAlign="inline"/>
                    <w:rPr>
                      <w:color w:val="auto"/>
                    </w:rPr>
                  </w:pPr>
                </w:p>
              </w:tc>
              <w:tc>
                <w:tcPr>
                  <w:tcW w:w="508" w:type="pct"/>
                  <w:vMerge w:val="continue"/>
                  <w:vAlign w:val="center"/>
                </w:tcPr>
                <w:p w14:paraId="3B29240D">
                  <w:pPr>
                    <w:pStyle w:val="287"/>
                    <w:framePr w:hSpace="0" w:wrap="auto" w:vAnchor="margin" w:hAnchor="text" w:xAlign="left" w:yAlign="inline"/>
                    <w:rPr>
                      <w:color w:val="auto"/>
                    </w:rPr>
                  </w:pPr>
                </w:p>
              </w:tc>
              <w:tc>
                <w:tcPr>
                  <w:tcW w:w="833" w:type="pct"/>
                  <w:shd w:val="clear" w:color="auto" w:fill="auto"/>
                  <w:vAlign w:val="center"/>
                </w:tcPr>
                <w:p w14:paraId="68C20D74">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废机油桶</w:t>
                  </w:r>
                </w:p>
              </w:tc>
              <w:tc>
                <w:tcPr>
                  <w:tcW w:w="1212" w:type="pct"/>
                  <w:shd w:val="clear" w:color="auto" w:fill="auto"/>
                  <w:vAlign w:val="center"/>
                </w:tcPr>
                <w:p w14:paraId="23B21379">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废机油桶</w:t>
                  </w:r>
                </w:p>
              </w:tc>
              <w:tc>
                <w:tcPr>
                  <w:tcW w:w="2095" w:type="pct"/>
                  <w:vMerge w:val="continue"/>
                  <w:shd w:val="clear" w:color="auto" w:fill="auto"/>
                  <w:vAlign w:val="center"/>
                </w:tcPr>
                <w:p w14:paraId="737C0947">
                  <w:pPr>
                    <w:pStyle w:val="287"/>
                    <w:framePr w:hSpace="0" w:wrap="auto" w:vAnchor="margin" w:hAnchor="text" w:xAlign="left" w:yAlign="inline"/>
                    <w:rPr>
                      <w:color w:val="auto"/>
                    </w:rPr>
                  </w:pPr>
                </w:p>
              </w:tc>
            </w:tr>
            <w:tr w14:paraId="55505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Merge w:val="continue"/>
                  <w:vAlign w:val="center"/>
                </w:tcPr>
                <w:p w14:paraId="40E2A673">
                  <w:pPr>
                    <w:pStyle w:val="287"/>
                    <w:framePr w:hSpace="0" w:wrap="auto" w:vAnchor="margin" w:hAnchor="text" w:xAlign="left" w:yAlign="inline"/>
                    <w:rPr>
                      <w:color w:val="auto"/>
                    </w:rPr>
                  </w:pPr>
                </w:p>
              </w:tc>
              <w:tc>
                <w:tcPr>
                  <w:tcW w:w="508" w:type="pct"/>
                  <w:vMerge w:val="continue"/>
                  <w:vAlign w:val="center"/>
                </w:tcPr>
                <w:p w14:paraId="4B4E363A">
                  <w:pPr>
                    <w:pStyle w:val="287"/>
                    <w:framePr w:hSpace="0" w:wrap="auto" w:vAnchor="margin" w:hAnchor="text" w:xAlign="left" w:yAlign="inline"/>
                    <w:rPr>
                      <w:color w:val="auto"/>
                    </w:rPr>
                  </w:pPr>
                </w:p>
              </w:tc>
              <w:tc>
                <w:tcPr>
                  <w:tcW w:w="833" w:type="pct"/>
                  <w:shd w:val="clear" w:color="auto" w:fill="auto"/>
                  <w:vAlign w:val="center"/>
                </w:tcPr>
                <w:p w14:paraId="262125D6">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废含油抹布手套</w:t>
                  </w:r>
                </w:p>
              </w:tc>
              <w:tc>
                <w:tcPr>
                  <w:tcW w:w="1212" w:type="pct"/>
                  <w:shd w:val="clear" w:color="auto" w:fill="auto"/>
                  <w:vAlign w:val="center"/>
                </w:tcPr>
                <w:p w14:paraId="315C5822">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废含油抹布手套</w:t>
                  </w:r>
                </w:p>
              </w:tc>
              <w:tc>
                <w:tcPr>
                  <w:tcW w:w="2095" w:type="pct"/>
                  <w:vMerge w:val="continue"/>
                  <w:shd w:val="clear" w:color="auto" w:fill="auto"/>
                  <w:vAlign w:val="center"/>
                </w:tcPr>
                <w:p w14:paraId="08DCAAE1">
                  <w:pPr>
                    <w:pStyle w:val="287"/>
                    <w:framePr w:hSpace="0" w:wrap="auto" w:vAnchor="margin" w:hAnchor="text" w:xAlign="left" w:yAlign="inline"/>
                    <w:rPr>
                      <w:rFonts w:hint="eastAsia" w:ascii="Times New Roman" w:hAnsi="Times New Roman" w:eastAsia="宋体" w:cs="宋体"/>
                      <w:color w:val="auto"/>
                      <w:lang w:val="en-US" w:eastAsia="zh-CN"/>
                    </w:rPr>
                  </w:pPr>
                </w:p>
              </w:tc>
            </w:tr>
            <w:tr w14:paraId="18628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312" w:hRule="atLeast"/>
              </w:trPr>
              <w:tc>
                <w:tcPr>
                  <w:tcW w:w="350" w:type="pct"/>
                  <w:vMerge w:val="continue"/>
                  <w:vAlign w:val="center"/>
                </w:tcPr>
                <w:p w14:paraId="094DDB90">
                  <w:pPr>
                    <w:pStyle w:val="287"/>
                    <w:framePr w:hSpace="0" w:wrap="auto" w:vAnchor="margin" w:hAnchor="text" w:xAlign="left" w:yAlign="inline"/>
                    <w:rPr>
                      <w:color w:val="auto"/>
                    </w:rPr>
                  </w:pPr>
                </w:p>
              </w:tc>
              <w:tc>
                <w:tcPr>
                  <w:tcW w:w="1341" w:type="pct"/>
                  <w:gridSpan w:val="2"/>
                  <w:vAlign w:val="center"/>
                </w:tcPr>
                <w:p w14:paraId="4A6E51CD">
                  <w:pPr>
                    <w:pStyle w:val="287"/>
                    <w:framePr w:hSpace="0" w:wrap="auto" w:vAnchor="margin" w:hAnchor="text" w:xAlign="left" w:yAlign="inline"/>
                    <w:rPr>
                      <w:rFonts w:hint="eastAsia" w:eastAsia="宋体"/>
                      <w:color w:val="auto"/>
                      <w:lang w:eastAsia="zh-CN"/>
                    </w:rPr>
                  </w:pPr>
                  <w:r>
                    <w:rPr>
                      <w:rFonts w:hint="eastAsia"/>
                      <w:color w:val="auto"/>
                      <w:lang w:eastAsia="zh-CN"/>
                    </w:rPr>
                    <w:t>职工生活</w:t>
                  </w:r>
                </w:p>
              </w:tc>
              <w:tc>
                <w:tcPr>
                  <w:tcW w:w="1212" w:type="pct"/>
                  <w:shd w:val="clear" w:color="auto" w:fill="auto"/>
                  <w:vAlign w:val="center"/>
                </w:tcPr>
                <w:p w14:paraId="5D2E6F86">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生活垃圾</w:t>
                  </w:r>
                </w:p>
              </w:tc>
              <w:tc>
                <w:tcPr>
                  <w:tcW w:w="2095" w:type="pct"/>
                  <w:shd w:val="clear" w:color="auto" w:fill="auto"/>
                  <w:vAlign w:val="center"/>
                </w:tcPr>
                <w:p w14:paraId="39F7E134">
                  <w:pPr>
                    <w:pStyle w:val="287"/>
                    <w:framePr w:hSpace="0" w:wrap="auto" w:vAnchor="margin" w:hAnchor="text" w:xAlign="left" w:yAlign="inline"/>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委托环卫部门统一清运</w:t>
                  </w:r>
                </w:p>
              </w:tc>
            </w:tr>
            <w:tr w14:paraId="4568B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616" w:hRule="atLeast"/>
              </w:trPr>
              <w:tc>
                <w:tcPr>
                  <w:tcW w:w="350" w:type="pct"/>
                  <w:vAlign w:val="center"/>
                </w:tcPr>
                <w:p w14:paraId="76947680">
                  <w:pPr>
                    <w:pStyle w:val="287"/>
                    <w:framePr w:hSpace="0" w:wrap="auto" w:vAnchor="margin" w:hAnchor="text" w:xAlign="left" w:yAlign="inline"/>
                    <w:rPr>
                      <w:rFonts w:ascii="Times New Roman" w:hAnsi="Times New Roman"/>
                      <w:color w:val="auto"/>
                    </w:rPr>
                  </w:pPr>
                  <w:r>
                    <w:rPr>
                      <w:rFonts w:ascii="Times New Roman" w:hAnsi="Times New Roman"/>
                      <w:color w:val="auto"/>
                    </w:rPr>
                    <w:t>噪声</w:t>
                  </w:r>
                </w:p>
              </w:tc>
              <w:tc>
                <w:tcPr>
                  <w:tcW w:w="1341" w:type="pct"/>
                  <w:gridSpan w:val="2"/>
                  <w:vAlign w:val="center"/>
                </w:tcPr>
                <w:p w14:paraId="43D3B5D8">
                  <w:pPr>
                    <w:pStyle w:val="287"/>
                    <w:framePr w:hSpace="0" w:wrap="auto" w:vAnchor="margin" w:hAnchor="text" w:xAlign="left" w:yAlign="inline"/>
                    <w:rPr>
                      <w:rFonts w:hint="eastAsia" w:ascii="Times New Roman" w:hAnsi="Times New Roman" w:eastAsia="宋体"/>
                      <w:color w:val="auto"/>
                      <w:lang w:eastAsia="zh-CN"/>
                    </w:rPr>
                  </w:pPr>
                  <w:r>
                    <w:rPr>
                      <w:rFonts w:hint="eastAsia" w:ascii="Times New Roman" w:hAnsi="Times New Roman"/>
                      <w:color w:val="auto"/>
                      <w:lang w:eastAsia="zh-CN"/>
                    </w:rPr>
                    <w:t>生产设备运行</w:t>
                  </w:r>
                </w:p>
              </w:tc>
              <w:tc>
                <w:tcPr>
                  <w:tcW w:w="1212" w:type="pct"/>
                  <w:vAlign w:val="center"/>
                </w:tcPr>
                <w:p w14:paraId="46B5CA4A">
                  <w:pPr>
                    <w:pStyle w:val="287"/>
                    <w:framePr w:hSpace="0" w:wrap="auto" w:vAnchor="margin" w:hAnchor="text" w:xAlign="left" w:yAlign="inline"/>
                    <w:rPr>
                      <w:rFonts w:hint="default" w:ascii="Times New Roman" w:hAnsi="Times New Roman"/>
                      <w:color w:val="auto"/>
                      <w:lang w:val="en-US" w:eastAsia="zh-CN"/>
                    </w:rPr>
                  </w:pPr>
                  <w:r>
                    <w:rPr>
                      <w:rFonts w:hint="eastAsia" w:ascii="Times New Roman" w:hAnsi="Times New Roman"/>
                      <w:color w:val="auto"/>
                      <w:lang w:eastAsia="zh-CN"/>
                    </w:rPr>
                    <w:t>等效</w:t>
                  </w:r>
                  <w:r>
                    <w:rPr>
                      <w:rFonts w:hint="eastAsia" w:ascii="Times New Roman" w:hAnsi="Times New Roman"/>
                      <w:color w:val="auto"/>
                      <w:lang w:val="en-US" w:eastAsia="zh-CN"/>
                    </w:rPr>
                    <w:t>A声级</w:t>
                  </w:r>
                </w:p>
              </w:tc>
              <w:tc>
                <w:tcPr>
                  <w:tcW w:w="2095" w:type="pct"/>
                  <w:vAlign w:val="center"/>
                </w:tcPr>
                <w:p w14:paraId="44284B03">
                  <w:pPr>
                    <w:pStyle w:val="287"/>
                    <w:framePr w:hSpace="0" w:wrap="auto" w:vAnchor="margin" w:hAnchor="text" w:xAlign="left" w:yAlign="inline"/>
                    <w:rPr>
                      <w:rFonts w:hint="eastAsia" w:ascii="Times New Roman" w:hAnsi="Times New Roman"/>
                      <w:color w:val="auto"/>
                      <w:lang w:eastAsia="zh-CN"/>
                    </w:rPr>
                  </w:pPr>
                  <w:r>
                    <w:rPr>
                      <w:rFonts w:hint="eastAsia" w:ascii="Times New Roman" w:hAnsi="Times New Roman"/>
                      <w:color w:val="auto"/>
                      <w:lang w:eastAsia="zh-CN"/>
                    </w:rPr>
                    <w:t>选用高效低噪声设备、安装减振底座、墙体隔声等</w:t>
                  </w:r>
                </w:p>
              </w:tc>
            </w:tr>
          </w:tbl>
          <w:p w14:paraId="6A85139C">
            <w:pPr>
              <w:spacing w:after="0"/>
              <w:rPr>
                <w:rFonts w:hint="eastAsia" w:eastAsia="宋体"/>
                <w:color w:val="auto"/>
                <w:lang w:val="en-US" w:eastAsia="zh-CN"/>
              </w:rPr>
            </w:pPr>
          </w:p>
        </w:tc>
      </w:tr>
      <w:tr w14:paraId="099FD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8" w:hRule="atLeast"/>
          <w:jc w:val="center"/>
        </w:trPr>
        <w:tc>
          <w:tcPr>
            <w:tcW w:w="704" w:type="dxa"/>
            <w:vAlign w:val="center"/>
          </w:tcPr>
          <w:p w14:paraId="57CB24D6">
            <w:pPr>
              <w:adjustRightInd w:val="0"/>
              <w:snapToGrid w:val="0"/>
              <w:spacing w:after="0"/>
              <w:jc w:val="center"/>
              <w:rPr>
                <w:color w:val="auto"/>
              </w:rPr>
            </w:pPr>
            <w:r>
              <w:rPr>
                <w:bCs/>
                <w:color w:val="auto"/>
              </w:rPr>
              <w:t>与项目有关的原有环境污染问题</w:t>
            </w:r>
          </w:p>
        </w:tc>
        <w:tc>
          <w:tcPr>
            <w:tcW w:w="8394" w:type="dxa"/>
            <w:vAlign w:val="center"/>
          </w:tcPr>
          <w:p w14:paraId="2DE6EE6D">
            <w:pPr>
              <w:pStyle w:val="181"/>
              <w:wordWrap/>
              <w:ind w:left="0" w:leftChars="0" w:right="0" w:rightChars="0" w:firstLine="480" w:firstLineChars="200"/>
              <w:jc w:val="both"/>
              <w:rPr>
                <w:rFonts w:hint="eastAsia" w:eastAsia="宋体"/>
                <w:bCs/>
                <w:color w:val="auto"/>
                <w:szCs w:val="20"/>
                <w:lang w:eastAsia="zh-CN" w:bidi="ar-SA"/>
              </w:rPr>
            </w:pPr>
            <w:r>
              <w:rPr>
                <w:rFonts w:hint="eastAsia"/>
                <w:bCs/>
                <w:color w:val="auto"/>
                <w:szCs w:val="20"/>
                <w:lang w:bidi="ar-SA"/>
              </w:rPr>
              <w:t>本</w:t>
            </w:r>
            <w:r>
              <w:rPr>
                <w:rFonts w:hint="eastAsia"/>
                <w:bCs/>
                <w:color w:val="auto"/>
                <w:szCs w:val="20"/>
                <w:lang w:val="en-US" w:eastAsia="zh-CN" w:bidi="ar-SA"/>
              </w:rPr>
              <w:t>项目租用淮南舜岳水泥有限责任公司厂区内现有厂房进行内部改造，根据现场踏勘，租赁厂房已闲置，无生产建设活动，不存在</w:t>
            </w:r>
            <w:r>
              <w:rPr>
                <w:bCs/>
                <w:color w:val="auto"/>
              </w:rPr>
              <w:t>与项目有关的原有环境污染问题</w:t>
            </w:r>
            <w:r>
              <w:rPr>
                <w:rFonts w:hint="eastAsia"/>
                <w:bCs/>
                <w:color w:val="auto"/>
                <w:lang w:eastAsia="zh-CN"/>
              </w:rPr>
              <w:t>。</w:t>
            </w:r>
          </w:p>
        </w:tc>
      </w:tr>
    </w:tbl>
    <w:p w14:paraId="4DCEB164">
      <w:pPr>
        <w:spacing w:after="0"/>
        <w:rPr>
          <w:color w:val="auto"/>
        </w:rPr>
        <w:sectPr>
          <w:headerReference r:id="rId13" w:type="default"/>
          <w:pgSz w:w="11907" w:h="16840"/>
          <w:pgMar w:top="1440" w:right="1440" w:bottom="1440" w:left="1304" w:header="851" w:footer="851" w:gutter="0"/>
          <w:pgNumType w:fmt="decimal"/>
          <w:cols w:space="720" w:num="1"/>
          <w:docGrid w:linePitch="326" w:charSpace="0"/>
        </w:sectPr>
      </w:pPr>
    </w:p>
    <w:bookmarkEnd w:id="16"/>
    <w:p w14:paraId="5BCD10AE">
      <w:pPr>
        <w:pStyle w:val="3"/>
        <w:bidi w:val="0"/>
        <w:spacing w:after="0" w:line="240" w:lineRule="auto"/>
        <w:rPr>
          <w:rFonts w:ascii="Times New Roman" w:hAnsi="Times New Roman"/>
          <w:snapToGrid w:val="0"/>
          <w:color w:val="auto"/>
          <w:szCs w:val="28"/>
        </w:rPr>
      </w:pPr>
      <w:bookmarkStart w:id="17" w:name="_Toc69030995"/>
      <w:r>
        <w:rPr>
          <w:color w:val="auto"/>
        </w:rPr>
        <w:t>三、区域环境质量现状、环境保护目标及评价标准</w:t>
      </w:r>
      <w:bookmarkEnd w:id="17"/>
    </w:p>
    <w:tbl>
      <w:tblPr>
        <w:tblStyle w:val="53"/>
        <w:tblpPr w:leftFromText="180" w:rightFromText="180" w:vertAnchor="text" w:tblpXSpec="center" w:tblpY="1"/>
        <w:tblOverlap w:val="never"/>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54"/>
        <w:gridCol w:w="8789"/>
      </w:tblGrid>
      <w:tr w14:paraId="27002A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659" w:type="dxa"/>
            <w:tcBorders>
              <w:top w:val="single" w:color="auto" w:sz="4" w:space="0"/>
              <w:left w:val="single" w:color="auto" w:sz="4" w:space="0"/>
              <w:bottom w:val="single" w:color="auto" w:sz="4" w:space="0"/>
              <w:right w:val="single" w:color="auto" w:sz="4" w:space="0"/>
            </w:tcBorders>
            <w:vAlign w:val="center"/>
          </w:tcPr>
          <w:p w14:paraId="2788F2B9">
            <w:pPr>
              <w:adjustRightInd w:val="0"/>
              <w:spacing w:after="0" w:line="440" w:lineRule="exact"/>
              <w:jc w:val="center"/>
              <w:outlineLvl w:val="1"/>
              <w:rPr>
                <w:color w:val="auto"/>
              </w:rPr>
            </w:pPr>
            <w:r>
              <w:rPr>
                <w:color w:val="auto"/>
              </w:rPr>
              <w:t>区域</w:t>
            </w:r>
          </w:p>
          <w:p w14:paraId="4FEB605C">
            <w:pPr>
              <w:adjustRightInd w:val="0"/>
              <w:spacing w:after="0" w:line="440" w:lineRule="exact"/>
              <w:jc w:val="center"/>
              <w:outlineLvl w:val="1"/>
              <w:rPr>
                <w:color w:val="auto"/>
              </w:rPr>
            </w:pPr>
            <w:r>
              <w:rPr>
                <w:color w:val="auto"/>
              </w:rPr>
              <w:t>环境</w:t>
            </w:r>
          </w:p>
          <w:p w14:paraId="352AD856">
            <w:pPr>
              <w:adjustRightInd w:val="0"/>
              <w:spacing w:after="0" w:line="440" w:lineRule="exact"/>
              <w:jc w:val="center"/>
              <w:outlineLvl w:val="1"/>
              <w:rPr>
                <w:color w:val="auto"/>
              </w:rPr>
            </w:pPr>
            <w:r>
              <w:rPr>
                <w:color w:val="auto"/>
              </w:rPr>
              <w:t>质量</w:t>
            </w:r>
          </w:p>
          <w:p w14:paraId="2BE44050">
            <w:pPr>
              <w:adjustRightInd w:val="0"/>
              <w:spacing w:after="0" w:line="440" w:lineRule="exact"/>
              <w:jc w:val="center"/>
              <w:outlineLvl w:val="1"/>
              <w:rPr>
                <w:color w:val="auto"/>
              </w:rPr>
            </w:pPr>
            <w:r>
              <w:rPr>
                <w:color w:val="auto"/>
              </w:rPr>
              <w:t>现状</w:t>
            </w:r>
          </w:p>
        </w:tc>
        <w:tc>
          <w:tcPr>
            <w:tcW w:w="8285" w:type="dxa"/>
            <w:tcBorders>
              <w:top w:val="single" w:color="auto" w:sz="4" w:space="0"/>
              <w:left w:val="single" w:color="auto" w:sz="4" w:space="0"/>
              <w:bottom w:val="single" w:color="auto" w:sz="4" w:space="0"/>
              <w:right w:val="single" w:color="auto" w:sz="4" w:space="0"/>
            </w:tcBorders>
          </w:tcPr>
          <w:p w14:paraId="05CEC3DC">
            <w:pPr>
              <w:pStyle w:val="598"/>
              <w:keepNext w:val="0"/>
              <w:keepLines w:val="0"/>
              <w:pageBreakBefore w:val="0"/>
              <w:framePr w:hSpace="0" w:wrap="auto" w:vAnchor="margin" w:hAnchor="text" w:xAlign="left" w:yAlign="inline"/>
              <w:widowControl w:val="0"/>
              <w:kinsoku/>
              <w:wordWrap/>
              <w:overflowPunct/>
              <w:topLinePunct w:val="0"/>
              <w:autoSpaceDE/>
              <w:autoSpaceDN/>
              <w:bidi w:val="0"/>
              <w:adjustRightInd w:val="0"/>
              <w:snapToGrid w:val="0"/>
              <w:spacing w:line="360" w:lineRule="auto"/>
              <w:textAlignment w:val="auto"/>
              <w:rPr>
                <w:color w:val="auto"/>
              </w:rPr>
            </w:pPr>
            <w:r>
              <w:rPr>
                <w:color w:val="auto"/>
              </w:rPr>
              <w:t>3.1环境质量现状</w:t>
            </w:r>
          </w:p>
          <w:p w14:paraId="07C3E81E">
            <w:pPr>
              <w:pStyle w:val="771"/>
              <w:bidi w:val="0"/>
              <w:rPr>
                <w:b/>
                <w:bCs/>
                <w:color w:val="auto"/>
              </w:rPr>
            </w:pPr>
            <w:r>
              <w:rPr>
                <w:b/>
                <w:bCs/>
                <w:color w:val="auto"/>
              </w:rPr>
              <w:t>3.1.1</w:t>
            </w:r>
            <w:r>
              <w:rPr>
                <w:rFonts w:hint="eastAsia"/>
                <w:b/>
                <w:bCs/>
                <w:color w:val="auto"/>
              </w:rPr>
              <w:t>环境空气质量现状</w:t>
            </w:r>
          </w:p>
          <w:p w14:paraId="2DC6454C">
            <w:pPr>
              <w:pStyle w:val="771"/>
              <w:bidi w:val="0"/>
              <w:rPr>
                <w:color w:val="auto"/>
              </w:rPr>
            </w:pPr>
            <w:r>
              <w:rPr>
                <w:color w:val="auto"/>
              </w:rPr>
              <w:t>1</w:t>
            </w:r>
            <w:r>
              <w:rPr>
                <w:rFonts w:hint="eastAsia"/>
                <w:color w:val="auto"/>
              </w:rPr>
              <w:t>、基本污染物</w:t>
            </w:r>
          </w:p>
          <w:p w14:paraId="5E14ADB6">
            <w:pPr>
              <w:pStyle w:val="771"/>
              <w:bidi w:val="0"/>
              <w:rPr>
                <w:color w:val="auto"/>
              </w:rPr>
            </w:pPr>
            <w:r>
              <w:rPr>
                <w:color w:val="auto"/>
              </w:rPr>
              <w:t>本项目所在区域为环境空气二类功能区，环境空气中的基本污染物引用淮南市生态环境局发布的</w:t>
            </w:r>
            <w:r>
              <w:rPr>
                <w:rFonts w:hint="eastAsia"/>
                <w:color w:val="auto"/>
              </w:rPr>
              <w:t>《2024年淮南市生态环境质量状况公报》</w:t>
            </w:r>
            <w:r>
              <w:rPr>
                <w:color w:val="auto"/>
              </w:rPr>
              <w:t>中的内容，具体如下：</w:t>
            </w:r>
          </w:p>
          <w:p w14:paraId="3BA91201">
            <w:pPr>
              <w:pStyle w:val="771"/>
              <w:bidi w:val="0"/>
              <w:rPr>
                <w:rFonts w:hint="eastAsia"/>
                <w:color w:val="auto"/>
              </w:rPr>
            </w:pPr>
            <w:r>
              <w:rPr>
                <w:rFonts w:hint="default"/>
                <w:color w:val="auto"/>
              </w:rPr>
              <w:t>2024</w:t>
            </w:r>
            <w:r>
              <w:rPr>
                <w:rFonts w:hint="eastAsia"/>
                <w:color w:val="auto"/>
              </w:rPr>
              <w:t>年，全市环境空气质量一级（优）</w:t>
            </w:r>
            <w:r>
              <w:rPr>
                <w:rFonts w:hint="default"/>
                <w:color w:val="auto"/>
              </w:rPr>
              <w:t>65</w:t>
            </w:r>
            <w:r>
              <w:rPr>
                <w:rFonts w:hint="eastAsia"/>
                <w:color w:val="auto"/>
              </w:rPr>
              <w:t>天，二级（良）</w:t>
            </w:r>
            <w:r>
              <w:rPr>
                <w:rFonts w:hint="default"/>
                <w:color w:val="auto"/>
              </w:rPr>
              <w:t>218</w:t>
            </w:r>
            <w:r>
              <w:rPr>
                <w:rFonts w:hint="eastAsia"/>
                <w:color w:val="auto"/>
              </w:rPr>
              <w:t>天，三级（轻度污染）</w:t>
            </w:r>
            <w:r>
              <w:rPr>
                <w:rFonts w:hint="default"/>
                <w:color w:val="auto"/>
              </w:rPr>
              <w:t>69</w:t>
            </w:r>
            <w:r>
              <w:rPr>
                <w:rFonts w:hint="eastAsia"/>
                <w:color w:val="auto"/>
              </w:rPr>
              <w:t>天，四级（中度污染）</w:t>
            </w:r>
            <w:r>
              <w:rPr>
                <w:rFonts w:hint="default"/>
                <w:color w:val="auto"/>
              </w:rPr>
              <w:t>13</w:t>
            </w:r>
            <w:r>
              <w:rPr>
                <w:rFonts w:hint="eastAsia"/>
                <w:color w:val="auto"/>
              </w:rPr>
              <w:t>天，五级（重度污染）</w:t>
            </w:r>
            <w:r>
              <w:rPr>
                <w:rFonts w:hint="default"/>
                <w:color w:val="auto"/>
              </w:rPr>
              <w:t>1</w:t>
            </w:r>
            <w:r>
              <w:rPr>
                <w:rFonts w:hint="eastAsia"/>
                <w:color w:val="auto"/>
              </w:rPr>
              <w:t>天；全市年度环境空气达标天数比例为</w:t>
            </w:r>
            <w:r>
              <w:rPr>
                <w:rFonts w:hint="default"/>
                <w:color w:val="auto"/>
              </w:rPr>
              <w:t>77.3%</w:t>
            </w:r>
            <w:r>
              <w:rPr>
                <w:rFonts w:hint="eastAsia"/>
                <w:color w:val="auto"/>
              </w:rPr>
              <w:t>，与上年相比下降了</w:t>
            </w:r>
            <w:r>
              <w:rPr>
                <w:rFonts w:hint="default"/>
                <w:color w:val="auto"/>
              </w:rPr>
              <w:t>3.2</w:t>
            </w:r>
            <w:r>
              <w:rPr>
                <w:rFonts w:hint="eastAsia"/>
                <w:color w:val="auto"/>
              </w:rPr>
              <w:t>个百分点；全市环境空气综合指数为</w:t>
            </w:r>
            <w:r>
              <w:rPr>
                <w:rFonts w:hint="default"/>
                <w:color w:val="auto"/>
              </w:rPr>
              <w:t>3.87</w:t>
            </w:r>
            <w:r>
              <w:rPr>
                <w:rFonts w:hint="eastAsia"/>
                <w:color w:val="auto"/>
              </w:rPr>
              <w:t>，首要污染物为细颗粒物。</w:t>
            </w:r>
          </w:p>
          <w:p w14:paraId="3623ADF1">
            <w:pPr>
              <w:pStyle w:val="771"/>
              <w:bidi w:val="0"/>
              <w:rPr>
                <w:color w:val="auto"/>
              </w:rPr>
            </w:pPr>
            <w:r>
              <w:rPr>
                <w:rFonts w:hint="eastAsia"/>
                <w:color w:val="auto"/>
              </w:rPr>
              <w:t>细颗粒物（PM</w:t>
            </w:r>
            <w:r>
              <w:rPr>
                <w:rFonts w:hint="eastAsia"/>
                <w:color w:val="auto"/>
                <w:vertAlign w:val="subscript"/>
              </w:rPr>
              <w:t>2.5</w:t>
            </w:r>
            <w:r>
              <w:rPr>
                <w:rFonts w:hint="eastAsia"/>
                <w:color w:val="auto"/>
              </w:rPr>
              <w:t>）日均浓度范围为</w:t>
            </w:r>
            <w:r>
              <w:rPr>
                <w:rFonts w:hint="eastAsia"/>
                <w:color w:val="auto"/>
                <w:lang w:val="en-US" w:eastAsia="zh-CN"/>
              </w:rPr>
              <w:t>7</w:t>
            </w:r>
            <w:r>
              <w:rPr>
                <w:rFonts w:hint="eastAsia"/>
                <w:color w:val="auto"/>
              </w:rPr>
              <w:t>～</w:t>
            </w:r>
            <w:r>
              <w:rPr>
                <w:rFonts w:hint="eastAsia"/>
                <w:color w:val="auto"/>
                <w:lang w:val="en-US" w:eastAsia="zh-CN"/>
              </w:rPr>
              <w:t>156</w:t>
            </w:r>
            <w:r>
              <w:rPr>
                <w:rFonts w:hint="eastAsia"/>
                <w:color w:val="auto"/>
              </w:rPr>
              <w:t>微克/立方米，日均值达标率为</w:t>
            </w:r>
            <w:r>
              <w:rPr>
                <w:rFonts w:hint="eastAsia"/>
                <w:color w:val="auto"/>
                <w:lang w:val="en-US" w:eastAsia="zh-CN"/>
              </w:rPr>
              <w:t>87.6</w:t>
            </w:r>
            <w:r>
              <w:rPr>
                <w:rFonts w:hint="eastAsia"/>
                <w:color w:val="auto"/>
              </w:rPr>
              <w:t>%。年均值为</w:t>
            </w:r>
            <w:r>
              <w:rPr>
                <w:rFonts w:hint="eastAsia"/>
                <w:color w:val="auto"/>
                <w:lang w:val="en-US" w:eastAsia="zh-CN"/>
              </w:rPr>
              <w:t>40.0</w:t>
            </w:r>
            <w:r>
              <w:rPr>
                <w:rFonts w:hint="eastAsia"/>
                <w:color w:val="auto"/>
              </w:rPr>
              <w:t>微克/立方米，与上年相比</w:t>
            </w:r>
            <w:r>
              <w:rPr>
                <w:rFonts w:hint="eastAsia"/>
                <w:color w:val="auto"/>
                <w:lang w:eastAsia="zh-CN"/>
              </w:rPr>
              <w:t>上升</w:t>
            </w:r>
            <w:r>
              <w:rPr>
                <w:rFonts w:hint="eastAsia"/>
                <w:color w:val="auto"/>
              </w:rPr>
              <w:t>了</w:t>
            </w:r>
            <w:r>
              <w:rPr>
                <w:rFonts w:hint="eastAsia"/>
                <w:color w:val="auto"/>
                <w:lang w:val="en-US" w:eastAsia="zh-CN"/>
              </w:rPr>
              <w:t>3.4</w:t>
            </w:r>
            <w:r>
              <w:rPr>
                <w:rFonts w:hint="eastAsia"/>
                <w:color w:val="auto"/>
              </w:rPr>
              <w:t>个百分点。</w:t>
            </w:r>
          </w:p>
          <w:p w14:paraId="2F215F6A">
            <w:pPr>
              <w:pStyle w:val="771"/>
              <w:bidi w:val="0"/>
              <w:rPr>
                <w:color w:val="auto"/>
              </w:rPr>
            </w:pPr>
            <w:r>
              <w:rPr>
                <w:rFonts w:hint="eastAsia"/>
                <w:color w:val="auto"/>
              </w:rPr>
              <w:t>可吸入颗粒物（PM</w:t>
            </w:r>
            <w:r>
              <w:rPr>
                <w:rFonts w:hint="eastAsia"/>
                <w:color w:val="auto"/>
                <w:vertAlign w:val="subscript"/>
              </w:rPr>
              <w:t>10</w:t>
            </w:r>
            <w:r>
              <w:rPr>
                <w:rFonts w:hint="eastAsia"/>
                <w:color w:val="auto"/>
              </w:rPr>
              <w:t>）日均浓度范围为</w:t>
            </w:r>
            <w:r>
              <w:rPr>
                <w:rFonts w:hint="eastAsia"/>
                <w:color w:val="auto"/>
                <w:lang w:val="en-US" w:eastAsia="zh-CN"/>
              </w:rPr>
              <w:t>10</w:t>
            </w:r>
            <w:r>
              <w:rPr>
                <w:rFonts w:hint="eastAsia"/>
                <w:color w:val="auto"/>
              </w:rPr>
              <w:t>～</w:t>
            </w:r>
            <w:r>
              <w:rPr>
                <w:rFonts w:hint="eastAsia"/>
                <w:color w:val="auto"/>
                <w:lang w:val="en-US" w:eastAsia="zh-CN"/>
              </w:rPr>
              <w:t>262</w:t>
            </w:r>
            <w:r>
              <w:rPr>
                <w:rFonts w:hint="eastAsia"/>
                <w:color w:val="auto"/>
              </w:rPr>
              <w:t>微克/立方米，日均值达标率为</w:t>
            </w:r>
            <w:r>
              <w:rPr>
                <w:rFonts w:hint="eastAsia"/>
                <w:color w:val="auto"/>
                <w:lang w:val="en-US" w:eastAsia="zh-CN"/>
              </w:rPr>
              <w:t>96.0</w:t>
            </w:r>
            <w:r>
              <w:rPr>
                <w:rFonts w:hint="eastAsia"/>
                <w:color w:val="auto"/>
              </w:rPr>
              <w:t>%。年均值为</w:t>
            </w:r>
            <w:r>
              <w:rPr>
                <w:rFonts w:hint="eastAsia"/>
                <w:color w:val="auto"/>
                <w:lang w:val="en-US" w:eastAsia="zh-CN"/>
              </w:rPr>
              <w:t>65.0</w:t>
            </w:r>
            <w:r>
              <w:rPr>
                <w:rFonts w:hint="eastAsia"/>
                <w:color w:val="auto"/>
              </w:rPr>
              <w:t>微克/立方米，与上年相比下降了</w:t>
            </w:r>
            <w:r>
              <w:rPr>
                <w:rFonts w:hint="eastAsia"/>
                <w:color w:val="auto"/>
                <w:lang w:val="en-US" w:eastAsia="zh-CN"/>
              </w:rPr>
              <w:t>1.4</w:t>
            </w:r>
            <w:r>
              <w:rPr>
                <w:rFonts w:hint="eastAsia"/>
                <w:color w:val="auto"/>
              </w:rPr>
              <w:t>个百分点。</w:t>
            </w:r>
          </w:p>
          <w:p w14:paraId="32E8FAD4">
            <w:pPr>
              <w:pStyle w:val="771"/>
              <w:bidi w:val="0"/>
              <w:rPr>
                <w:color w:val="auto"/>
              </w:rPr>
            </w:pPr>
            <w:r>
              <w:rPr>
                <w:rFonts w:hint="eastAsia"/>
                <w:color w:val="auto"/>
              </w:rPr>
              <w:t>二氧化氮（NO</w:t>
            </w:r>
            <w:r>
              <w:rPr>
                <w:rFonts w:hint="eastAsia"/>
                <w:color w:val="auto"/>
                <w:vertAlign w:val="subscript"/>
              </w:rPr>
              <w:t>2</w:t>
            </w:r>
            <w:r>
              <w:rPr>
                <w:rFonts w:hint="eastAsia"/>
                <w:color w:val="auto"/>
              </w:rPr>
              <w:t>）日均浓度范围为</w:t>
            </w:r>
            <w:r>
              <w:rPr>
                <w:rFonts w:hint="eastAsia"/>
                <w:color w:val="auto"/>
                <w:lang w:val="en-US" w:eastAsia="zh-CN"/>
              </w:rPr>
              <w:t>5</w:t>
            </w:r>
            <w:r>
              <w:rPr>
                <w:rFonts w:hint="eastAsia"/>
                <w:color w:val="auto"/>
              </w:rPr>
              <w:t>～</w:t>
            </w:r>
            <w:r>
              <w:rPr>
                <w:rFonts w:hint="eastAsia"/>
                <w:color w:val="auto"/>
                <w:lang w:val="en-US" w:eastAsia="zh-CN"/>
              </w:rPr>
              <w:t>47</w:t>
            </w:r>
            <w:r>
              <w:rPr>
                <w:rFonts w:hint="eastAsia"/>
                <w:color w:val="auto"/>
              </w:rPr>
              <w:t>微克/立方米，日均值达标率为100%。年均浓度为</w:t>
            </w:r>
            <w:r>
              <w:rPr>
                <w:rFonts w:hint="eastAsia"/>
                <w:color w:val="auto"/>
                <w:lang w:val="en-US" w:eastAsia="zh-CN"/>
              </w:rPr>
              <w:t>19</w:t>
            </w:r>
            <w:r>
              <w:rPr>
                <w:rFonts w:hint="eastAsia"/>
                <w:color w:val="auto"/>
              </w:rPr>
              <w:t>微克/立方米，与上年相比</w:t>
            </w:r>
            <w:r>
              <w:rPr>
                <w:rFonts w:hint="eastAsia"/>
                <w:color w:val="auto"/>
                <w:lang w:eastAsia="zh-CN"/>
              </w:rPr>
              <w:t>下降</w:t>
            </w:r>
            <w:r>
              <w:rPr>
                <w:rFonts w:hint="eastAsia"/>
                <w:color w:val="auto"/>
              </w:rPr>
              <w:t>了</w:t>
            </w:r>
            <w:r>
              <w:rPr>
                <w:rFonts w:hint="eastAsia"/>
                <w:color w:val="auto"/>
                <w:lang w:val="en-US" w:eastAsia="zh-CN"/>
              </w:rPr>
              <w:t>9</w:t>
            </w:r>
            <w:r>
              <w:rPr>
                <w:rFonts w:hint="eastAsia"/>
                <w:color w:val="auto"/>
              </w:rPr>
              <w:t>.5个百分点。</w:t>
            </w:r>
          </w:p>
          <w:p w14:paraId="490B3F96">
            <w:pPr>
              <w:pStyle w:val="771"/>
              <w:bidi w:val="0"/>
              <w:rPr>
                <w:color w:val="auto"/>
              </w:rPr>
            </w:pPr>
            <w:r>
              <w:rPr>
                <w:rFonts w:hint="eastAsia"/>
                <w:color w:val="auto"/>
              </w:rPr>
              <w:t>二氧化硫（SO</w:t>
            </w:r>
            <w:r>
              <w:rPr>
                <w:rFonts w:hint="eastAsia"/>
                <w:color w:val="auto"/>
                <w:vertAlign w:val="subscript"/>
              </w:rPr>
              <w:t>2</w:t>
            </w:r>
            <w:r>
              <w:rPr>
                <w:rFonts w:hint="eastAsia"/>
                <w:color w:val="auto"/>
              </w:rPr>
              <w:t>）日均浓度范围为</w:t>
            </w:r>
            <w:r>
              <w:rPr>
                <w:rFonts w:hint="eastAsia"/>
                <w:color w:val="auto"/>
                <w:lang w:val="en-US" w:eastAsia="zh-CN"/>
              </w:rPr>
              <w:t>2</w:t>
            </w:r>
            <w:r>
              <w:rPr>
                <w:rFonts w:hint="eastAsia"/>
                <w:color w:val="auto"/>
              </w:rPr>
              <w:t>～1</w:t>
            </w:r>
            <w:r>
              <w:rPr>
                <w:rFonts w:hint="eastAsia"/>
                <w:color w:val="auto"/>
                <w:lang w:val="en-US" w:eastAsia="zh-CN"/>
              </w:rPr>
              <w:t>3</w:t>
            </w:r>
            <w:r>
              <w:rPr>
                <w:rFonts w:hint="eastAsia"/>
                <w:color w:val="auto"/>
              </w:rPr>
              <w:t>微克/立方米，日均值达标率为100%。年均浓度为</w:t>
            </w:r>
            <w:r>
              <w:rPr>
                <w:rFonts w:hint="eastAsia"/>
                <w:color w:val="auto"/>
                <w:lang w:val="en-US" w:eastAsia="zh-CN"/>
              </w:rPr>
              <w:t>7</w:t>
            </w:r>
            <w:r>
              <w:rPr>
                <w:rFonts w:hint="eastAsia"/>
                <w:color w:val="auto"/>
              </w:rPr>
              <w:t>微克/立方米，与上年相比</w:t>
            </w:r>
            <w:r>
              <w:rPr>
                <w:rFonts w:hint="eastAsia"/>
                <w:color w:val="auto"/>
                <w:lang w:eastAsia="zh-CN"/>
              </w:rPr>
              <w:t>下降</w:t>
            </w:r>
            <w:r>
              <w:rPr>
                <w:rFonts w:hint="eastAsia"/>
                <w:color w:val="auto"/>
              </w:rPr>
              <w:t>了</w:t>
            </w:r>
            <w:r>
              <w:rPr>
                <w:rFonts w:hint="eastAsia"/>
                <w:color w:val="auto"/>
                <w:lang w:val="en-US" w:eastAsia="zh-CN"/>
              </w:rPr>
              <w:t>12</w:t>
            </w:r>
            <w:r>
              <w:rPr>
                <w:rFonts w:hint="eastAsia"/>
                <w:color w:val="auto"/>
              </w:rPr>
              <w:t>.5个百分点。</w:t>
            </w:r>
          </w:p>
          <w:p w14:paraId="08203E69">
            <w:pPr>
              <w:pStyle w:val="771"/>
              <w:bidi w:val="0"/>
              <w:rPr>
                <w:color w:val="auto"/>
              </w:rPr>
            </w:pPr>
            <w:r>
              <w:rPr>
                <w:rFonts w:hint="eastAsia"/>
                <w:color w:val="auto"/>
              </w:rPr>
              <w:t>一氧化碳（CO）日均浓度范围为0.2～1.</w:t>
            </w:r>
            <w:r>
              <w:rPr>
                <w:rFonts w:hint="eastAsia"/>
                <w:color w:val="auto"/>
                <w:lang w:val="en-US" w:eastAsia="zh-CN"/>
              </w:rPr>
              <w:t>1</w:t>
            </w:r>
            <w:r>
              <w:rPr>
                <w:rFonts w:hint="eastAsia"/>
                <w:color w:val="auto"/>
              </w:rPr>
              <w:t>毫克/立方米，日均值达标率为100%。日均值第95百分位数为0.</w:t>
            </w:r>
            <w:r>
              <w:rPr>
                <w:rFonts w:hint="eastAsia"/>
                <w:color w:val="auto"/>
                <w:lang w:val="en-US" w:eastAsia="zh-CN"/>
              </w:rPr>
              <w:t>8</w:t>
            </w:r>
            <w:r>
              <w:rPr>
                <w:rFonts w:hint="eastAsia"/>
                <w:color w:val="auto"/>
              </w:rPr>
              <w:t>毫克/立方米，与上年相比</w:t>
            </w:r>
            <w:r>
              <w:rPr>
                <w:rFonts w:hint="eastAsia"/>
                <w:color w:val="auto"/>
                <w:lang w:eastAsia="zh-CN"/>
              </w:rPr>
              <w:t>上升</w:t>
            </w:r>
            <w:r>
              <w:rPr>
                <w:rFonts w:hint="eastAsia"/>
                <w:color w:val="auto"/>
              </w:rPr>
              <w:t>了</w:t>
            </w:r>
            <w:r>
              <w:rPr>
                <w:rFonts w:hint="eastAsia"/>
                <w:color w:val="auto"/>
                <w:lang w:val="en-US" w:eastAsia="zh-CN"/>
              </w:rPr>
              <w:t>14.3</w:t>
            </w:r>
            <w:r>
              <w:rPr>
                <w:rFonts w:hint="eastAsia"/>
                <w:color w:val="auto"/>
              </w:rPr>
              <w:t>个百分点。</w:t>
            </w:r>
          </w:p>
          <w:p w14:paraId="141F4B35">
            <w:pPr>
              <w:pStyle w:val="771"/>
              <w:bidi w:val="0"/>
              <w:rPr>
                <w:color w:val="auto"/>
              </w:rPr>
            </w:pPr>
            <w:r>
              <w:rPr>
                <w:rFonts w:hint="eastAsia"/>
                <w:color w:val="auto"/>
              </w:rPr>
              <w:t>臭氧日最大8小时（O</w:t>
            </w:r>
            <w:r>
              <w:rPr>
                <w:rFonts w:hint="eastAsia"/>
                <w:color w:val="auto"/>
                <w:vertAlign w:val="subscript"/>
              </w:rPr>
              <w:t>3</w:t>
            </w:r>
            <w:r>
              <w:rPr>
                <w:rFonts w:hint="eastAsia"/>
                <w:color w:val="auto"/>
              </w:rPr>
              <w:t>-8h）滑动平均值范围为</w:t>
            </w:r>
            <w:r>
              <w:rPr>
                <w:rFonts w:hint="eastAsia"/>
                <w:color w:val="auto"/>
                <w:lang w:val="en-US" w:eastAsia="zh-CN"/>
              </w:rPr>
              <w:t>16</w:t>
            </w:r>
            <w:r>
              <w:rPr>
                <w:rFonts w:hint="eastAsia"/>
                <w:color w:val="auto"/>
              </w:rPr>
              <w:t>～</w:t>
            </w:r>
            <w:r>
              <w:rPr>
                <w:rFonts w:hint="eastAsia"/>
                <w:color w:val="auto"/>
                <w:lang w:val="en-US" w:eastAsia="zh-CN"/>
              </w:rPr>
              <w:t>227</w:t>
            </w:r>
            <w:r>
              <w:rPr>
                <w:rFonts w:hint="eastAsia"/>
                <w:color w:val="auto"/>
              </w:rPr>
              <w:t>微克/立方米，达标率为</w:t>
            </w:r>
            <w:r>
              <w:rPr>
                <w:rFonts w:hint="eastAsia"/>
                <w:color w:val="auto"/>
                <w:lang w:val="en-US" w:eastAsia="zh-CN"/>
              </w:rPr>
              <w:t>90.4</w:t>
            </w:r>
            <w:r>
              <w:rPr>
                <w:rFonts w:hint="eastAsia"/>
                <w:color w:val="auto"/>
              </w:rPr>
              <w:t>%。日最大8小时滑动平均值第90百分位数为</w:t>
            </w:r>
            <w:r>
              <w:rPr>
                <w:rFonts w:hint="eastAsia"/>
                <w:color w:val="auto"/>
                <w:lang w:val="en-US" w:eastAsia="zh-CN"/>
              </w:rPr>
              <w:t>160</w:t>
            </w:r>
            <w:r>
              <w:rPr>
                <w:rFonts w:hint="eastAsia"/>
                <w:color w:val="auto"/>
              </w:rPr>
              <w:t>微克/立方米，与上年相比上升了</w:t>
            </w:r>
            <w:r>
              <w:rPr>
                <w:rFonts w:hint="eastAsia"/>
                <w:color w:val="auto"/>
                <w:lang w:val="en-US" w:eastAsia="zh-CN"/>
              </w:rPr>
              <w:t>1.9</w:t>
            </w:r>
            <w:r>
              <w:rPr>
                <w:rFonts w:hint="eastAsia"/>
                <w:color w:val="auto"/>
              </w:rPr>
              <w:t>个百分点。</w:t>
            </w:r>
          </w:p>
          <w:p w14:paraId="566F5E24">
            <w:pPr>
              <w:pStyle w:val="771"/>
              <w:bidi w:val="0"/>
              <w:rPr>
                <w:color w:val="auto"/>
              </w:rPr>
            </w:pPr>
            <w:r>
              <w:rPr>
                <w:rFonts w:hint="eastAsia"/>
                <w:color w:val="auto"/>
              </w:rPr>
              <w:t>依据《202</w:t>
            </w:r>
            <w:r>
              <w:rPr>
                <w:rFonts w:hint="eastAsia"/>
                <w:color w:val="auto"/>
                <w:lang w:val="en-US" w:eastAsia="zh-CN"/>
              </w:rPr>
              <w:t>4</w:t>
            </w:r>
            <w:r>
              <w:rPr>
                <w:rFonts w:hint="eastAsia"/>
                <w:color w:val="auto"/>
              </w:rPr>
              <w:t>年淮南市</w:t>
            </w:r>
            <w:r>
              <w:rPr>
                <w:rFonts w:hint="eastAsia"/>
                <w:color w:val="auto"/>
                <w:lang w:eastAsia="zh-CN"/>
              </w:rPr>
              <w:t>生态</w:t>
            </w:r>
            <w:r>
              <w:rPr>
                <w:rFonts w:hint="eastAsia"/>
                <w:color w:val="auto"/>
              </w:rPr>
              <w:t>环境质量状况公报》，区域空气质量现状如下表所示。</w:t>
            </w:r>
          </w:p>
          <w:p w14:paraId="07707834">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区域空气质量现状评价表</w:t>
            </w:r>
          </w:p>
          <w:tbl>
            <w:tblPr>
              <w:tblStyle w:val="53"/>
              <w:tblpPr w:leftFromText="180" w:rightFromText="180" w:vertAnchor="text" w:tblpXSpec="center" w:tblpY="1"/>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4"/>
              <w:gridCol w:w="3089"/>
              <w:gridCol w:w="1177"/>
              <w:gridCol w:w="1177"/>
              <w:gridCol w:w="1177"/>
              <w:gridCol w:w="919"/>
            </w:tblGrid>
            <w:tr w14:paraId="4229A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8" w:type="pct"/>
                  <w:vAlign w:val="center"/>
                </w:tcPr>
                <w:p w14:paraId="1DA07939">
                  <w:pPr>
                    <w:pStyle w:val="287"/>
                    <w:framePr w:hSpace="0" w:wrap="auto" w:vAnchor="margin" w:hAnchor="text" w:xAlign="left" w:yAlign="inline"/>
                    <w:rPr>
                      <w:color w:val="auto"/>
                    </w:rPr>
                  </w:pPr>
                  <w:r>
                    <w:rPr>
                      <w:color w:val="auto"/>
                    </w:rPr>
                    <w:t>污染物</w:t>
                  </w:r>
                </w:p>
              </w:tc>
              <w:tc>
                <w:tcPr>
                  <w:tcW w:w="1803" w:type="pct"/>
                  <w:vAlign w:val="center"/>
                </w:tcPr>
                <w:p w14:paraId="6753E400">
                  <w:pPr>
                    <w:pStyle w:val="287"/>
                    <w:framePr w:hSpace="0" w:wrap="auto" w:vAnchor="margin" w:hAnchor="text" w:xAlign="left" w:yAlign="inline"/>
                    <w:rPr>
                      <w:color w:val="auto"/>
                    </w:rPr>
                  </w:pPr>
                  <w:r>
                    <w:rPr>
                      <w:color w:val="auto"/>
                    </w:rPr>
                    <w:t>年评价指标</w:t>
                  </w:r>
                </w:p>
              </w:tc>
              <w:tc>
                <w:tcPr>
                  <w:tcW w:w="687" w:type="pct"/>
                  <w:vAlign w:val="center"/>
                </w:tcPr>
                <w:p w14:paraId="6843B620">
                  <w:pPr>
                    <w:pStyle w:val="287"/>
                    <w:framePr w:hSpace="0" w:wrap="auto" w:vAnchor="margin" w:hAnchor="text" w:xAlign="left" w:yAlign="inline"/>
                    <w:rPr>
                      <w:color w:val="auto"/>
                    </w:rPr>
                  </w:pPr>
                  <w:r>
                    <w:rPr>
                      <w:color w:val="auto"/>
                    </w:rPr>
                    <w:t>现状浓度</w:t>
                  </w:r>
                </w:p>
                <w:p w14:paraId="0B7CEF04">
                  <w:pPr>
                    <w:pStyle w:val="287"/>
                    <w:framePr w:hSpace="0" w:wrap="auto" w:vAnchor="margin" w:hAnchor="text" w:xAlign="left" w:yAlign="inline"/>
                    <w:rPr>
                      <w:color w:val="auto"/>
                    </w:rPr>
                  </w:pPr>
                  <w:r>
                    <w:rPr>
                      <w:color w:val="auto"/>
                    </w:rPr>
                    <w:t>（μg/m</w:t>
                  </w:r>
                  <w:r>
                    <w:rPr>
                      <w:color w:val="auto"/>
                      <w:vertAlign w:val="superscript"/>
                    </w:rPr>
                    <w:t>3</w:t>
                  </w:r>
                  <w:r>
                    <w:rPr>
                      <w:color w:val="auto"/>
                    </w:rPr>
                    <w:t>）</w:t>
                  </w:r>
                </w:p>
              </w:tc>
              <w:tc>
                <w:tcPr>
                  <w:tcW w:w="687" w:type="pct"/>
                  <w:vAlign w:val="center"/>
                </w:tcPr>
                <w:p w14:paraId="21F59B5C">
                  <w:pPr>
                    <w:pStyle w:val="287"/>
                    <w:framePr w:hSpace="0" w:wrap="auto" w:vAnchor="margin" w:hAnchor="text" w:xAlign="left" w:yAlign="inline"/>
                    <w:rPr>
                      <w:color w:val="auto"/>
                    </w:rPr>
                  </w:pPr>
                  <w:r>
                    <w:rPr>
                      <w:color w:val="auto"/>
                    </w:rPr>
                    <w:t>标准值</w:t>
                  </w:r>
                </w:p>
                <w:p w14:paraId="64377386">
                  <w:pPr>
                    <w:pStyle w:val="287"/>
                    <w:framePr w:hSpace="0" w:wrap="auto" w:vAnchor="margin" w:hAnchor="text" w:xAlign="left" w:yAlign="inline"/>
                    <w:rPr>
                      <w:color w:val="auto"/>
                    </w:rPr>
                  </w:pPr>
                  <w:r>
                    <w:rPr>
                      <w:color w:val="auto"/>
                    </w:rPr>
                    <w:t>（μg/m</w:t>
                  </w:r>
                  <w:r>
                    <w:rPr>
                      <w:color w:val="auto"/>
                      <w:vertAlign w:val="superscript"/>
                    </w:rPr>
                    <w:t>3</w:t>
                  </w:r>
                  <w:r>
                    <w:rPr>
                      <w:color w:val="auto"/>
                    </w:rPr>
                    <w:t>）</w:t>
                  </w:r>
                </w:p>
              </w:tc>
              <w:tc>
                <w:tcPr>
                  <w:tcW w:w="687" w:type="pct"/>
                  <w:vAlign w:val="center"/>
                </w:tcPr>
                <w:p w14:paraId="3023F2DC">
                  <w:pPr>
                    <w:pStyle w:val="287"/>
                    <w:framePr w:hSpace="0" w:wrap="auto" w:vAnchor="margin" w:hAnchor="text" w:xAlign="left" w:yAlign="inline"/>
                    <w:rPr>
                      <w:color w:val="auto"/>
                    </w:rPr>
                  </w:pPr>
                  <w:r>
                    <w:rPr>
                      <w:color w:val="auto"/>
                    </w:rPr>
                    <w:t>占标率</w:t>
                  </w:r>
                </w:p>
                <w:p w14:paraId="01227F97">
                  <w:pPr>
                    <w:pStyle w:val="287"/>
                    <w:framePr w:hSpace="0" w:wrap="auto" w:vAnchor="margin" w:hAnchor="text" w:xAlign="left" w:yAlign="inline"/>
                    <w:rPr>
                      <w:color w:val="auto"/>
                    </w:rPr>
                  </w:pPr>
                  <w:r>
                    <w:rPr>
                      <w:color w:val="auto"/>
                    </w:rPr>
                    <w:t>（%）</w:t>
                  </w:r>
                </w:p>
              </w:tc>
              <w:tc>
                <w:tcPr>
                  <w:tcW w:w="536" w:type="pct"/>
                  <w:vAlign w:val="center"/>
                </w:tcPr>
                <w:p w14:paraId="56744A52">
                  <w:pPr>
                    <w:pStyle w:val="287"/>
                    <w:framePr w:hSpace="0" w:wrap="auto" w:vAnchor="margin" w:hAnchor="text" w:xAlign="left" w:yAlign="inline"/>
                    <w:rPr>
                      <w:color w:val="auto"/>
                    </w:rPr>
                  </w:pPr>
                  <w:r>
                    <w:rPr>
                      <w:color w:val="auto"/>
                    </w:rPr>
                    <w:t>达标情况</w:t>
                  </w:r>
                </w:p>
              </w:tc>
            </w:tr>
            <w:tr w14:paraId="1C8BD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8" w:type="pct"/>
                  <w:vAlign w:val="center"/>
                </w:tcPr>
                <w:p w14:paraId="0E42C8F1">
                  <w:pPr>
                    <w:pStyle w:val="287"/>
                    <w:framePr w:hSpace="0" w:wrap="auto" w:vAnchor="margin" w:hAnchor="text" w:xAlign="left" w:yAlign="inline"/>
                    <w:rPr>
                      <w:color w:val="auto"/>
                    </w:rPr>
                  </w:pPr>
                  <w:r>
                    <w:rPr>
                      <w:color w:val="auto"/>
                    </w:rPr>
                    <w:t>SO</w:t>
                  </w:r>
                  <w:r>
                    <w:rPr>
                      <w:color w:val="auto"/>
                      <w:vertAlign w:val="subscript"/>
                    </w:rPr>
                    <w:t>2</w:t>
                  </w:r>
                </w:p>
              </w:tc>
              <w:tc>
                <w:tcPr>
                  <w:tcW w:w="1803" w:type="pct"/>
                  <w:vAlign w:val="center"/>
                </w:tcPr>
                <w:p w14:paraId="5507736B">
                  <w:pPr>
                    <w:pStyle w:val="287"/>
                    <w:framePr w:hSpace="0" w:wrap="auto" w:vAnchor="margin" w:hAnchor="text" w:xAlign="left" w:yAlign="inline"/>
                    <w:rPr>
                      <w:color w:val="auto"/>
                    </w:rPr>
                  </w:pPr>
                  <w:r>
                    <w:rPr>
                      <w:color w:val="auto"/>
                    </w:rPr>
                    <w:t>年平均质量浓度</w:t>
                  </w:r>
                </w:p>
              </w:tc>
              <w:tc>
                <w:tcPr>
                  <w:tcW w:w="687" w:type="pct"/>
                  <w:shd w:val="clear" w:color="auto" w:fill="auto"/>
                  <w:vAlign w:val="center"/>
                </w:tcPr>
                <w:p w14:paraId="2EF32873">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lang w:val="en-US" w:eastAsia="zh-CN"/>
                    </w:rPr>
                    <w:t>7</w:t>
                  </w:r>
                </w:p>
              </w:tc>
              <w:tc>
                <w:tcPr>
                  <w:tcW w:w="687" w:type="pct"/>
                  <w:shd w:val="clear" w:color="auto" w:fill="auto"/>
                  <w:vAlign w:val="center"/>
                </w:tcPr>
                <w:p w14:paraId="2D2877FB">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60</w:t>
                  </w:r>
                </w:p>
              </w:tc>
              <w:tc>
                <w:tcPr>
                  <w:tcW w:w="687" w:type="pct"/>
                  <w:shd w:val="clear" w:color="auto" w:fill="auto"/>
                  <w:vAlign w:val="center"/>
                </w:tcPr>
                <w:p w14:paraId="32EA1BD5">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11.7</w:t>
                  </w:r>
                </w:p>
              </w:tc>
              <w:tc>
                <w:tcPr>
                  <w:tcW w:w="536" w:type="pct"/>
                  <w:shd w:val="clear" w:color="auto" w:fill="auto"/>
                  <w:vAlign w:val="center"/>
                </w:tcPr>
                <w:p w14:paraId="0F440C4F">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达标</w:t>
                  </w:r>
                </w:p>
              </w:tc>
            </w:tr>
            <w:tr w14:paraId="3B7C9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8" w:type="pct"/>
                  <w:vAlign w:val="center"/>
                </w:tcPr>
                <w:p w14:paraId="77FCF322">
                  <w:pPr>
                    <w:pStyle w:val="287"/>
                    <w:framePr w:hSpace="0" w:wrap="auto" w:vAnchor="margin" w:hAnchor="text" w:xAlign="left" w:yAlign="inline"/>
                    <w:rPr>
                      <w:color w:val="auto"/>
                    </w:rPr>
                  </w:pPr>
                  <w:r>
                    <w:rPr>
                      <w:color w:val="auto"/>
                    </w:rPr>
                    <w:t>NO</w:t>
                  </w:r>
                  <w:r>
                    <w:rPr>
                      <w:color w:val="auto"/>
                      <w:vertAlign w:val="subscript"/>
                    </w:rPr>
                    <w:t>2</w:t>
                  </w:r>
                </w:p>
              </w:tc>
              <w:tc>
                <w:tcPr>
                  <w:tcW w:w="1803" w:type="pct"/>
                  <w:vAlign w:val="center"/>
                </w:tcPr>
                <w:p w14:paraId="43EEB006">
                  <w:pPr>
                    <w:pStyle w:val="287"/>
                    <w:framePr w:hSpace="0" w:wrap="auto" w:vAnchor="margin" w:hAnchor="text" w:xAlign="left" w:yAlign="inline"/>
                    <w:rPr>
                      <w:color w:val="auto"/>
                    </w:rPr>
                  </w:pPr>
                  <w:r>
                    <w:rPr>
                      <w:color w:val="auto"/>
                    </w:rPr>
                    <w:t>年平均质量浓度</w:t>
                  </w:r>
                </w:p>
              </w:tc>
              <w:tc>
                <w:tcPr>
                  <w:tcW w:w="687" w:type="pct"/>
                  <w:shd w:val="clear" w:color="auto" w:fill="auto"/>
                  <w:vAlign w:val="center"/>
                </w:tcPr>
                <w:p w14:paraId="46377DA3">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19</w:t>
                  </w:r>
                </w:p>
              </w:tc>
              <w:tc>
                <w:tcPr>
                  <w:tcW w:w="687" w:type="pct"/>
                  <w:shd w:val="clear" w:color="auto" w:fill="auto"/>
                  <w:vAlign w:val="center"/>
                </w:tcPr>
                <w:p w14:paraId="386932DE">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40</w:t>
                  </w:r>
                </w:p>
              </w:tc>
              <w:tc>
                <w:tcPr>
                  <w:tcW w:w="687" w:type="pct"/>
                  <w:shd w:val="clear" w:color="auto" w:fill="auto"/>
                  <w:vAlign w:val="center"/>
                </w:tcPr>
                <w:p w14:paraId="3CA4DE32">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47.5</w:t>
                  </w:r>
                </w:p>
              </w:tc>
              <w:tc>
                <w:tcPr>
                  <w:tcW w:w="536" w:type="pct"/>
                  <w:shd w:val="clear" w:color="auto" w:fill="auto"/>
                  <w:vAlign w:val="center"/>
                </w:tcPr>
                <w:p w14:paraId="4FA93CB3">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达标</w:t>
                  </w:r>
                </w:p>
              </w:tc>
            </w:tr>
            <w:tr w14:paraId="0DE7C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8" w:type="pct"/>
                  <w:vAlign w:val="center"/>
                </w:tcPr>
                <w:p w14:paraId="791B5379">
                  <w:pPr>
                    <w:pStyle w:val="287"/>
                    <w:framePr w:hSpace="0" w:wrap="auto" w:vAnchor="margin" w:hAnchor="text" w:xAlign="left" w:yAlign="inline"/>
                    <w:rPr>
                      <w:color w:val="auto"/>
                    </w:rPr>
                  </w:pPr>
                  <w:r>
                    <w:rPr>
                      <w:color w:val="auto"/>
                    </w:rPr>
                    <w:t>PM</w:t>
                  </w:r>
                  <w:r>
                    <w:rPr>
                      <w:color w:val="auto"/>
                      <w:vertAlign w:val="subscript"/>
                    </w:rPr>
                    <w:t>10</w:t>
                  </w:r>
                </w:p>
              </w:tc>
              <w:tc>
                <w:tcPr>
                  <w:tcW w:w="1803" w:type="pct"/>
                  <w:vAlign w:val="center"/>
                </w:tcPr>
                <w:p w14:paraId="0F4DECC1">
                  <w:pPr>
                    <w:pStyle w:val="287"/>
                    <w:framePr w:hSpace="0" w:wrap="auto" w:vAnchor="margin" w:hAnchor="text" w:xAlign="left" w:yAlign="inline"/>
                    <w:rPr>
                      <w:color w:val="auto"/>
                    </w:rPr>
                  </w:pPr>
                  <w:r>
                    <w:rPr>
                      <w:color w:val="auto"/>
                    </w:rPr>
                    <w:t>年平均质量浓度</w:t>
                  </w:r>
                </w:p>
              </w:tc>
              <w:tc>
                <w:tcPr>
                  <w:tcW w:w="687" w:type="pct"/>
                  <w:shd w:val="clear" w:color="auto" w:fill="auto"/>
                  <w:vAlign w:val="center"/>
                </w:tcPr>
                <w:p w14:paraId="5B931018">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65.0</w:t>
                  </w:r>
                </w:p>
              </w:tc>
              <w:tc>
                <w:tcPr>
                  <w:tcW w:w="687" w:type="pct"/>
                  <w:shd w:val="clear" w:color="auto" w:fill="auto"/>
                  <w:vAlign w:val="center"/>
                </w:tcPr>
                <w:p w14:paraId="1E5EBA95">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70</w:t>
                  </w:r>
                </w:p>
              </w:tc>
              <w:tc>
                <w:tcPr>
                  <w:tcW w:w="687" w:type="pct"/>
                  <w:shd w:val="clear" w:color="auto" w:fill="auto"/>
                  <w:vAlign w:val="center"/>
                </w:tcPr>
                <w:p w14:paraId="14FE48F2">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92.9</w:t>
                  </w:r>
                </w:p>
              </w:tc>
              <w:tc>
                <w:tcPr>
                  <w:tcW w:w="536" w:type="pct"/>
                  <w:shd w:val="clear" w:color="auto" w:fill="auto"/>
                  <w:vAlign w:val="center"/>
                </w:tcPr>
                <w:p w14:paraId="0F788909">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达标</w:t>
                  </w:r>
                </w:p>
              </w:tc>
            </w:tr>
            <w:tr w14:paraId="14605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8" w:type="pct"/>
                  <w:vAlign w:val="center"/>
                </w:tcPr>
                <w:p w14:paraId="0877F188">
                  <w:pPr>
                    <w:pStyle w:val="287"/>
                    <w:framePr w:hSpace="0" w:wrap="auto" w:vAnchor="margin" w:hAnchor="text" w:xAlign="left" w:yAlign="inline"/>
                    <w:rPr>
                      <w:color w:val="auto"/>
                    </w:rPr>
                  </w:pPr>
                  <w:r>
                    <w:rPr>
                      <w:color w:val="auto"/>
                    </w:rPr>
                    <w:t>PM</w:t>
                  </w:r>
                  <w:r>
                    <w:rPr>
                      <w:color w:val="auto"/>
                      <w:vertAlign w:val="subscript"/>
                    </w:rPr>
                    <w:t>2.5</w:t>
                  </w:r>
                </w:p>
              </w:tc>
              <w:tc>
                <w:tcPr>
                  <w:tcW w:w="1803" w:type="pct"/>
                  <w:vAlign w:val="center"/>
                </w:tcPr>
                <w:p w14:paraId="412FF6C2">
                  <w:pPr>
                    <w:pStyle w:val="287"/>
                    <w:framePr w:hSpace="0" w:wrap="auto" w:vAnchor="margin" w:hAnchor="text" w:xAlign="left" w:yAlign="inline"/>
                    <w:rPr>
                      <w:color w:val="auto"/>
                    </w:rPr>
                  </w:pPr>
                  <w:r>
                    <w:rPr>
                      <w:color w:val="auto"/>
                    </w:rPr>
                    <w:t>年平均质量浓度</w:t>
                  </w:r>
                </w:p>
              </w:tc>
              <w:tc>
                <w:tcPr>
                  <w:tcW w:w="687" w:type="pct"/>
                  <w:shd w:val="clear" w:color="auto" w:fill="auto"/>
                  <w:vAlign w:val="center"/>
                </w:tcPr>
                <w:p w14:paraId="054453FC">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40</w:t>
                  </w:r>
                </w:p>
              </w:tc>
              <w:tc>
                <w:tcPr>
                  <w:tcW w:w="687" w:type="pct"/>
                  <w:shd w:val="clear" w:color="auto" w:fill="auto"/>
                  <w:vAlign w:val="center"/>
                </w:tcPr>
                <w:p w14:paraId="52B205F7">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35</w:t>
                  </w:r>
                </w:p>
              </w:tc>
              <w:tc>
                <w:tcPr>
                  <w:tcW w:w="687" w:type="pct"/>
                  <w:shd w:val="clear" w:color="auto" w:fill="auto"/>
                  <w:vAlign w:val="center"/>
                </w:tcPr>
                <w:p w14:paraId="35254E87">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114.3</w:t>
                  </w:r>
                </w:p>
              </w:tc>
              <w:tc>
                <w:tcPr>
                  <w:tcW w:w="536" w:type="pct"/>
                  <w:shd w:val="clear" w:color="auto" w:fill="auto"/>
                  <w:vAlign w:val="center"/>
                </w:tcPr>
                <w:p w14:paraId="09712B58">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超标</w:t>
                  </w:r>
                </w:p>
              </w:tc>
            </w:tr>
            <w:tr w14:paraId="341D6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8" w:type="pct"/>
                  <w:vAlign w:val="center"/>
                </w:tcPr>
                <w:p w14:paraId="7F4CCC22">
                  <w:pPr>
                    <w:pStyle w:val="287"/>
                    <w:framePr w:hSpace="0" w:wrap="auto" w:vAnchor="margin" w:hAnchor="text" w:xAlign="left" w:yAlign="inline"/>
                    <w:rPr>
                      <w:color w:val="auto"/>
                    </w:rPr>
                  </w:pPr>
                  <w:r>
                    <w:rPr>
                      <w:color w:val="auto"/>
                    </w:rPr>
                    <w:t>CO</w:t>
                  </w:r>
                </w:p>
              </w:tc>
              <w:tc>
                <w:tcPr>
                  <w:tcW w:w="1803" w:type="pct"/>
                  <w:vAlign w:val="center"/>
                </w:tcPr>
                <w:p w14:paraId="6D4A5EF5">
                  <w:pPr>
                    <w:pStyle w:val="287"/>
                    <w:framePr w:hSpace="0" w:wrap="auto" w:vAnchor="margin" w:hAnchor="text" w:xAlign="left" w:yAlign="inline"/>
                    <w:rPr>
                      <w:color w:val="auto"/>
                    </w:rPr>
                  </w:pPr>
                  <w:r>
                    <w:rPr>
                      <w:color w:val="auto"/>
                    </w:rPr>
                    <w:t>第95百分位数日平均质量浓度</w:t>
                  </w:r>
                </w:p>
              </w:tc>
              <w:tc>
                <w:tcPr>
                  <w:tcW w:w="687" w:type="pct"/>
                  <w:shd w:val="clear" w:color="auto" w:fill="auto"/>
                  <w:vAlign w:val="center"/>
                </w:tcPr>
                <w:p w14:paraId="33E0254E">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800</w:t>
                  </w:r>
                </w:p>
              </w:tc>
              <w:tc>
                <w:tcPr>
                  <w:tcW w:w="687" w:type="pct"/>
                  <w:shd w:val="clear" w:color="auto" w:fill="auto"/>
                  <w:vAlign w:val="center"/>
                </w:tcPr>
                <w:p w14:paraId="1376C4C5">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4000</w:t>
                  </w:r>
                </w:p>
              </w:tc>
              <w:tc>
                <w:tcPr>
                  <w:tcW w:w="687" w:type="pct"/>
                  <w:shd w:val="clear" w:color="auto" w:fill="auto"/>
                  <w:vAlign w:val="center"/>
                </w:tcPr>
                <w:p w14:paraId="29A1D8F1">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20</w:t>
                  </w:r>
                </w:p>
              </w:tc>
              <w:tc>
                <w:tcPr>
                  <w:tcW w:w="536" w:type="pct"/>
                  <w:shd w:val="clear" w:color="auto" w:fill="auto"/>
                  <w:vAlign w:val="center"/>
                </w:tcPr>
                <w:p w14:paraId="02820CED">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达标</w:t>
                  </w:r>
                </w:p>
              </w:tc>
            </w:tr>
            <w:tr w14:paraId="2C4A1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98" w:type="pct"/>
                  <w:vAlign w:val="center"/>
                </w:tcPr>
                <w:p w14:paraId="21B79FA4">
                  <w:pPr>
                    <w:pStyle w:val="287"/>
                    <w:framePr w:hSpace="0" w:wrap="auto" w:vAnchor="margin" w:hAnchor="text" w:xAlign="left" w:yAlign="inline"/>
                    <w:rPr>
                      <w:color w:val="auto"/>
                    </w:rPr>
                  </w:pPr>
                  <w:r>
                    <w:rPr>
                      <w:color w:val="auto"/>
                    </w:rPr>
                    <w:t>O</w:t>
                  </w:r>
                  <w:r>
                    <w:rPr>
                      <w:color w:val="auto"/>
                      <w:vertAlign w:val="subscript"/>
                    </w:rPr>
                    <w:t>3</w:t>
                  </w:r>
                </w:p>
              </w:tc>
              <w:tc>
                <w:tcPr>
                  <w:tcW w:w="1803" w:type="pct"/>
                  <w:vAlign w:val="center"/>
                </w:tcPr>
                <w:p w14:paraId="3856CC15">
                  <w:pPr>
                    <w:pStyle w:val="287"/>
                    <w:framePr w:hSpace="0" w:wrap="auto" w:vAnchor="margin" w:hAnchor="text" w:xAlign="left" w:yAlign="inline"/>
                    <w:rPr>
                      <w:color w:val="auto"/>
                    </w:rPr>
                  </w:pPr>
                  <w:r>
                    <w:rPr>
                      <w:color w:val="auto"/>
                    </w:rPr>
                    <w:t>第90百分位数日平均质量浓度</w:t>
                  </w:r>
                </w:p>
              </w:tc>
              <w:tc>
                <w:tcPr>
                  <w:tcW w:w="687" w:type="pct"/>
                  <w:shd w:val="clear" w:color="auto" w:fill="auto"/>
                  <w:vAlign w:val="center"/>
                </w:tcPr>
                <w:p w14:paraId="2C7E53A0">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160</w:t>
                  </w:r>
                </w:p>
              </w:tc>
              <w:tc>
                <w:tcPr>
                  <w:tcW w:w="687" w:type="pct"/>
                  <w:shd w:val="clear" w:color="auto" w:fill="auto"/>
                  <w:vAlign w:val="center"/>
                </w:tcPr>
                <w:p w14:paraId="4C21AFC3">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160</w:t>
                  </w:r>
                </w:p>
              </w:tc>
              <w:tc>
                <w:tcPr>
                  <w:tcW w:w="687" w:type="pct"/>
                  <w:shd w:val="clear" w:color="auto" w:fill="auto"/>
                  <w:vAlign w:val="center"/>
                </w:tcPr>
                <w:p w14:paraId="01D9A533">
                  <w:pPr>
                    <w:pStyle w:val="77"/>
                    <w:rPr>
                      <w:rFonts w:hint="default" w:ascii="Times New Roman" w:hAnsi="Times New Roman" w:eastAsia="宋体" w:cs="Times New Roman"/>
                      <w:color w:val="auto"/>
                      <w:sz w:val="21"/>
                      <w:lang w:val="en-US" w:eastAsia="zh-CN" w:bidi="ar-SA"/>
                    </w:rPr>
                  </w:pPr>
                  <w:r>
                    <w:rPr>
                      <w:rFonts w:hint="default" w:ascii="Times New Roman" w:hAnsi="Times New Roman" w:cs="Times New Roman"/>
                      <w:color w:val="auto"/>
                      <w:lang w:val="en-US" w:eastAsia="zh-CN"/>
                    </w:rPr>
                    <w:t>100</w:t>
                  </w:r>
                </w:p>
              </w:tc>
              <w:tc>
                <w:tcPr>
                  <w:tcW w:w="536" w:type="pct"/>
                  <w:shd w:val="clear" w:color="auto" w:fill="auto"/>
                  <w:vAlign w:val="center"/>
                </w:tcPr>
                <w:p w14:paraId="52351495">
                  <w:pPr>
                    <w:pStyle w:val="77"/>
                    <w:rPr>
                      <w:rFonts w:hint="default" w:ascii="Times New Roman" w:hAnsi="Times New Roman" w:eastAsia="宋体" w:cs="Times New Roman"/>
                      <w:color w:val="auto"/>
                      <w:sz w:val="21"/>
                      <w:lang w:val="zh-CN" w:eastAsia="zh-CN" w:bidi="ar-SA"/>
                    </w:rPr>
                  </w:pPr>
                  <w:r>
                    <w:rPr>
                      <w:rFonts w:hint="default" w:ascii="Times New Roman" w:hAnsi="Times New Roman" w:cs="Times New Roman"/>
                      <w:color w:val="auto"/>
                    </w:rPr>
                    <w:t>达标</w:t>
                  </w:r>
                </w:p>
              </w:tc>
            </w:tr>
          </w:tbl>
          <w:p w14:paraId="1943FDF9">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color w:val="auto"/>
              </w:rPr>
            </w:pPr>
            <w:r>
              <w:rPr>
                <w:rFonts w:hint="eastAsia"/>
                <w:color w:val="auto"/>
              </w:rPr>
              <w:t>根据质量状况公报结果，淮南市属于环境空气质量不达标区域，超标污染物为细颗粒物（PM</w:t>
            </w:r>
            <w:r>
              <w:rPr>
                <w:rFonts w:hint="eastAsia"/>
                <w:color w:val="auto"/>
                <w:vertAlign w:val="subscript"/>
              </w:rPr>
              <w:t>2.5</w:t>
            </w:r>
            <w:r>
              <w:rPr>
                <w:rFonts w:hint="eastAsia"/>
                <w:color w:val="auto"/>
              </w:rPr>
              <w:t>）。</w:t>
            </w:r>
          </w:p>
          <w:p w14:paraId="4EBC6784">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rFonts w:hint="eastAsia"/>
                <w:color w:val="auto"/>
              </w:rPr>
            </w:pPr>
            <w:r>
              <w:rPr>
                <w:rFonts w:hint="eastAsia"/>
                <w:color w:val="auto"/>
              </w:rPr>
              <w:t>目前，淮南市已制订《淮南市</w:t>
            </w:r>
            <w:r>
              <w:rPr>
                <w:rFonts w:hint="eastAsia"/>
                <w:color w:val="auto"/>
                <w:lang w:eastAsia="zh-CN"/>
              </w:rPr>
              <w:t>“</w:t>
            </w:r>
            <w:r>
              <w:rPr>
                <w:rFonts w:hint="eastAsia"/>
                <w:color w:val="auto"/>
              </w:rPr>
              <w:t>十四五</w:t>
            </w:r>
            <w:r>
              <w:rPr>
                <w:rFonts w:hint="eastAsia"/>
                <w:color w:val="auto"/>
                <w:lang w:eastAsia="zh-CN"/>
              </w:rPr>
              <w:t>”</w:t>
            </w:r>
            <w:r>
              <w:rPr>
                <w:rFonts w:hint="eastAsia"/>
                <w:color w:val="auto"/>
              </w:rPr>
              <w:t>大气污染防治规划（2021-2025）年》，围绕工业大气污染治理、扬（烟）尘污染防治等开展专项治理活动，进一步削减大气污染物排放。</w:t>
            </w:r>
          </w:p>
          <w:p w14:paraId="0DEC8010">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rFonts w:hint="eastAsia"/>
                <w:color w:val="auto"/>
                <w:highlight w:val="none"/>
              </w:rPr>
            </w:pPr>
            <w:r>
              <w:rPr>
                <w:rFonts w:hint="eastAsia"/>
                <w:color w:val="auto"/>
                <w:highlight w:val="none"/>
                <w:lang w:val="en-US" w:eastAsia="zh-CN"/>
              </w:rPr>
              <w:t>（</w:t>
            </w:r>
            <w:r>
              <w:rPr>
                <w:color w:val="auto"/>
                <w:highlight w:val="none"/>
                <w:lang w:val="en-US" w:eastAsia="zh-CN"/>
              </w:rPr>
              <w:t>2</w:t>
            </w:r>
            <w:r>
              <w:rPr>
                <w:rFonts w:hint="eastAsia"/>
                <w:color w:val="auto"/>
                <w:highlight w:val="none"/>
                <w:lang w:val="en-US" w:eastAsia="zh-CN"/>
              </w:rPr>
              <w:t>）其他污染物补充监测结果</w:t>
            </w:r>
          </w:p>
          <w:p w14:paraId="124A7F1E">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color w:val="auto"/>
              </w:rPr>
            </w:pPr>
            <w:r>
              <w:rPr>
                <w:rFonts w:hint="eastAsia"/>
                <w:color w:val="auto"/>
                <w:lang w:val="en-US" w:eastAsia="zh-CN"/>
              </w:rPr>
              <w:t>本项目涉及的其他污染物为</w:t>
            </w:r>
            <w:r>
              <w:rPr>
                <w:rFonts w:hint="default"/>
                <w:color w:val="auto"/>
                <w:lang w:val="en-US" w:eastAsia="zh-CN"/>
              </w:rPr>
              <w:t>TSP</w:t>
            </w:r>
            <w:r>
              <w:rPr>
                <w:rFonts w:hint="eastAsia"/>
                <w:color w:val="auto"/>
                <w:lang w:val="en-US" w:eastAsia="zh-CN"/>
              </w:rPr>
              <w:t>。为了解区域大气环境中</w:t>
            </w:r>
            <w:r>
              <w:rPr>
                <w:rFonts w:hint="default"/>
                <w:color w:val="auto"/>
                <w:lang w:val="en-US" w:eastAsia="zh-CN"/>
              </w:rPr>
              <w:t>TSP</w:t>
            </w:r>
            <w:r>
              <w:rPr>
                <w:rFonts w:hint="eastAsia"/>
                <w:color w:val="auto"/>
                <w:lang w:val="en-US" w:eastAsia="zh-CN"/>
              </w:rPr>
              <w:t>现状，</w:t>
            </w:r>
            <w:r>
              <w:rPr>
                <w:rFonts w:hint="eastAsia"/>
                <w:color w:val="auto"/>
                <w:sz w:val="24"/>
                <w:szCs w:val="24"/>
                <w:lang w:val="en-US" w:eastAsia="zh-CN"/>
              </w:rPr>
              <w:t>建设单位</w:t>
            </w:r>
            <w:r>
              <w:rPr>
                <w:color w:val="auto"/>
                <w:sz w:val="24"/>
                <w:szCs w:val="24"/>
              </w:rPr>
              <w:t>委托</w:t>
            </w:r>
            <w:r>
              <w:rPr>
                <w:rFonts w:hint="eastAsia"/>
                <w:color w:val="auto"/>
                <w:sz w:val="24"/>
                <w:szCs w:val="24"/>
                <w:highlight w:val="none"/>
                <w:lang w:eastAsia="zh-CN"/>
              </w:rPr>
              <w:t>安徽鹊华</w:t>
            </w:r>
            <w:r>
              <w:rPr>
                <w:rFonts w:hint="eastAsia"/>
                <w:color w:val="auto"/>
                <w:sz w:val="24"/>
                <w:szCs w:val="24"/>
                <w:highlight w:val="none"/>
              </w:rPr>
              <w:t>检测技术有限公司</w:t>
            </w:r>
            <w:r>
              <w:rPr>
                <w:color w:val="auto"/>
                <w:sz w:val="24"/>
                <w:szCs w:val="24"/>
              </w:rPr>
              <w:t>于</w:t>
            </w:r>
            <w:r>
              <w:rPr>
                <w:rFonts w:hint="eastAsia"/>
                <w:color w:val="auto"/>
                <w:sz w:val="24"/>
                <w:szCs w:val="24"/>
                <w:highlight w:val="none"/>
              </w:rPr>
              <w:t>202</w:t>
            </w:r>
            <w:r>
              <w:rPr>
                <w:rFonts w:hint="eastAsia"/>
                <w:color w:val="auto"/>
                <w:sz w:val="24"/>
                <w:szCs w:val="24"/>
                <w:highlight w:val="none"/>
                <w:lang w:val="en-US" w:eastAsia="zh-CN"/>
              </w:rPr>
              <w:t>5</w:t>
            </w:r>
            <w:r>
              <w:rPr>
                <w:rFonts w:hint="eastAsia"/>
                <w:color w:val="auto"/>
                <w:sz w:val="24"/>
                <w:szCs w:val="24"/>
                <w:highlight w:val="none"/>
              </w:rPr>
              <w:t>年</w:t>
            </w:r>
            <w:r>
              <w:rPr>
                <w:rFonts w:hint="eastAsia"/>
                <w:color w:val="auto"/>
                <w:sz w:val="24"/>
                <w:szCs w:val="24"/>
                <w:highlight w:val="none"/>
                <w:lang w:val="en-US" w:eastAsia="zh-CN"/>
              </w:rPr>
              <w:t>12</w:t>
            </w:r>
            <w:r>
              <w:rPr>
                <w:rFonts w:hint="eastAsia"/>
                <w:color w:val="auto"/>
                <w:sz w:val="24"/>
                <w:szCs w:val="24"/>
                <w:highlight w:val="none"/>
              </w:rPr>
              <w:t>月</w:t>
            </w:r>
            <w:r>
              <w:rPr>
                <w:rFonts w:hint="eastAsia"/>
                <w:color w:val="auto"/>
                <w:sz w:val="24"/>
                <w:szCs w:val="24"/>
                <w:highlight w:val="none"/>
                <w:lang w:val="en-US" w:eastAsia="zh-CN"/>
              </w:rPr>
              <w:t>18</w:t>
            </w:r>
            <w:r>
              <w:rPr>
                <w:rFonts w:hint="eastAsia"/>
                <w:color w:val="auto"/>
                <w:sz w:val="24"/>
                <w:szCs w:val="24"/>
                <w:highlight w:val="none"/>
              </w:rPr>
              <w:t>日~</w:t>
            </w:r>
            <w:r>
              <w:rPr>
                <w:rFonts w:hint="eastAsia"/>
                <w:color w:val="auto"/>
                <w:sz w:val="24"/>
                <w:szCs w:val="24"/>
                <w:highlight w:val="none"/>
                <w:lang w:val="en-US" w:eastAsia="zh-CN"/>
              </w:rPr>
              <w:t>21</w:t>
            </w:r>
            <w:r>
              <w:rPr>
                <w:rFonts w:hint="eastAsia"/>
                <w:color w:val="auto"/>
                <w:sz w:val="24"/>
                <w:szCs w:val="24"/>
                <w:highlight w:val="none"/>
              </w:rPr>
              <w:t>日</w:t>
            </w:r>
            <w:r>
              <w:rPr>
                <w:rFonts w:hint="eastAsia"/>
                <w:color w:val="auto"/>
                <w:sz w:val="24"/>
                <w:szCs w:val="24"/>
              </w:rPr>
              <w:t>对项目</w:t>
            </w:r>
            <w:r>
              <w:rPr>
                <w:rFonts w:hint="eastAsia"/>
                <w:color w:val="auto"/>
                <w:sz w:val="24"/>
                <w:szCs w:val="24"/>
                <w:lang w:eastAsia="zh-CN"/>
              </w:rPr>
              <w:t>所在地</w:t>
            </w:r>
            <w:r>
              <w:rPr>
                <w:rFonts w:hint="eastAsia"/>
                <w:color w:val="auto"/>
                <w:sz w:val="24"/>
                <w:szCs w:val="24"/>
              </w:rPr>
              <w:t>进行环境质量现状监测。</w:t>
            </w:r>
            <w:r>
              <w:rPr>
                <w:color w:val="auto"/>
              </w:rPr>
              <w:t>TSP现状监测及评价结果见下表。</w:t>
            </w:r>
          </w:p>
          <w:p w14:paraId="21EC093C">
            <w:pPr>
              <w:pStyle w:val="15"/>
              <w:keepNext w:val="0"/>
              <w:keepLines w:val="0"/>
              <w:pageBreakBefore w:val="0"/>
              <w:widowControl w:val="0"/>
              <w:kinsoku/>
              <w:wordWrap/>
              <w:overflowPunct/>
              <w:topLinePunct w:val="0"/>
              <w:autoSpaceDE/>
              <w:autoSpaceDN/>
              <w:bidi w:val="0"/>
              <w:adjustRightInd/>
              <w:snapToGrid/>
              <w:spacing w:after="0"/>
              <w:textAlignment w:val="auto"/>
              <w:rPr>
                <w:color w:val="auto"/>
              </w:rPr>
            </w:pPr>
            <w:r>
              <w:rPr>
                <w:color w:val="auto"/>
              </w:rPr>
              <w:t xml:space="preserve">表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2</w:t>
            </w:r>
            <w:r>
              <w:rPr>
                <w:color w:val="auto"/>
              </w:rPr>
              <w:fldChar w:fldCharType="end"/>
            </w:r>
            <w:r>
              <w:rPr>
                <w:rFonts w:hint="eastAsia"/>
                <w:color w:val="auto"/>
                <w:lang w:val="en-US" w:eastAsia="zh-CN"/>
              </w:rPr>
              <w:t xml:space="preserve"> 项目区域大气环境现状监测结果一览表</w:t>
            </w:r>
          </w:p>
          <w:tbl>
            <w:tblPr>
              <w:tblStyle w:val="5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3445"/>
              <w:gridCol w:w="3010"/>
              <w:gridCol w:w="12"/>
            </w:tblGrid>
            <w:tr w14:paraId="1D63E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22" w:type="pct"/>
                  <w:noWrap w:val="0"/>
                  <w:vAlign w:val="center"/>
                </w:tcPr>
                <w:p w14:paraId="7B09A5C6">
                  <w:pPr>
                    <w:pStyle w:val="77"/>
                    <w:widowControl w:val="0"/>
                    <w:bidi w:val="0"/>
                    <w:rPr>
                      <w:rFonts w:hint="default" w:ascii="Times New Roman" w:hAnsi="Times New Roman" w:eastAsia="宋体" w:cs="Times New Roman"/>
                      <w:color w:val="auto"/>
                      <w:sz w:val="18"/>
                      <w:szCs w:val="18"/>
                      <w:lang w:val="en-US" w:eastAsia="zh-CN"/>
                    </w:rPr>
                  </w:pPr>
                  <w:r>
                    <w:rPr>
                      <w:rFonts w:hint="eastAsia" w:ascii="Times New Roman" w:cs="Times New Roman"/>
                      <w:color w:val="auto"/>
                      <w:sz w:val="18"/>
                      <w:szCs w:val="18"/>
                      <w:lang w:val="en-US" w:eastAsia="zh-CN"/>
                    </w:rPr>
                    <w:t>检测</w:t>
                  </w:r>
                  <w:r>
                    <w:rPr>
                      <w:rFonts w:hint="default" w:ascii="Times New Roman" w:hAnsi="Times New Roman" w:eastAsia="宋体" w:cs="Times New Roman"/>
                      <w:color w:val="auto"/>
                      <w:sz w:val="18"/>
                      <w:szCs w:val="18"/>
                      <w:lang w:val="en-US" w:eastAsia="zh-CN"/>
                    </w:rPr>
                    <w:t>因子</w:t>
                  </w:r>
                </w:p>
              </w:tc>
              <w:tc>
                <w:tcPr>
                  <w:tcW w:w="3777" w:type="pct"/>
                  <w:gridSpan w:val="3"/>
                  <w:noWrap w:val="0"/>
                  <w:vAlign w:val="center"/>
                </w:tcPr>
                <w:p w14:paraId="1BD1D7DF">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总悬浮颗粒物（</w:t>
                  </w:r>
                  <w:r>
                    <w:rPr>
                      <w:rFonts w:hint="eastAsia" w:ascii="Times New Roman" w:cs="Times New Roman"/>
                      <w:color w:val="auto"/>
                      <w:sz w:val="18"/>
                      <w:szCs w:val="18"/>
                      <w:lang w:val="en-US" w:eastAsia="zh-CN"/>
                    </w:rPr>
                    <w:t>mg</w:t>
                  </w:r>
                  <w:r>
                    <w:rPr>
                      <w:rFonts w:hint="default" w:ascii="Times New Roman" w:hAnsi="Times New Roman" w:eastAsia="宋体" w:cs="Times New Roman"/>
                      <w:color w:val="auto"/>
                      <w:sz w:val="18"/>
                      <w:szCs w:val="18"/>
                    </w:rPr>
                    <w:t>/m</w:t>
                  </w:r>
                  <w:r>
                    <w:rPr>
                      <w:rFonts w:hint="default" w:ascii="Times New Roman" w:hAnsi="Times New Roman" w:eastAsia="宋体" w:cs="Times New Roman"/>
                      <w:color w:val="auto"/>
                      <w:sz w:val="18"/>
                      <w:szCs w:val="18"/>
                      <w:vertAlign w:val="superscript"/>
                      <w:lang w:val="en-US" w:eastAsia="zh-CN"/>
                    </w:rPr>
                    <w:t>3</w:t>
                  </w:r>
                  <w:r>
                    <w:rPr>
                      <w:rFonts w:hint="default" w:ascii="Times New Roman" w:hAnsi="Times New Roman" w:eastAsia="宋体" w:cs="Times New Roman"/>
                      <w:color w:val="auto"/>
                      <w:sz w:val="18"/>
                      <w:szCs w:val="18"/>
                      <w:lang w:val="en-US" w:eastAsia="zh-CN"/>
                    </w:rPr>
                    <w:t>）</w:t>
                  </w:r>
                </w:p>
              </w:tc>
            </w:tr>
            <w:tr w14:paraId="73958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pct"/>
                <w:trHeight w:val="0" w:hRule="atLeast"/>
                <w:jc w:val="center"/>
              </w:trPr>
              <w:tc>
                <w:tcPr>
                  <w:tcW w:w="1222" w:type="pct"/>
                  <w:noWrap w:val="0"/>
                  <w:vAlign w:val="center"/>
                </w:tcPr>
                <w:p w14:paraId="463E519D">
                  <w:pPr>
                    <w:pStyle w:val="77"/>
                    <w:widowControl w:val="0"/>
                    <w:bidi w:val="0"/>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lang w:val="en-US" w:eastAsia="zh-CN"/>
                    </w:rPr>
                    <w:t>检测日期</w:t>
                  </w:r>
                </w:p>
              </w:tc>
              <w:tc>
                <w:tcPr>
                  <w:tcW w:w="2012" w:type="pct"/>
                  <w:noWrap w:val="0"/>
                  <w:vAlign w:val="center"/>
                </w:tcPr>
                <w:p w14:paraId="5976B485">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检测</w:t>
                  </w:r>
                  <w:r>
                    <w:rPr>
                      <w:rFonts w:hint="eastAsia" w:ascii="Times New Roman" w:cs="Times New Roman"/>
                      <w:color w:val="auto"/>
                      <w:sz w:val="18"/>
                      <w:szCs w:val="18"/>
                      <w:lang w:val="en-US" w:eastAsia="zh-CN"/>
                    </w:rPr>
                    <w:t>点位</w:t>
                  </w:r>
                </w:p>
              </w:tc>
              <w:tc>
                <w:tcPr>
                  <w:tcW w:w="1758" w:type="pct"/>
                  <w:noWrap w:val="0"/>
                  <w:vAlign w:val="center"/>
                </w:tcPr>
                <w:p w14:paraId="32F3D819">
                  <w:pPr>
                    <w:pStyle w:val="77"/>
                    <w:widowControl w:val="0"/>
                    <w:bidi w:val="0"/>
                    <w:rPr>
                      <w:rFonts w:hint="default" w:ascii="Times New Roman" w:hAnsi="Times New Roman" w:eastAsia="宋体" w:cs="Times New Roman"/>
                      <w:color w:val="auto"/>
                      <w:sz w:val="18"/>
                      <w:szCs w:val="18"/>
                      <w:lang w:val="en-US" w:eastAsia="zh-CN"/>
                    </w:rPr>
                  </w:pPr>
                  <w:r>
                    <w:rPr>
                      <w:rFonts w:hint="eastAsia" w:ascii="Times New Roman" w:cs="Times New Roman"/>
                      <w:color w:val="auto"/>
                      <w:sz w:val="18"/>
                      <w:szCs w:val="18"/>
                      <w:lang w:val="en-US" w:eastAsia="zh-CN"/>
                    </w:rPr>
                    <w:t>检测结果</w:t>
                  </w:r>
                </w:p>
              </w:tc>
            </w:tr>
            <w:tr w14:paraId="028EC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pct"/>
                <w:trHeight w:val="0" w:hRule="atLeast"/>
                <w:jc w:val="center"/>
              </w:trPr>
              <w:tc>
                <w:tcPr>
                  <w:tcW w:w="1222" w:type="pct"/>
                  <w:noWrap w:val="0"/>
                  <w:vAlign w:val="center"/>
                </w:tcPr>
                <w:p w14:paraId="026C1C7D">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202</w:t>
                  </w:r>
                  <w:r>
                    <w:rPr>
                      <w:rFonts w:hint="eastAsia" w:ascii="Times New Roman" w:cs="Times New Roman"/>
                      <w:color w:val="auto"/>
                      <w:sz w:val="18"/>
                      <w:szCs w:val="18"/>
                      <w:lang w:val="en-US" w:eastAsia="zh-CN"/>
                    </w:rPr>
                    <w:t>5</w:t>
                  </w:r>
                  <w:r>
                    <w:rPr>
                      <w:rFonts w:hint="default" w:ascii="Times New Roman" w:hAnsi="Times New Roman" w:eastAsia="宋体" w:cs="Times New Roman"/>
                      <w:color w:val="auto"/>
                      <w:sz w:val="18"/>
                      <w:szCs w:val="18"/>
                      <w:lang w:val="en-US" w:eastAsia="zh-CN"/>
                    </w:rPr>
                    <w:t>年</w:t>
                  </w:r>
                  <w:r>
                    <w:rPr>
                      <w:rFonts w:hint="eastAsia" w:ascii="Times New Roman" w:cs="Times New Roman"/>
                      <w:color w:val="auto"/>
                      <w:sz w:val="18"/>
                      <w:szCs w:val="18"/>
                      <w:lang w:val="en-US" w:eastAsia="zh-CN"/>
                    </w:rPr>
                    <w:t>12</w:t>
                  </w:r>
                  <w:r>
                    <w:rPr>
                      <w:rFonts w:hint="default" w:ascii="Times New Roman" w:hAnsi="Times New Roman" w:eastAsia="宋体" w:cs="Times New Roman"/>
                      <w:color w:val="auto"/>
                      <w:sz w:val="18"/>
                      <w:szCs w:val="18"/>
                      <w:lang w:val="en-US" w:eastAsia="zh-CN"/>
                    </w:rPr>
                    <w:t>月</w:t>
                  </w:r>
                  <w:r>
                    <w:rPr>
                      <w:rFonts w:hint="eastAsia" w:ascii="Times New Roman" w:cs="Times New Roman"/>
                      <w:color w:val="auto"/>
                      <w:sz w:val="18"/>
                      <w:szCs w:val="18"/>
                      <w:lang w:val="en-US" w:eastAsia="zh-CN"/>
                    </w:rPr>
                    <w:t>18-19</w:t>
                  </w:r>
                  <w:r>
                    <w:rPr>
                      <w:rFonts w:hint="default" w:ascii="Times New Roman" w:hAnsi="Times New Roman" w:eastAsia="宋体" w:cs="Times New Roman"/>
                      <w:color w:val="auto"/>
                      <w:sz w:val="18"/>
                      <w:szCs w:val="18"/>
                      <w:lang w:val="en-US" w:eastAsia="zh-CN"/>
                    </w:rPr>
                    <w:t>日</w:t>
                  </w:r>
                </w:p>
              </w:tc>
              <w:tc>
                <w:tcPr>
                  <w:tcW w:w="2012" w:type="pct"/>
                  <w:noWrap w:val="0"/>
                  <w:vAlign w:val="center"/>
                </w:tcPr>
                <w:p w14:paraId="5089272E">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Q-202405207-1-1（01）</w:t>
                  </w:r>
                </w:p>
              </w:tc>
              <w:tc>
                <w:tcPr>
                  <w:tcW w:w="1758" w:type="pct"/>
                  <w:noWrap w:val="0"/>
                  <w:vAlign w:val="center"/>
                </w:tcPr>
                <w:p w14:paraId="7E277415">
                  <w:pPr>
                    <w:pStyle w:val="77"/>
                    <w:widowControl w:val="0"/>
                    <w:bidi w:val="0"/>
                    <w:rPr>
                      <w:rFonts w:hint="default" w:ascii="Times New Roman" w:hAnsi="Times New Roman" w:eastAsia="宋体" w:cs="Times New Roman"/>
                      <w:color w:val="auto"/>
                      <w:sz w:val="18"/>
                      <w:szCs w:val="18"/>
                      <w:lang w:val="en-US" w:eastAsia="zh-CN"/>
                    </w:rPr>
                  </w:pPr>
                  <w:r>
                    <w:rPr>
                      <w:rFonts w:hint="eastAsia" w:ascii="Times New Roman" w:cs="Times New Roman"/>
                      <w:color w:val="auto"/>
                      <w:sz w:val="18"/>
                      <w:szCs w:val="18"/>
                      <w:lang w:val="en-US" w:eastAsia="zh-CN"/>
                    </w:rPr>
                    <w:t>0.188</w:t>
                  </w:r>
                </w:p>
              </w:tc>
            </w:tr>
            <w:tr w14:paraId="530D8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pct"/>
                <w:trHeight w:val="330" w:hRule="atLeast"/>
                <w:jc w:val="center"/>
              </w:trPr>
              <w:tc>
                <w:tcPr>
                  <w:tcW w:w="1222" w:type="pct"/>
                  <w:noWrap w:val="0"/>
                  <w:vAlign w:val="center"/>
                </w:tcPr>
                <w:p w14:paraId="6E190EFE">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202</w:t>
                  </w:r>
                  <w:r>
                    <w:rPr>
                      <w:rFonts w:hint="eastAsia" w:ascii="Times New Roman" w:cs="Times New Roman"/>
                      <w:color w:val="auto"/>
                      <w:sz w:val="18"/>
                      <w:szCs w:val="18"/>
                      <w:lang w:val="en-US" w:eastAsia="zh-CN"/>
                    </w:rPr>
                    <w:t>5</w:t>
                  </w:r>
                  <w:r>
                    <w:rPr>
                      <w:rFonts w:hint="default" w:ascii="Times New Roman" w:hAnsi="Times New Roman" w:eastAsia="宋体" w:cs="Times New Roman"/>
                      <w:color w:val="auto"/>
                      <w:sz w:val="18"/>
                      <w:szCs w:val="18"/>
                      <w:lang w:val="en-US" w:eastAsia="zh-CN"/>
                    </w:rPr>
                    <w:t>年</w:t>
                  </w:r>
                  <w:r>
                    <w:rPr>
                      <w:rFonts w:hint="eastAsia" w:ascii="Times New Roman" w:cs="Times New Roman"/>
                      <w:color w:val="auto"/>
                      <w:sz w:val="18"/>
                      <w:szCs w:val="18"/>
                      <w:lang w:val="en-US" w:eastAsia="zh-CN"/>
                    </w:rPr>
                    <w:t>12</w:t>
                  </w:r>
                  <w:r>
                    <w:rPr>
                      <w:rFonts w:hint="default" w:ascii="Times New Roman" w:hAnsi="Times New Roman" w:eastAsia="宋体" w:cs="Times New Roman"/>
                      <w:color w:val="auto"/>
                      <w:sz w:val="18"/>
                      <w:szCs w:val="18"/>
                      <w:lang w:val="en-US" w:eastAsia="zh-CN"/>
                    </w:rPr>
                    <w:t>月</w:t>
                  </w:r>
                  <w:r>
                    <w:rPr>
                      <w:rFonts w:hint="eastAsia" w:ascii="Times New Roman" w:cs="Times New Roman"/>
                      <w:color w:val="auto"/>
                      <w:sz w:val="18"/>
                      <w:szCs w:val="18"/>
                      <w:lang w:val="en-US" w:eastAsia="zh-CN"/>
                    </w:rPr>
                    <w:t>19-20</w:t>
                  </w:r>
                  <w:r>
                    <w:rPr>
                      <w:rFonts w:hint="default" w:ascii="Times New Roman" w:hAnsi="Times New Roman" w:eastAsia="宋体" w:cs="Times New Roman"/>
                      <w:color w:val="auto"/>
                      <w:sz w:val="18"/>
                      <w:szCs w:val="18"/>
                      <w:lang w:val="en-US" w:eastAsia="zh-CN"/>
                    </w:rPr>
                    <w:t>日</w:t>
                  </w:r>
                </w:p>
              </w:tc>
              <w:tc>
                <w:tcPr>
                  <w:tcW w:w="2012" w:type="pct"/>
                  <w:noWrap w:val="0"/>
                  <w:vAlign w:val="center"/>
                </w:tcPr>
                <w:p w14:paraId="1D49518E">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Q-202405207-2-1（01）</w:t>
                  </w:r>
                </w:p>
              </w:tc>
              <w:tc>
                <w:tcPr>
                  <w:tcW w:w="1758" w:type="pct"/>
                  <w:noWrap w:val="0"/>
                  <w:vAlign w:val="center"/>
                </w:tcPr>
                <w:p w14:paraId="632A9D6E">
                  <w:pPr>
                    <w:pStyle w:val="77"/>
                    <w:widowControl w:val="0"/>
                    <w:bidi w:val="0"/>
                    <w:rPr>
                      <w:rFonts w:hint="default" w:ascii="Times New Roman" w:hAnsi="Times New Roman" w:eastAsia="宋体" w:cs="Times New Roman"/>
                      <w:color w:val="auto"/>
                      <w:sz w:val="18"/>
                      <w:szCs w:val="18"/>
                      <w:lang w:val="en-US" w:eastAsia="zh-CN"/>
                    </w:rPr>
                  </w:pPr>
                  <w:r>
                    <w:rPr>
                      <w:rFonts w:hint="eastAsia" w:ascii="Times New Roman" w:cs="Times New Roman"/>
                      <w:color w:val="auto"/>
                      <w:sz w:val="18"/>
                      <w:szCs w:val="18"/>
                      <w:lang w:val="en-US" w:eastAsia="zh-CN"/>
                    </w:rPr>
                    <w:t>0.257</w:t>
                  </w:r>
                </w:p>
              </w:tc>
            </w:tr>
            <w:tr w14:paraId="3A3E2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7" w:type="pct"/>
                <w:trHeight w:val="316" w:hRule="atLeast"/>
                <w:jc w:val="center"/>
              </w:trPr>
              <w:tc>
                <w:tcPr>
                  <w:tcW w:w="1222" w:type="pct"/>
                  <w:noWrap w:val="0"/>
                  <w:vAlign w:val="center"/>
                </w:tcPr>
                <w:p w14:paraId="66366120">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202</w:t>
                  </w:r>
                  <w:r>
                    <w:rPr>
                      <w:rFonts w:hint="eastAsia" w:ascii="Times New Roman" w:cs="Times New Roman"/>
                      <w:color w:val="auto"/>
                      <w:sz w:val="18"/>
                      <w:szCs w:val="18"/>
                      <w:lang w:val="en-US" w:eastAsia="zh-CN"/>
                    </w:rPr>
                    <w:t>5</w:t>
                  </w:r>
                  <w:r>
                    <w:rPr>
                      <w:rFonts w:hint="default" w:ascii="Times New Roman" w:hAnsi="Times New Roman" w:eastAsia="宋体" w:cs="Times New Roman"/>
                      <w:color w:val="auto"/>
                      <w:sz w:val="18"/>
                      <w:szCs w:val="18"/>
                      <w:lang w:val="en-US" w:eastAsia="zh-CN"/>
                    </w:rPr>
                    <w:t>年</w:t>
                  </w:r>
                  <w:r>
                    <w:rPr>
                      <w:rFonts w:hint="eastAsia" w:ascii="Times New Roman" w:cs="Times New Roman"/>
                      <w:color w:val="auto"/>
                      <w:sz w:val="18"/>
                      <w:szCs w:val="18"/>
                      <w:lang w:val="en-US" w:eastAsia="zh-CN"/>
                    </w:rPr>
                    <w:t>12</w:t>
                  </w:r>
                  <w:r>
                    <w:rPr>
                      <w:rFonts w:hint="default" w:ascii="Times New Roman" w:hAnsi="Times New Roman" w:eastAsia="宋体" w:cs="Times New Roman"/>
                      <w:color w:val="auto"/>
                      <w:sz w:val="18"/>
                      <w:szCs w:val="18"/>
                      <w:lang w:val="en-US" w:eastAsia="zh-CN"/>
                    </w:rPr>
                    <w:t>月</w:t>
                  </w:r>
                  <w:r>
                    <w:rPr>
                      <w:rFonts w:hint="eastAsia" w:ascii="Times New Roman" w:cs="Times New Roman"/>
                      <w:color w:val="auto"/>
                      <w:sz w:val="18"/>
                      <w:szCs w:val="18"/>
                      <w:lang w:val="en-US" w:eastAsia="zh-CN"/>
                    </w:rPr>
                    <w:t>20-21</w:t>
                  </w:r>
                  <w:r>
                    <w:rPr>
                      <w:rFonts w:hint="default" w:ascii="Times New Roman" w:hAnsi="Times New Roman" w:eastAsia="宋体" w:cs="Times New Roman"/>
                      <w:color w:val="auto"/>
                      <w:sz w:val="18"/>
                      <w:szCs w:val="18"/>
                      <w:lang w:val="en-US" w:eastAsia="zh-CN"/>
                    </w:rPr>
                    <w:t>日</w:t>
                  </w:r>
                </w:p>
              </w:tc>
              <w:tc>
                <w:tcPr>
                  <w:tcW w:w="2012" w:type="pct"/>
                  <w:noWrap w:val="0"/>
                  <w:vAlign w:val="center"/>
                </w:tcPr>
                <w:p w14:paraId="315B97BE">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Q-202405207-3-1（01）</w:t>
                  </w:r>
                </w:p>
              </w:tc>
              <w:tc>
                <w:tcPr>
                  <w:tcW w:w="1758" w:type="pct"/>
                  <w:noWrap w:val="0"/>
                  <w:vAlign w:val="center"/>
                </w:tcPr>
                <w:p w14:paraId="35521576">
                  <w:pPr>
                    <w:pStyle w:val="77"/>
                    <w:widowControl w:val="0"/>
                    <w:bidi w:val="0"/>
                    <w:rPr>
                      <w:rFonts w:hint="default" w:ascii="Times New Roman" w:hAnsi="Times New Roman" w:eastAsia="宋体" w:cs="Times New Roman"/>
                      <w:color w:val="auto"/>
                      <w:sz w:val="18"/>
                      <w:szCs w:val="18"/>
                      <w:lang w:val="en-US" w:eastAsia="zh-CN"/>
                    </w:rPr>
                  </w:pPr>
                  <w:r>
                    <w:rPr>
                      <w:rFonts w:hint="eastAsia" w:ascii="Times New Roman" w:cs="Times New Roman"/>
                      <w:color w:val="auto"/>
                      <w:sz w:val="18"/>
                      <w:szCs w:val="18"/>
                      <w:lang w:val="en-US" w:eastAsia="zh-CN"/>
                    </w:rPr>
                    <w:t>0.226</w:t>
                  </w:r>
                </w:p>
              </w:tc>
            </w:tr>
            <w:tr w14:paraId="683A8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22" w:type="pct"/>
                  <w:noWrap w:val="0"/>
                  <w:vAlign w:val="center"/>
                </w:tcPr>
                <w:p w14:paraId="72CCBFB5">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备注</w:t>
                  </w:r>
                </w:p>
              </w:tc>
              <w:tc>
                <w:tcPr>
                  <w:tcW w:w="3777" w:type="pct"/>
                  <w:gridSpan w:val="3"/>
                  <w:noWrap w:val="0"/>
                  <w:vAlign w:val="center"/>
                </w:tcPr>
                <w:p w14:paraId="048555B5">
                  <w:pPr>
                    <w:pStyle w:val="77"/>
                    <w:widowControl w:val="0"/>
                    <w:bidi w:val="0"/>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rPr>
                    <w:t>ND表示检测结果低于方法检出限</w:t>
                  </w:r>
                </w:p>
              </w:tc>
            </w:tr>
          </w:tbl>
          <w:p w14:paraId="4877AA22">
            <w:pPr>
              <w:keepNext w:val="0"/>
              <w:keepLines w:val="0"/>
              <w:pageBreakBefore w:val="0"/>
              <w:kinsoku/>
              <w:wordWrap/>
              <w:overflowPunct/>
              <w:topLinePunct w:val="0"/>
              <w:autoSpaceDE/>
              <w:autoSpaceDN/>
              <w:bidi w:val="0"/>
              <w:adjustRightInd/>
              <w:snapToGrid/>
              <w:spacing w:after="0" w:line="460" w:lineRule="exact"/>
              <w:ind w:firstLine="480" w:firstLineChars="200"/>
              <w:textAlignment w:val="auto"/>
              <w:rPr>
                <w:rFonts w:hint="default" w:ascii="Times New Roman" w:hAnsi="Times New Roman" w:eastAsia="宋体" w:cs="Times New Roman"/>
                <w:color w:val="auto"/>
                <w:szCs w:val="24"/>
              </w:rPr>
            </w:pPr>
            <w:r>
              <w:rPr>
                <w:rFonts w:hint="default" w:ascii="Times New Roman" w:hAnsi="Times New Roman" w:eastAsia="宋体" w:cs="Times New Roman"/>
                <w:color w:val="auto"/>
                <w:szCs w:val="24"/>
              </w:rPr>
              <w:t>综上，评价区域内</w:t>
            </w:r>
            <w:r>
              <w:rPr>
                <w:rFonts w:hint="default" w:ascii="Times New Roman" w:hAnsi="Times New Roman" w:eastAsia="宋体" w:cs="Times New Roman"/>
                <w:color w:val="auto"/>
                <w:kern w:val="2"/>
                <w:sz w:val="24"/>
                <w:szCs w:val="24"/>
                <w:lang w:val="en-US" w:eastAsia="zh-CN" w:bidi="ar-SA"/>
              </w:rPr>
              <w:t>TSP浓度满足《环境空气质量标准》(GB3095-2012)中二级标准限值，</w:t>
            </w:r>
            <w:r>
              <w:rPr>
                <w:rFonts w:hint="default" w:ascii="Times New Roman" w:hAnsi="Times New Roman" w:eastAsia="宋体" w:cs="Times New Roman"/>
                <w:color w:val="auto"/>
                <w:szCs w:val="24"/>
                <w:lang w:val="en-US" w:eastAsia="zh-CN"/>
              </w:rPr>
              <w:t>说</w:t>
            </w:r>
            <w:r>
              <w:rPr>
                <w:rFonts w:hint="default" w:ascii="Times New Roman" w:hAnsi="Times New Roman" w:eastAsia="宋体" w:cs="Times New Roman"/>
                <w:color w:val="auto"/>
                <w:szCs w:val="24"/>
              </w:rPr>
              <w:t>明评价区域内环境空气质量现状总体良好。</w:t>
            </w:r>
          </w:p>
          <w:p w14:paraId="68615291">
            <w:pPr>
              <w:pStyle w:val="598"/>
              <w:keepNext w:val="0"/>
              <w:keepLines w:val="0"/>
              <w:pageBreakBefore w:val="0"/>
              <w:framePr w:hSpace="0" w:wrap="auto" w:vAnchor="margin" w:hAnchor="text" w:xAlign="left" w:yAlign="inline"/>
              <w:kinsoku/>
              <w:wordWrap/>
              <w:overflowPunct/>
              <w:topLinePunct w:val="0"/>
              <w:autoSpaceDE/>
              <w:autoSpaceDN/>
              <w:bidi w:val="0"/>
              <w:adjustRightInd/>
              <w:snapToGrid/>
              <w:spacing w:line="460" w:lineRule="exact"/>
              <w:ind w:firstLine="482" w:firstLineChars="200"/>
              <w:textAlignment w:val="auto"/>
              <w:outlineLvl w:val="1"/>
              <w:rPr>
                <w:color w:val="auto"/>
              </w:rPr>
            </w:pPr>
            <w:r>
              <w:rPr>
                <w:color w:val="auto"/>
              </w:rPr>
              <w:t>3.1.2</w:t>
            </w:r>
            <w:r>
              <w:rPr>
                <w:rFonts w:hint="eastAsia"/>
                <w:color w:val="auto"/>
              </w:rPr>
              <w:t>地表水环境质量现状</w:t>
            </w:r>
          </w:p>
          <w:p w14:paraId="5933382F">
            <w:pPr>
              <w:keepNext w:val="0"/>
              <w:keepLines w:val="0"/>
              <w:pageBreakBefore w:val="0"/>
              <w:kinsoku/>
              <w:wordWrap/>
              <w:overflowPunct/>
              <w:topLinePunct w:val="0"/>
              <w:autoSpaceDE/>
              <w:autoSpaceDN/>
              <w:bidi w:val="0"/>
              <w:adjustRightInd/>
              <w:snapToGrid/>
              <w:spacing w:after="0" w:line="460" w:lineRule="exact"/>
              <w:ind w:firstLine="480" w:firstLineChars="200"/>
              <w:textAlignment w:val="auto"/>
              <w:rPr>
                <w:rFonts w:ascii="Times New Roman" w:hAnsi="Times New Roman" w:eastAsia="宋体" w:cs="Times New Roman"/>
                <w:color w:val="auto"/>
                <w:sz w:val="24"/>
                <w:lang w:val="en-US" w:eastAsia="zh-CN" w:bidi="en-US"/>
              </w:rPr>
            </w:pPr>
            <w:r>
              <w:rPr>
                <w:rFonts w:ascii="Times New Roman" w:hAnsi="Times New Roman" w:eastAsia="宋体" w:cs="Times New Roman"/>
                <w:color w:val="auto"/>
                <w:sz w:val="24"/>
                <w:lang w:val="en-US" w:eastAsia="zh-CN" w:bidi="en-US"/>
              </w:rPr>
              <w:t>根据淮南市生态环境局发布的《202</w:t>
            </w:r>
            <w:r>
              <w:rPr>
                <w:rFonts w:hint="eastAsia" w:ascii="Times New Roman" w:hAnsi="Times New Roman" w:eastAsia="宋体" w:cs="Times New Roman"/>
                <w:color w:val="auto"/>
                <w:sz w:val="24"/>
                <w:lang w:val="en-US" w:eastAsia="zh-CN" w:bidi="en-US"/>
              </w:rPr>
              <w:t>4</w:t>
            </w:r>
            <w:r>
              <w:rPr>
                <w:rFonts w:ascii="Times New Roman" w:hAnsi="Times New Roman" w:eastAsia="宋体" w:cs="Times New Roman"/>
                <w:color w:val="auto"/>
                <w:sz w:val="24"/>
                <w:lang w:val="en-US" w:eastAsia="zh-CN" w:bidi="en-US"/>
              </w:rPr>
              <w:t>年淮南市</w:t>
            </w:r>
            <w:r>
              <w:rPr>
                <w:rFonts w:hint="eastAsia" w:cs="Times New Roman"/>
                <w:color w:val="auto"/>
                <w:sz w:val="24"/>
                <w:lang w:val="en-US" w:eastAsia="zh-CN" w:bidi="en-US"/>
              </w:rPr>
              <w:t>生态</w:t>
            </w:r>
            <w:r>
              <w:rPr>
                <w:rFonts w:ascii="Times New Roman" w:hAnsi="Times New Roman" w:eastAsia="宋体" w:cs="Times New Roman"/>
                <w:color w:val="auto"/>
                <w:sz w:val="24"/>
                <w:lang w:val="en-US" w:eastAsia="zh-CN" w:bidi="en-US"/>
              </w:rPr>
              <w:t>环境质量状况公报》，</w:t>
            </w:r>
            <w:r>
              <w:rPr>
                <w:rFonts w:hint="eastAsia" w:ascii="Times New Roman" w:hAnsi="Times New Roman" w:eastAsia="宋体" w:cs="Times New Roman"/>
                <w:color w:val="auto"/>
                <w:sz w:val="24"/>
                <w:lang w:val="en-US" w:eastAsia="zh-CN" w:bidi="en-US"/>
              </w:rPr>
              <w:t>2024年，全市地表</w:t>
            </w:r>
            <w:r>
              <w:rPr>
                <w:rFonts w:hint="eastAsia" w:cs="Times New Roman"/>
                <w:color w:val="auto"/>
                <w:sz w:val="24"/>
                <w:lang w:val="en-US" w:eastAsia="zh-CN" w:bidi="en-US"/>
              </w:rPr>
              <w:t xml:space="preserve"> </w:t>
            </w:r>
            <w:r>
              <w:rPr>
                <w:rFonts w:hint="eastAsia" w:ascii="Times New Roman" w:hAnsi="Times New Roman" w:eastAsia="宋体" w:cs="Times New Roman"/>
                <w:color w:val="auto"/>
                <w:sz w:val="24"/>
                <w:lang w:val="en-US" w:eastAsia="zh-CN" w:bidi="en-US"/>
              </w:rPr>
              <w:t>水24个监测断面中优良水质比例为91.7%，比上年下降了4.1个百分点，IV类水质比例8.3%，总体水质状况优。</w:t>
            </w:r>
          </w:p>
          <w:p w14:paraId="512CD865">
            <w:pPr>
              <w:keepNext w:val="0"/>
              <w:keepLines w:val="0"/>
              <w:pageBreakBefore w:val="0"/>
              <w:kinsoku/>
              <w:wordWrap/>
              <w:overflowPunct/>
              <w:topLinePunct w:val="0"/>
              <w:autoSpaceDE/>
              <w:autoSpaceDN/>
              <w:bidi w:val="0"/>
              <w:adjustRightInd/>
              <w:snapToGrid/>
              <w:spacing w:after="0" w:line="460" w:lineRule="exact"/>
              <w:ind w:firstLine="480" w:firstLineChars="200"/>
              <w:textAlignment w:val="auto"/>
              <w:rPr>
                <w:rFonts w:hint="eastAsia" w:ascii="Times New Roman" w:hAnsi="Times New Roman" w:eastAsia="宋体" w:cs="Times New Roman"/>
                <w:color w:val="auto"/>
                <w:sz w:val="24"/>
                <w:lang w:val="en-US" w:eastAsia="zh-CN" w:bidi="en-US"/>
              </w:rPr>
            </w:pPr>
            <w:r>
              <w:rPr>
                <w:rFonts w:hint="eastAsia" w:ascii="Times New Roman" w:hAnsi="Times New Roman" w:eastAsia="宋体" w:cs="Times New Roman"/>
                <w:color w:val="auto"/>
                <w:sz w:val="24"/>
                <w:lang w:val="en-US" w:eastAsia="zh-CN" w:bidi="en-US"/>
              </w:rPr>
              <w:t>8个国控断面中优良水质比例为87.5%，IV类水质比例12.5%，水质总体状况良好；11个省控断面中优良水质比例为90.9%，水质总体状况优。</w:t>
            </w:r>
          </w:p>
          <w:p w14:paraId="678AC42D">
            <w:pPr>
              <w:keepNext w:val="0"/>
              <w:keepLines w:val="0"/>
              <w:pageBreakBefore w:val="0"/>
              <w:kinsoku/>
              <w:wordWrap/>
              <w:overflowPunct/>
              <w:topLinePunct w:val="0"/>
              <w:autoSpaceDE/>
              <w:autoSpaceDN/>
              <w:bidi w:val="0"/>
              <w:adjustRightInd/>
              <w:snapToGrid/>
              <w:spacing w:after="0" w:line="460" w:lineRule="exact"/>
              <w:ind w:firstLine="480" w:firstLineChars="200"/>
              <w:textAlignment w:val="auto"/>
              <w:rPr>
                <w:rFonts w:hint="eastAsia" w:ascii="Times New Roman" w:hAnsi="Times New Roman" w:eastAsia="宋体" w:cs="Times New Roman"/>
                <w:color w:val="auto"/>
                <w:sz w:val="24"/>
                <w:lang w:val="en-US" w:eastAsia="zh-CN" w:bidi="en-US"/>
              </w:rPr>
            </w:pPr>
            <w:r>
              <w:rPr>
                <w:rFonts w:hint="eastAsia" w:ascii="Times New Roman" w:hAnsi="Times New Roman" w:eastAsia="宋体" w:cs="Times New Roman"/>
                <w:color w:val="auto"/>
                <w:sz w:val="24"/>
                <w:lang w:val="en-US" w:eastAsia="zh-CN" w:bidi="en-US"/>
              </w:rPr>
              <w:t>河流：全市辖区内淮河干流水质状况为优，永幸河和丁家沟水质状况为优，西淝河、东淝河、架河、泥河、万小河、瓦西干渠、陡涧河和便民沟水质状况为良好。20个监测断面中优良水质比例为100%，与去年持平。其中黄圩和丁家沟河口断面水质均有所好转（Ⅲ类→Ⅱ类），五里闸（II类→Ⅲ类）和西淝河闸下（II类→Ⅲ类）水质均有所下降，其他断面水质保持稳定。</w:t>
            </w:r>
          </w:p>
          <w:p w14:paraId="6D1D6553">
            <w:pPr>
              <w:pStyle w:val="181"/>
              <w:keepNext w:val="0"/>
              <w:keepLines w:val="0"/>
              <w:pageBreakBefore w:val="0"/>
              <w:kinsoku/>
              <w:wordWrap/>
              <w:overflowPunct/>
              <w:topLinePunct w:val="0"/>
              <w:autoSpaceDE/>
              <w:autoSpaceDN/>
              <w:bidi w:val="0"/>
              <w:adjustRightInd/>
              <w:snapToGrid/>
              <w:spacing w:after="0" w:line="460" w:lineRule="exact"/>
              <w:ind w:firstLine="480"/>
              <w:textAlignment w:val="auto"/>
              <w:rPr>
                <w:rFonts w:ascii="Times New Roman" w:hAnsi="Times New Roman" w:eastAsia="宋体" w:cs="Times New Roman"/>
                <w:color w:val="auto"/>
                <w:sz w:val="24"/>
                <w:lang w:val="en-US" w:eastAsia="zh-CN" w:bidi="en-US"/>
              </w:rPr>
            </w:pPr>
            <w:r>
              <w:rPr>
                <w:rFonts w:hint="eastAsia" w:ascii="Times New Roman" w:hAnsi="Times New Roman" w:eastAsia="宋体" w:cs="Times New Roman"/>
                <w:color w:val="auto"/>
                <w:sz w:val="24"/>
                <w:lang w:val="en-US" w:eastAsia="zh-CN" w:bidi="en-US"/>
              </w:rPr>
              <w:t>湖库：瓦埠湖和焦岗湖点位水质年均值符合Ⅲ类标准，水质状况为良好</w:t>
            </w:r>
            <w:r>
              <w:rPr>
                <w:rFonts w:hint="eastAsia" w:cs="Times New Roman"/>
                <w:color w:val="auto"/>
                <w:sz w:val="24"/>
                <w:lang w:val="en-US" w:eastAsia="zh-CN" w:bidi="en-US"/>
              </w:rPr>
              <w:t>；</w:t>
            </w:r>
            <w:r>
              <w:rPr>
                <w:rFonts w:hint="eastAsia" w:ascii="Times New Roman" w:hAnsi="Times New Roman" w:eastAsia="宋体" w:cs="Times New Roman"/>
                <w:color w:val="auto"/>
                <w:sz w:val="24"/>
                <w:lang w:val="en-US" w:eastAsia="zh-CN" w:bidi="en-US"/>
              </w:rPr>
              <w:t>高塘湖和安丰塘点位水质年均值符合IV类标准，水质轻度污染，主要污染指标为总磷。安丰塘营养状态为中营养，焦岗湖、高塘湖和瓦埠湖营养状态均为轻度富营养。与上年相比，安丰塘点位水质类别由Ⅲ类下降为IV类，瓦埠湖、高塘湖和焦岗湖点位水质类别保持稳定。</w:t>
            </w:r>
          </w:p>
          <w:p w14:paraId="22BF18D7">
            <w:pPr>
              <w:pStyle w:val="181"/>
              <w:keepNext w:val="0"/>
              <w:keepLines w:val="0"/>
              <w:pageBreakBefore w:val="0"/>
              <w:widowControl/>
              <w:kinsoku/>
              <w:wordWrap/>
              <w:overflowPunct/>
              <w:topLinePunct w:val="0"/>
              <w:autoSpaceDE/>
              <w:autoSpaceDN/>
              <w:bidi w:val="0"/>
              <w:adjustRightInd/>
              <w:snapToGrid/>
              <w:spacing w:after="0" w:line="460" w:lineRule="exact"/>
              <w:ind w:firstLine="480"/>
              <w:textAlignment w:val="auto"/>
              <w:rPr>
                <w:color w:val="auto"/>
              </w:rPr>
            </w:pPr>
            <w:r>
              <w:rPr>
                <w:color w:val="auto"/>
              </w:rPr>
              <w:t>综上，项目所在区域地表水淮河环境质量总体满足《地表水环境质量标准》（GB3838-2002）Ⅲ类标准，地表水水质良好。</w:t>
            </w:r>
          </w:p>
          <w:p w14:paraId="440F8FD3">
            <w:pPr>
              <w:pStyle w:val="180"/>
              <w:keepNext w:val="0"/>
              <w:keepLines w:val="0"/>
              <w:pageBreakBefore w:val="0"/>
              <w:framePr w:hSpace="0" w:wrap="auto" w:vAnchor="margin" w:hAnchor="text" w:xAlign="left" w:yAlign="inline"/>
              <w:widowControl/>
              <w:kinsoku/>
              <w:wordWrap/>
              <w:overflowPunct/>
              <w:topLinePunct w:val="0"/>
              <w:autoSpaceDE/>
              <w:autoSpaceDN/>
              <w:bidi w:val="0"/>
              <w:adjustRightInd/>
              <w:snapToGrid/>
              <w:spacing w:line="460" w:lineRule="exact"/>
              <w:ind w:firstLine="482"/>
              <w:textAlignment w:val="auto"/>
              <w:rPr>
                <w:color w:val="auto"/>
              </w:rPr>
            </w:pPr>
            <w:r>
              <w:rPr>
                <w:color w:val="auto"/>
              </w:rPr>
              <w:t>3.1.3</w:t>
            </w:r>
            <w:r>
              <w:rPr>
                <w:rFonts w:hint="eastAsia"/>
                <w:color w:val="auto"/>
              </w:rPr>
              <w:t>声环境质量现状</w:t>
            </w:r>
          </w:p>
          <w:p w14:paraId="476E2B9C">
            <w:pPr>
              <w:pStyle w:val="181"/>
              <w:keepNext w:val="0"/>
              <w:keepLines w:val="0"/>
              <w:pageBreakBefore w:val="0"/>
              <w:widowControl/>
              <w:kinsoku/>
              <w:wordWrap/>
              <w:overflowPunct/>
              <w:topLinePunct w:val="0"/>
              <w:autoSpaceDE/>
              <w:autoSpaceDN/>
              <w:bidi w:val="0"/>
              <w:adjustRightInd/>
              <w:snapToGrid/>
              <w:spacing w:line="460" w:lineRule="exact"/>
              <w:ind w:firstLine="480"/>
              <w:textAlignment w:val="auto"/>
              <w:rPr>
                <w:rFonts w:hint="eastAsia"/>
                <w:color w:val="auto"/>
              </w:rPr>
            </w:pPr>
            <w:r>
              <w:rPr>
                <w:color w:val="auto"/>
              </w:rPr>
              <w:t>根据淮南市生态环境局发布的《</w:t>
            </w:r>
            <w:r>
              <w:rPr>
                <w:rFonts w:hint="eastAsia"/>
                <w:color w:val="auto"/>
                <w:lang w:eastAsia="zh-CN"/>
              </w:rPr>
              <w:t>2024年淮南市生态环境质量状况公报</w:t>
            </w:r>
            <w:r>
              <w:rPr>
                <w:color w:val="auto"/>
              </w:rPr>
              <w:t>》，</w:t>
            </w:r>
            <w:r>
              <w:rPr>
                <w:rFonts w:hint="eastAsia"/>
                <w:color w:val="auto"/>
              </w:rPr>
              <w:t>2024年，全市区域环境噪声昼间平均等效声级为51.6分贝，与上年相比上升0.4分贝，噪声总体水平稳定保持二级，声环境质量较好。</w:t>
            </w:r>
          </w:p>
          <w:p w14:paraId="3455A3B1">
            <w:pPr>
              <w:pStyle w:val="181"/>
              <w:keepNext w:val="0"/>
              <w:keepLines w:val="0"/>
              <w:pageBreakBefore w:val="0"/>
              <w:widowControl/>
              <w:kinsoku/>
              <w:wordWrap/>
              <w:overflowPunct/>
              <w:topLinePunct w:val="0"/>
              <w:autoSpaceDE/>
              <w:autoSpaceDN/>
              <w:bidi w:val="0"/>
              <w:adjustRightInd/>
              <w:snapToGrid/>
              <w:spacing w:line="460" w:lineRule="exact"/>
              <w:ind w:firstLine="480"/>
              <w:textAlignment w:val="auto"/>
              <w:rPr>
                <w:rFonts w:hint="eastAsia"/>
                <w:color w:val="auto"/>
              </w:rPr>
            </w:pPr>
            <w:r>
              <w:rPr>
                <w:rFonts w:hint="eastAsia"/>
                <w:color w:val="auto"/>
              </w:rPr>
              <w:t>城市道路交通噪声昼间平均等效声级为66.6分贝，与上年相比上升0.4分贝，噪声强度等级稳定保持为一级，声环境质量级别为好。</w:t>
            </w:r>
          </w:p>
          <w:p w14:paraId="27DA763A">
            <w:pPr>
              <w:pStyle w:val="181"/>
              <w:keepNext w:val="0"/>
              <w:keepLines w:val="0"/>
              <w:pageBreakBefore w:val="0"/>
              <w:widowControl/>
              <w:kinsoku/>
              <w:wordWrap/>
              <w:overflowPunct/>
              <w:topLinePunct w:val="0"/>
              <w:autoSpaceDE/>
              <w:autoSpaceDN/>
              <w:bidi w:val="0"/>
              <w:adjustRightInd/>
              <w:snapToGrid/>
              <w:spacing w:line="460" w:lineRule="exact"/>
              <w:ind w:firstLine="480"/>
              <w:textAlignment w:val="auto"/>
              <w:rPr>
                <w:color w:val="auto"/>
              </w:rPr>
            </w:pPr>
            <w:r>
              <w:rPr>
                <w:rFonts w:hint="eastAsia"/>
                <w:color w:val="auto"/>
              </w:rPr>
              <w:t>各功能区噪声平均等效声级达标率为70.8%，昼间达标率为83.3%，夜间达标率为58.3%。与上年相比，昼间达标率减少0.5个百分点，夜间达标率减少6.7个百分点，平均等效声级达标率减少了3.5个百分点。</w:t>
            </w:r>
          </w:p>
          <w:p w14:paraId="1D44EA5E">
            <w:pPr>
              <w:pStyle w:val="181"/>
              <w:keepNext w:val="0"/>
              <w:keepLines w:val="0"/>
              <w:pageBreakBefore w:val="0"/>
              <w:widowControl/>
              <w:kinsoku/>
              <w:wordWrap/>
              <w:overflowPunct/>
              <w:topLinePunct w:val="0"/>
              <w:autoSpaceDE/>
              <w:autoSpaceDN/>
              <w:bidi w:val="0"/>
              <w:adjustRightInd/>
              <w:snapToGrid/>
              <w:spacing w:line="460" w:lineRule="exact"/>
              <w:ind w:firstLine="480"/>
              <w:textAlignment w:val="auto"/>
              <w:rPr>
                <w:color w:val="auto"/>
              </w:rPr>
            </w:pPr>
            <w:r>
              <w:rPr>
                <w:color w:val="auto"/>
              </w:rPr>
              <w:t>根据现场踏勘，项目厂界外50米范围内</w:t>
            </w:r>
            <w:r>
              <w:rPr>
                <w:rFonts w:hint="eastAsia"/>
                <w:color w:val="auto"/>
              </w:rPr>
              <w:t>不存在</w:t>
            </w:r>
            <w:r>
              <w:rPr>
                <w:color w:val="auto"/>
              </w:rPr>
              <w:t>声环境保护目标</w:t>
            </w:r>
            <w:r>
              <w:rPr>
                <w:rFonts w:hint="eastAsia"/>
                <w:color w:val="auto"/>
              </w:rPr>
              <w:t>，对照《淮南市中心城区声环境功能区划分方案》（2021年），本项目位于3类声环境功能区，</w:t>
            </w:r>
            <w:r>
              <w:rPr>
                <w:color w:val="auto"/>
              </w:rPr>
              <w:t>项目营运期所在区域声环境执行《声环境质量标准》（GB3096-2008）声环境功能区3类区标准</w:t>
            </w:r>
            <w:r>
              <w:rPr>
                <w:rFonts w:hint="eastAsia"/>
                <w:color w:val="auto"/>
              </w:rPr>
              <w:t>；</w:t>
            </w:r>
            <w:r>
              <w:rPr>
                <w:color w:val="auto"/>
              </w:rPr>
              <w:t>具体标准值见</w:t>
            </w:r>
            <w:r>
              <w:rPr>
                <w:rFonts w:hint="eastAsia"/>
                <w:color w:val="auto"/>
                <w:lang w:eastAsia="zh-CN"/>
              </w:rPr>
              <w:t>下表</w:t>
            </w:r>
            <w:r>
              <w:rPr>
                <w:color w:val="auto"/>
              </w:rPr>
              <w:t>。</w:t>
            </w:r>
            <w:r>
              <w:rPr>
                <w:rFonts w:hint="eastAsia"/>
                <w:color w:val="auto"/>
              </w:rPr>
              <w:t>本项目所在声功能区划图见</w:t>
            </w:r>
            <w:r>
              <w:rPr>
                <w:rFonts w:hint="eastAsia"/>
                <w:color w:val="auto"/>
                <w:lang w:eastAsia="zh-CN"/>
              </w:rPr>
              <w:t>下图</w:t>
            </w:r>
            <w:r>
              <w:rPr>
                <w:rFonts w:hint="eastAsia"/>
                <w:color w:val="auto"/>
              </w:rPr>
              <w:t>。</w:t>
            </w:r>
          </w:p>
          <w:p w14:paraId="7CE2BBDD">
            <w:pPr>
              <w:pStyle w:val="15"/>
              <w:keepNext w:val="0"/>
              <w:keepLines w:val="0"/>
              <w:pageBreakBefore w:val="0"/>
              <w:widowControl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表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3</w:t>
            </w:r>
            <w:r>
              <w:rPr>
                <w:color w:val="auto"/>
              </w:rPr>
              <w:fldChar w:fldCharType="end"/>
            </w:r>
            <w:r>
              <w:rPr>
                <w:rFonts w:hint="eastAsia"/>
                <w:color w:val="auto"/>
                <w:lang w:val="en-US" w:eastAsia="zh-CN"/>
              </w:rPr>
              <w:t xml:space="preserve"> </w:t>
            </w:r>
            <w:r>
              <w:rPr>
                <w:b/>
                <w:bCs/>
                <w:color w:val="auto"/>
                <w:sz w:val="21"/>
              </w:rPr>
              <w:t>《声环境质量标准》</w:t>
            </w:r>
            <w:r>
              <w:rPr>
                <w:rFonts w:hint="eastAsia"/>
                <w:b/>
                <w:bCs/>
                <w:color w:val="auto"/>
                <w:sz w:val="21"/>
                <w:lang w:eastAsia="zh-CN"/>
              </w:rPr>
              <w:t>（</w:t>
            </w:r>
            <w:r>
              <w:rPr>
                <w:b/>
                <w:bCs/>
                <w:color w:val="auto"/>
                <w:sz w:val="21"/>
              </w:rPr>
              <w:t>GB3096-2008</w:t>
            </w:r>
            <w:r>
              <w:rPr>
                <w:rFonts w:hint="eastAsia"/>
                <w:b/>
                <w:bCs/>
                <w:color w:val="auto"/>
                <w:sz w:val="21"/>
                <w:lang w:eastAsia="zh-CN"/>
              </w:rPr>
              <w:t>）</w:t>
            </w:r>
            <w:r>
              <w:rPr>
                <w:b/>
                <w:bCs/>
                <w:color w:val="auto"/>
                <w:sz w:val="21"/>
              </w:rPr>
              <w:t xml:space="preserve">  单位：dB</w:t>
            </w:r>
            <w:r>
              <w:rPr>
                <w:rFonts w:hint="eastAsia"/>
                <w:b/>
                <w:bCs/>
                <w:color w:val="auto"/>
                <w:sz w:val="21"/>
                <w:lang w:eastAsia="zh-CN"/>
              </w:rPr>
              <w:t>（</w:t>
            </w:r>
            <w:r>
              <w:rPr>
                <w:b/>
                <w:bCs/>
                <w:color w:val="auto"/>
                <w:sz w:val="21"/>
              </w:rPr>
              <w:t>A</w:t>
            </w:r>
            <w:r>
              <w:rPr>
                <w:rFonts w:hint="eastAsia"/>
                <w:b/>
                <w:bCs/>
                <w:color w:val="auto"/>
                <w:sz w:val="21"/>
                <w:lang w:eastAsia="zh-CN"/>
              </w:rPr>
              <w:t>）</w:t>
            </w:r>
          </w:p>
          <w:tbl>
            <w:tblPr>
              <w:tblStyle w:val="53"/>
              <w:tblpPr w:leftFromText="180" w:rightFromText="180" w:vertAnchor="text" w:tblpXSpec="center" w:tblpY="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937"/>
              <w:gridCol w:w="2211"/>
              <w:gridCol w:w="2208"/>
              <w:gridCol w:w="2207"/>
            </w:tblGrid>
            <w:tr w14:paraId="46735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936" w:type="dxa"/>
                  <w:gridSpan w:val="2"/>
                  <w:vAlign w:val="center"/>
                </w:tcPr>
                <w:p w14:paraId="72AE1322">
                  <w:pPr>
                    <w:pStyle w:val="161"/>
                    <w:spacing w:after="0"/>
                    <w:outlineLvl w:val="1"/>
                    <w:rPr>
                      <w:rFonts w:ascii="Times New Roman" w:eastAsia="宋体"/>
                      <w:color w:val="auto"/>
                      <w:sz w:val="18"/>
                      <w:szCs w:val="21"/>
                    </w:rPr>
                  </w:pPr>
                  <w:r>
                    <w:rPr>
                      <w:rFonts w:ascii="Times New Roman" w:eastAsia="宋体"/>
                      <w:color w:val="auto"/>
                      <w:sz w:val="18"/>
                      <w:szCs w:val="21"/>
                    </w:rPr>
                    <w:t>标准类别</w:t>
                  </w:r>
                </w:p>
              </w:tc>
              <w:tc>
                <w:tcPr>
                  <w:tcW w:w="2096" w:type="dxa"/>
                  <w:vAlign w:val="center"/>
                </w:tcPr>
                <w:p w14:paraId="00FB4E73">
                  <w:pPr>
                    <w:pStyle w:val="161"/>
                    <w:spacing w:after="0"/>
                    <w:outlineLvl w:val="1"/>
                    <w:rPr>
                      <w:rFonts w:ascii="Times New Roman" w:eastAsia="宋体"/>
                      <w:color w:val="auto"/>
                      <w:sz w:val="18"/>
                      <w:szCs w:val="21"/>
                    </w:rPr>
                  </w:pPr>
                  <w:r>
                    <w:rPr>
                      <w:rFonts w:ascii="Times New Roman" w:eastAsia="宋体"/>
                      <w:color w:val="auto"/>
                      <w:sz w:val="18"/>
                      <w:szCs w:val="21"/>
                    </w:rPr>
                    <w:t>昼间dB（A）</w:t>
                  </w:r>
                </w:p>
              </w:tc>
              <w:tc>
                <w:tcPr>
                  <w:tcW w:w="2095" w:type="dxa"/>
                  <w:vAlign w:val="center"/>
                </w:tcPr>
                <w:p w14:paraId="4D3810C2">
                  <w:pPr>
                    <w:pStyle w:val="161"/>
                    <w:spacing w:after="0"/>
                    <w:outlineLvl w:val="1"/>
                    <w:rPr>
                      <w:rFonts w:ascii="Times New Roman" w:eastAsia="宋体"/>
                      <w:color w:val="auto"/>
                      <w:sz w:val="18"/>
                      <w:szCs w:val="21"/>
                    </w:rPr>
                  </w:pPr>
                  <w:r>
                    <w:rPr>
                      <w:rFonts w:ascii="Times New Roman" w:eastAsia="宋体"/>
                      <w:color w:val="auto"/>
                      <w:sz w:val="18"/>
                      <w:szCs w:val="21"/>
                    </w:rPr>
                    <w:t>夜间dB（A）</w:t>
                  </w:r>
                </w:p>
              </w:tc>
            </w:tr>
            <w:tr w14:paraId="5B877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838" w:type="dxa"/>
                  <w:vAlign w:val="center"/>
                </w:tcPr>
                <w:p w14:paraId="30D9607B">
                  <w:pPr>
                    <w:pStyle w:val="161"/>
                    <w:spacing w:after="0"/>
                    <w:outlineLvl w:val="1"/>
                    <w:rPr>
                      <w:rFonts w:ascii="Times New Roman" w:eastAsia="宋体"/>
                      <w:color w:val="auto"/>
                      <w:sz w:val="18"/>
                      <w:szCs w:val="21"/>
                    </w:rPr>
                  </w:pPr>
                  <w:r>
                    <w:rPr>
                      <w:rFonts w:ascii="Times New Roman" w:eastAsia="宋体"/>
                      <w:color w:val="auto"/>
                      <w:sz w:val="18"/>
                      <w:szCs w:val="21"/>
                    </w:rPr>
                    <w:t>环境噪声</w:t>
                  </w:r>
                </w:p>
              </w:tc>
              <w:tc>
                <w:tcPr>
                  <w:tcW w:w="2098" w:type="dxa"/>
                  <w:vAlign w:val="center"/>
                </w:tcPr>
                <w:p w14:paraId="0050291C">
                  <w:pPr>
                    <w:pStyle w:val="161"/>
                    <w:spacing w:after="0"/>
                    <w:outlineLvl w:val="1"/>
                    <w:rPr>
                      <w:rFonts w:ascii="Times New Roman" w:eastAsia="宋体"/>
                      <w:color w:val="auto"/>
                      <w:sz w:val="18"/>
                      <w:szCs w:val="21"/>
                    </w:rPr>
                  </w:pPr>
                  <w:r>
                    <w:rPr>
                      <w:rFonts w:ascii="Times New Roman" w:eastAsia="宋体"/>
                      <w:color w:val="auto"/>
                      <w:sz w:val="18"/>
                      <w:szCs w:val="21"/>
                    </w:rPr>
                    <w:t>3类标准</w:t>
                  </w:r>
                </w:p>
              </w:tc>
              <w:tc>
                <w:tcPr>
                  <w:tcW w:w="2096" w:type="dxa"/>
                  <w:vAlign w:val="center"/>
                </w:tcPr>
                <w:p w14:paraId="7AF281F6">
                  <w:pPr>
                    <w:pStyle w:val="161"/>
                    <w:spacing w:after="0"/>
                    <w:outlineLvl w:val="1"/>
                    <w:rPr>
                      <w:rFonts w:ascii="Times New Roman" w:eastAsia="宋体"/>
                      <w:color w:val="auto"/>
                      <w:sz w:val="18"/>
                      <w:szCs w:val="21"/>
                    </w:rPr>
                  </w:pPr>
                  <w:r>
                    <w:rPr>
                      <w:rFonts w:ascii="Times New Roman" w:eastAsia="宋体"/>
                      <w:color w:val="auto"/>
                      <w:sz w:val="18"/>
                      <w:szCs w:val="21"/>
                    </w:rPr>
                    <w:t>65</w:t>
                  </w:r>
                </w:p>
              </w:tc>
              <w:tc>
                <w:tcPr>
                  <w:tcW w:w="2095" w:type="dxa"/>
                  <w:vAlign w:val="center"/>
                </w:tcPr>
                <w:p w14:paraId="6140043A">
                  <w:pPr>
                    <w:pStyle w:val="161"/>
                    <w:spacing w:after="0"/>
                    <w:outlineLvl w:val="1"/>
                    <w:rPr>
                      <w:rFonts w:ascii="Times New Roman" w:eastAsia="宋体"/>
                      <w:color w:val="auto"/>
                      <w:sz w:val="18"/>
                      <w:szCs w:val="21"/>
                    </w:rPr>
                  </w:pPr>
                  <w:r>
                    <w:rPr>
                      <w:rFonts w:ascii="Times New Roman" w:eastAsia="宋体"/>
                      <w:color w:val="auto"/>
                      <w:sz w:val="18"/>
                      <w:szCs w:val="21"/>
                    </w:rPr>
                    <w:t>55</w:t>
                  </w:r>
                </w:p>
              </w:tc>
            </w:tr>
            <w:tr w14:paraId="2B852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1838" w:type="dxa"/>
                  <w:vAlign w:val="center"/>
                </w:tcPr>
                <w:p w14:paraId="09682D53">
                  <w:pPr>
                    <w:pStyle w:val="161"/>
                    <w:spacing w:after="0"/>
                    <w:outlineLvl w:val="1"/>
                    <w:rPr>
                      <w:rFonts w:ascii="Times New Roman" w:eastAsia="宋体"/>
                      <w:color w:val="auto"/>
                      <w:sz w:val="18"/>
                      <w:szCs w:val="21"/>
                    </w:rPr>
                  </w:pPr>
                  <w:r>
                    <w:rPr>
                      <w:rFonts w:ascii="Times New Roman" w:eastAsia="宋体"/>
                      <w:color w:val="auto"/>
                      <w:sz w:val="18"/>
                      <w:szCs w:val="21"/>
                    </w:rPr>
                    <w:t>标准来源</w:t>
                  </w:r>
                </w:p>
              </w:tc>
              <w:tc>
                <w:tcPr>
                  <w:tcW w:w="6289" w:type="dxa"/>
                  <w:gridSpan w:val="3"/>
                  <w:vAlign w:val="center"/>
                </w:tcPr>
                <w:p w14:paraId="309ACC6C">
                  <w:pPr>
                    <w:pStyle w:val="161"/>
                    <w:spacing w:after="0"/>
                    <w:outlineLvl w:val="1"/>
                    <w:rPr>
                      <w:rFonts w:ascii="Times New Roman" w:eastAsia="宋体"/>
                      <w:color w:val="auto"/>
                      <w:sz w:val="18"/>
                      <w:szCs w:val="21"/>
                    </w:rPr>
                  </w:pPr>
                  <w:r>
                    <w:rPr>
                      <w:rFonts w:ascii="Times New Roman" w:eastAsia="宋体"/>
                      <w:color w:val="auto"/>
                      <w:sz w:val="18"/>
                      <w:szCs w:val="21"/>
                    </w:rPr>
                    <w:t>《声环境质量标准》（GB3096-2008）</w:t>
                  </w:r>
                </w:p>
              </w:tc>
            </w:tr>
          </w:tbl>
          <w:p w14:paraId="19A9CC1E">
            <w:pPr>
              <w:rPr>
                <w:color w:val="auto"/>
              </w:rPr>
            </w:pPr>
          </w:p>
          <w:p w14:paraId="07DF68C5">
            <w:pPr>
              <w:adjustRightInd w:val="0"/>
              <w:snapToGrid w:val="0"/>
              <w:spacing w:after="0" w:line="240" w:lineRule="auto"/>
              <w:jc w:val="center"/>
              <w:rPr>
                <w:rFonts w:hint="eastAsia"/>
                <w:b/>
                <w:color w:val="auto"/>
                <w:sz w:val="21"/>
              </w:rPr>
            </w:pPr>
            <w:r>
              <w:rPr>
                <w:color w:val="auto"/>
                <w:sz w:val="24"/>
              </w:rPr>
              <mc:AlternateContent>
                <mc:Choice Requires="wps">
                  <w:drawing>
                    <wp:anchor distT="0" distB="0" distL="114300" distR="114300" simplePos="0" relativeHeight="251661312" behindDoc="0" locked="0" layoutInCell="1" allowOverlap="1">
                      <wp:simplePos x="0" y="0"/>
                      <wp:positionH relativeFrom="column">
                        <wp:posOffset>2508250</wp:posOffset>
                      </wp:positionH>
                      <wp:positionV relativeFrom="paragraph">
                        <wp:posOffset>2558415</wp:posOffset>
                      </wp:positionV>
                      <wp:extent cx="117475" cy="109855"/>
                      <wp:effectExtent l="19685" t="20320" r="34290" b="22225"/>
                      <wp:wrapNone/>
                      <wp:docPr id="31" name="五角星 31"/>
                      <wp:cNvGraphicFramePr/>
                      <a:graphic xmlns:a="http://schemas.openxmlformats.org/drawingml/2006/main">
                        <a:graphicData uri="http://schemas.microsoft.com/office/word/2010/wordprocessingShape">
                          <wps:wsp>
                            <wps:cNvSpPr/>
                            <wps:spPr>
                              <a:xfrm>
                                <a:off x="2978785" y="3432810"/>
                                <a:ext cx="117475" cy="109855"/>
                              </a:xfrm>
                              <a:prstGeom prst="star5">
                                <a:avLst/>
                              </a:prstGeom>
                              <a:solidFill>
                                <a:srgbClr val="FFFF00"/>
                              </a:solid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97.5pt;margin-top:201.45pt;height:8.65pt;width:9.25pt;z-index:251661312;v-text-anchor:middle;mso-width-relative:page;mso-height-relative:page;" fillcolor="#FFFF00" filled="t" stroked="t" coordsize="117475,109855" o:gfxdata="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r6H5cdkAAAALAQAADwAAAAAAAAABACAA&#10;AAAiAAAAZHJzL2Rvd25yZXYueG1sUEsBAhQAFAAAAAgAh07iQImuLGt+AgAABQUAAA4AAAAAAAAA&#10;AQAgAAAAKAEAAGRycy9lMm9Eb2MueG1sUEsFBgAAAAAGAAYAWQEAABgGAAAAAA==&#10;" path="m0,41960l44871,41961,58737,0,72603,41961,117474,41960,81172,67893,95039,109854,58737,83921,22435,109854,36302,67893xe">
                      <v:path o:connectlocs="58737,0;0,41960;22435,109854;95039,109854;117474,41960" o:connectangles="247,164,82,82,0"/>
                      <v:fill on="t" focussize="0,0"/>
                      <v:stroke weight="1pt" color="#FFFF00 [2404]" miterlimit="8" joinstyle="miter"/>
                      <v:imagedata o:title=""/>
                      <o:lock v:ext="edit" aspectratio="f"/>
                    </v:shape>
                  </w:pict>
                </mc:Fallback>
              </mc:AlternateContent>
            </w:r>
            <w:r>
              <w:rPr>
                <w:color w:val="auto"/>
                <w:sz w:val="24"/>
              </w:rPr>
              <mc:AlternateContent>
                <mc:Choice Requires="wps">
                  <w:drawing>
                    <wp:anchor distT="0" distB="0" distL="114300" distR="114300" simplePos="0" relativeHeight="251664384" behindDoc="0" locked="0" layoutInCell="1" allowOverlap="1">
                      <wp:simplePos x="0" y="0"/>
                      <wp:positionH relativeFrom="column">
                        <wp:posOffset>2586355</wp:posOffset>
                      </wp:positionH>
                      <wp:positionV relativeFrom="paragraph">
                        <wp:posOffset>2729865</wp:posOffset>
                      </wp:positionV>
                      <wp:extent cx="681355" cy="274955"/>
                      <wp:effectExtent l="4445" t="4445" r="19050" b="6350"/>
                      <wp:wrapNone/>
                      <wp:docPr id="34" name="文本框 34"/>
                      <wp:cNvGraphicFramePr/>
                      <a:graphic xmlns:a="http://schemas.openxmlformats.org/drawingml/2006/main">
                        <a:graphicData uri="http://schemas.microsoft.com/office/word/2010/wordprocessingShape">
                          <wps:wsp>
                            <wps:cNvSpPr txBox="1"/>
                            <wps:spPr>
                              <a:xfrm>
                                <a:off x="2605405" y="3132455"/>
                                <a:ext cx="681355" cy="27495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81FDD3A">
                                  <w:pPr>
                                    <w:rPr>
                                      <w:rFonts w:hint="eastAsia" w:eastAsia="宋体"/>
                                      <w:lang w:eastAsia="zh-CN"/>
                                    </w:rPr>
                                  </w:pPr>
                                  <w:r>
                                    <w:rPr>
                                      <w:rFonts w:hint="eastAsia"/>
                                      <w:lang w:eastAsia="zh-CN"/>
                                    </w:rPr>
                                    <w:t>本项目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3.65pt;margin-top:214.95pt;height:21.65pt;width:53.65pt;z-index:251664384;mso-width-relative:page;mso-height-relative:page;" fillcolor="#FFFFFF [3201]" filled="t" stroked="t" coordsize="21600,21600" o:gfxdata="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uhy+9gAAAALAQAADwAAAAAAAAABACAAAAAiAAAAZHJzL2Rvd25yZXYueG1sUEsBAhQA&#10;FAAAAAgAh07iQEcL/r9kAgAAxAQAAA4AAAAAAAAAAQAgAAAAJwEAAGRycy9lMm9Eb2MueG1sUEsF&#10;BgAAAAAGAAYAWQEAAP0FAAAAAA==&#10;">
                      <v:fill on="t" focussize="0,0"/>
                      <v:stroke weight="0.5pt" color="#000000 [3204]" joinstyle="round"/>
                      <v:imagedata o:title=""/>
                      <o:lock v:ext="edit" aspectratio="f"/>
                      <v:textbox>
                        <w:txbxContent>
                          <w:p w14:paraId="781FDD3A">
                            <w:pPr>
                              <w:rPr>
                                <w:rFonts w:hint="eastAsia" w:eastAsia="宋体"/>
                                <w:lang w:eastAsia="zh-CN"/>
                              </w:rPr>
                            </w:pPr>
                            <w:r>
                              <w:rPr>
                                <w:rFonts w:hint="eastAsia"/>
                                <w:lang w:eastAsia="zh-CN"/>
                              </w:rPr>
                              <w:t>本项目</w:t>
                            </w:r>
                          </w:p>
                        </w:txbxContent>
                      </v:textbox>
                    </v:shape>
                  </w:pict>
                </mc:Fallback>
              </mc:AlternateContent>
            </w:r>
            <w:r>
              <w:rPr>
                <w:color w:val="auto"/>
              </w:rPr>
              <w:drawing>
                <wp:anchor distT="0" distB="0" distL="114300" distR="114300" simplePos="0" relativeHeight="251660288" behindDoc="0" locked="0" layoutInCell="1" allowOverlap="1">
                  <wp:simplePos x="0" y="0"/>
                  <wp:positionH relativeFrom="column">
                    <wp:posOffset>1596390</wp:posOffset>
                  </wp:positionH>
                  <wp:positionV relativeFrom="paragraph">
                    <wp:posOffset>1278255</wp:posOffset>
                  </wp:positionV>
                  <wp:extent cx="2805430" cy="2265680"/>
                  <wp:effectExtent l="0" t="0" r="13970" b="1270"/>
                  <wp:wrapNone/>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7"/>
                          <a:stretch>
                            <a:fillRect/>
                          </a:stretch>
                        </pic:blipFill>
                        <pic:spPr>
                          <a:xfrm>
                            <a:off x="0" y="0"/>
                            <a:ext cx="2805430" cy="2265680"/>
                          </a:xfrm>
                          <a:prstGeom prst="rect">
                            <a:avLst/>
                          </a:prstGeom>
                          <a:noFill/>
                          <a:ln>
                            <a:solidFill>
                              <a:schemeClr val="tx1"/>
                            </a:solidFill>
                          </a:ln>
                        </pic:spPr>
                      </pic:pic>
                    </a:graphicData>
                  </a:graphic>
                </wp:anchor>
              </w:drawing>
            </w:r>
            <w:r>
              <w:rPr>
                <w:color w:val="auto"/>
                <w:sz w:val="24"/>
              </w:rPr>
              <mc:AlternateContent>
                <mc:Choice Requires="wps">
                  <w:drawing>
                    <wp:anchor distT="0" distB="0" distL="114300" distR="114300" simplePos="0" relativeHeight="251662336" behindDoc="0" locked="0" layoutInCell="1" allowOverlap="1">
                      <wp:simplePos x="0" y="0"/>
                      <wp:positionH relativeFrom="column">
                        <wp:posOffset>736600</wp:posOffset>
                      </wp:positionH>
                      <wp:positionV relativeFrom="paragraph">
                        <wp:posOffset>3068955</wp:posOffset>
                      </wp:positionV>
                      <wp:extent cx="117475" cy="109855"/>
                      <wp:effectExtent l="19685" t="20320" r="34290" b="22225"/>
                      <wp:wrapNone/>
                      <wp:docPr id="32" name="五角星 32"/>
                      <wp:cNvGraphicFramePr/>
                      <a:graphic xmlns:a="http://schemas.openxmlformats.org/drawingml/2006/main">
                        <a:graphicData uri="http://schemas.microsoft.com/office/word/2010/wordprocessingShape">
                          <wps:wsp>
                            <wps:cNvSpPr/>
                            <wps:spPr>
                              <a:xfrm>
                                <a:off x="0" y="0"/>
                                <a:ext cx="117475" cy="109855"/>
                              </a:xfrm>
                              <a:prstGeom prst="star5">
                                <a:avLst/>
                              </a:prstGeom>
                              <a:solidFill>
                                <a:srgbClr val="FFFF00"/>
                              </a:solid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8pt;margin-top:241.65pt;height:8.65pt;width:9.25pt;z-index:251662336;v-text-anchor:middle;mso-width-relative:page;mso-height-relative:page;" fillcolor="#FFFF00" filled="t" stroked="t" coordsize="117475,109855" o:gfxdata="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yUdyDtcAAAALAQAADwAAAAAAAAABACAAAAAiAAAAZHJzL2Rv&#10;d25yZXYueG1sUEsBAhQAFAAAAAgAh07iQLgwpZN0AgAA+QQAAA4AAAAAAAAAAQAgAAAAJgEAAGRy&#10;cy9lMm9Eb2MueG1sUEsFBgAAAAAGAAYAWQEAAAwGAAAAAA==&#10;" path="m0,41960l44871,41961,58737,0,72603,41961,117474,41960,81172,67893,95039,109854,58737,83921,22435,109854,36302,67893xe">
                      <v:path o:connectlocs="58737,0;0,41960;22435,109854;95039,109854;117474,41960" o:connectangles="247,164,82,82,0"/>
                      <v:fill on="t" focussize="0,0"/>
                      <v:stroke weight="1pt" color="#FFFF00 [2404]" miterlimit="8" joinstyle="miter"/>
                      <v:imagedata o:title=""/>
                      <o:lock v:ext="edit" aspectratio="f"/>
                    </v:shape>
                  </w:pict>
                </mc:Fallback>
              </mc:AlternateContent>
            </w:r>
            <w:r>
              <w:rPr>
                <w:color w:val="auto"/>
                <w:sz w:val="24"/>
              </w:rPr>
              <mc:AlternateContent>
                <mc:Choice Requires="wps">
                  <w:drawing>
                    <wp:anchor distT="0" distB="0" distL="114300" distR="114300" simplePos="0" relativeHeight="251663360" behindDoc="0" locked="0" layoutInCell="1" allowOverlap="1">
                      <wp:simplePos x="0" y="0"/>
                      <wp:positionH relativeFrom="column">
                        <wp:posOffset>854075</wp:posOffset>
                      </wp:positionH>
                      <wp:positionV relativeFrom="paragraph">
                        <wp:posOffset>2411095</wp:posOffset>
                      </wp:positionV>
                      <wp:extent cx="742315" cy="699770"/>
                      <wp:effectExtent l="4445" t="0" r="15240" b="5080"/>
                      <wp:wrapNone/>
                      <wp:docPr id="33" name="直接箭头连接符 33"/>
                      <wp:cNvGraphicFramePr/>
                      <a:graphic xmlns:a="http://schemas.openxmlformats.org/drawingml/2006/main">
                        <a:graphicData uri="http://schemas.microsoft.com/office/word/2010/wordprocessingShape">
                          <wps:wsp>
                            <wps:cNvCnPr>
                              <a:stCxn id="32" idx="4"/>
                              <a:endCxn id="6" idx="1"/>
                            </wps:cNvCnPr>
                            <wps:spPr>
                              <a:xfrm flipV="1">
                                <a:off x="4225925" y="3567430"/>
                                <a:ext cx="742315" cy="69977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67.25pt;margin-top:189.85pt;height:55.1pt;width:58.45pt;z-index:251663360;mso-width-relative:page;mso-height-relative:page;" filled="f" stroked="t" coordsize="21600,21600" o:gfxdata="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Imh4QfdAAAACwEAAA8AAAAAAAAAAQAgAAAAIgAAAGRycy9k&#10;b3ducmV2LnhtbFBLAQIUABQAAAAIAIdO4kA+8Q9UNgIAADwEAAAOAAAAAAAAAAEAIAAAACwBAABk&#10;cnMvZTJvRG9jLnhtbFBLBQYAAAAABgAGAFkBAADUBQAAAAA=&#10;">
                      <v:fill on="f" focussize="0,0"/>
                      <v:stroke weight="1pt" color="#000000 [3213]" miterlimit="8" joinstyle="miter" endarrow="open"/>
                      <v:imagedata o:title=""/>
                      <o:lock v:ext="edit" aspectratio="f"/>
                    </v:shape>
                  </w:pict>
                </mc:Fallback>
              </mc:AlternateContent>
            </w:r>
            <w:r>
              <w:rPr>
                <w:rFonts w:hint="eastAsia"/>
                <w:b/>
                <w:color w:val="auto"/>
                <w:sz w:val="21"/>
              </w:rPr>
              <w:drawing>
                <wp:inline distT="0" distB="0" distL="114300" distR="114300">
                  <wp:extent cx="5441315" cy="4577715"/>
                  <wp:effectExtent l="9525" t="9525" r="16510" b="22860"/>
                  <wp:docPr id="21" name="图片 21" descr="声环境功能区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声环境功能区划图"/>
                          <pic:cNvPicPr>
                            <a:picLocks noChangeAspect="1"/>
                          </pic:cNvPicPr>
                        </pic:nvPicPr>
                        <pic:blipFill>
                          <a:blip r:embed="rId28"/>
                          <a:stretch>
                            <a:fillRect/>
                          </a:stretch>
                        </pic:blipFill>
                        <pic:spPr>
                          <a:xfrm>
                            <a:off x="0" y="0"/>
                            <a:ext cx="5441315" cy="4577715"/>
                          </a:xfrm>
                          <a:prstGeom prst="rect">
                            <a:avLst/>
                          </a:prstGeom>
                          <a:ln>
                            <a:solidFill>
                              <a:schemeClr val="tx1"/>
                            </a:solidFill>
                          </a:ln>
                        </pic:spPr>
                      </pic:pic>
                    </a:graphicData>
                  </a:graphic>
                </wp:inline>
              </w:drawing>
            </w:r>
          </w:p>
          <w:p w14:paraId="09A92562">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图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图 \* ARABIC \s 1 </w:instrText>
            </w:r>
            <w:r>
              <w:rPr>
                <w:color w:val="auto"/>
              </w:rPr>
              <w:fldChar w:fldCharType="separate"/>
            </w:r>
            <w:r>
              <w:rPr>
                <w:color w:val="auto"/>
              </w:rPr>
              <w:t>1</w:t>
            </w:r>
            <w:r>
              <w:rPr>
                <w:color w:val="auto"/>
              </w:rPr>
              <w:fldChar w:fldCharType="end"/>
            </w:r>
            <w:r>
              <w:rPr>
                <w:rFonts w:hint="eastAsia"/>
                <w:color w:val="auto"/>
                <w:lang w:val="en-US" w:eastAsia="zh-CN"/>
              </w:rPr>
              <w:t xml:space="preserve"> </w:t>
            </w:r>
            <w:r>
              <w:rPr>
                <w:rFonts w:hint="eastAsia"/>
                <w:b/>
                <w:color w:val="auto"/>
                <w:sz w:val="21"/>
              </w:rPr>
              <w:t>本项目所在声功能区划图</w:t>
            </w:r>
          </w:p>
          <w:p w14:paraId="150243F0">
            <w:pPr>
              <w:pStyle w:val="180"/>
              <w:framePr w:hSpace="0" w:wrap="auto" w:vAnchor="margin" w:hAnchor="text" w:xAlign="left" w:yAlign="inline"/>
              <w:ind w:firstLine="482"/>
              <w:rPr>
                <w:color w:val="auto"/>
              </w:rPr>
            </w:pPr>
            <w:r>
              <w:rPr>
                <w:rFonts w:hint="eastAsia"/>
                <w:color w:val="auto"/>
              </w:rPr>
              <w:t>3</w:t>
            </w:r>
            <w:r>
              <w:rPr>
                <w:color w:val="auto"/>
              </w:rPr>
              <w:t>.1.4</w:t>
            </w:r>
            <w:r>
              <w:rPr>
                <w:rFonts w:hint="eastAsia" w:ascii="宋体" w:hAnsi="宋体" w:cs="宋体"/>
                <w:color w:val="auto"/>
              </w:rPr>
              <w:t>电磁辐射</w:t>
            </w:r>
          </w:p>
          <w:p w14:paraId="5D5AD1D8">
            <w:pPr>
              <w:pStyle w:val="669"/>
              <w:rPr>
                <w:color w:val="auto"/>
              </w:rPr>
            </w:pPr>
            <w:r>
              <w:rPr>
                <w:color w:val="auto"/>
              </w:rPr>
              <w:t>项目不涉及电磁辐射，无需对电磁辐射现状开展监测与评价。</w:t>
            </w:r>
          </w:p>
          <w:p w14:paraId="3C84D69F">
            <w:pPr>
              <w:pStyle w:val="180"/>
              <w:framePr w:hSpace="0" w:wrap="auto" w:vAnchor="margin" w:hAnchor="text" w:xAlign="left" w:yAlign="inline"/>
              <w:ind w:firstLine="482"/>
              <w:rPr>
                <w:color w:val="auto"/>
              </w:rPr>
            </w:pPr>
            <w:r>
              <w:rPr>
                <w:rFonts w:hint="eastAsia"/>
                <w:color w:val="auto"/>
              </w:rPr>
              <w:t>3</w:t>
            </w:r>
            <w:r>
              <w:rPr>
                <w:color w:val="auto"/>
              </w:rPr>
              <w:t>.1.5</w:t>
            </w:r>
            <w:r>
              <w:rPr>
                <w:rFonts w:hint="eastAsia"/>
                <w:color w:val="auto"/>
              </w:rPr>
              <w:t>地下水、土壤环境</w:t>
            </w:r>
          </w:p>
          <w:p w14:paraId="140BD403">
            <w:pPr>
              <w:pStyle w:val="669"/>
              <w:rPr>
                <w:color w:val="auto"/>
              </w:rPr>
            </w:pPr>
            <w:r>
              <w:rPr>
                <w:rFonts w:hint="eastAsia"/>
                <w:color w:val="auto"/>
              </w:rPr>
              <w:t>本项目生产过程中采取源头控制和分区防渗等措施后，正常生产时不存在土壤、地下水污染途径，故无需开展地下水、土壤环境现状调查。</w:t>
            </w:r>
          </w:p>
          <w:p w14:paraId="7DB57DFA">
            <w:pPr>
              <w:shd w:val="clear" w:color="auto" w:fill="FFFFFF"/>
              <w:autoSpaceDE w:val="0"/>
              <w:autoSpaceDN w:val="0"/>
              <w:adjustRightInd w:val="0"/>
              <w:spacing w:after="0" w:line="460" w:lineRule="exact"/>
              <w:ind w:firstLine="482" w:firstLineChars="200"/>
              <w:outlineLvl w:val="1"/>
              <w:rPr>
                <w:b/>
                <w:bCs/>
                <w:color w:val="auto"/>
                <w:szCs w:val="24"/>
              </w:rPr>
            </w:pPr>
            <w:r>
              <w:rPr>
                <w:rFonts w:hint="eastAsia"/>
                <w:b/>
                <w:bCs/>
                <w:color w:val="auto"/>
                <w:szCs w:val="24"/>
              </w:rPr>
              <w:t>3</w:t>
            </w:r>
            <w:r>
              <w:rPr>
                <w:b/>
                <w:bCs/>
                <w:color w:val="auto"/>
                <w:szCs w:val="24"/>
              </w:rPr>
              <w:t>.1.</w:t>
            </w:r>
            <w:r>
              <w:rPr>
                <w:rFonts w:hint="eastAsia"/>
                <w:b/>
                <w:bCs/>
                <w:color w:val="auto"/>
                <w:szCs w:val="24"/>
              </w:rPr>
              <w:t>6</w:t>
            </w:r>
            <w:r>
              <w:rPr>
                <w:b/>
                <w:color w:val="auto"/>
                <w:szCs w:val="24"/>
              </w:rPr>
              <w:t>生态环境</w:t>
            </w:r>
          </w:p>
          <w:p w14:paraId="7CF4635C">
            <w:pPr>
              <w:pStyle w:val="669"/>
              <w:rPr>
                <w:color w:val="auto"/>
              </w:rPr>
            </w:pPr>
            <w:r>
              <w:rPr>
                <w:color w:val="auto"/>
              </w:rPr>
              <w:t>本项目</w:t>
            </w:r>
            <w:r>
              <w:rPr>
                <w:rFonts w:hint="eastAsia"/>
                <w:color w:val="auto"/>
                <w:lang w:eastAsia="zh-CN"/>
              </w:rPr>
              <w:t>租赁淮南市八公山区淮南舜岳水泥有限责任公司厂区内部分场地进行生产建设</w:t>
            </w:r>
            <w:r>
              <w:rPr>
                <w:rFonts w:hint="eastAsia"/>
                <w:color w:val="auto"/>
              </w:rPr>
              <w:t>，用地范围内无生态环境保护目标，无需</w:t>
            </w:r>
            <w:r>
              <w:rPr>
                <w:color w:val="auto"/>
              </w:rPr>
              <w:t>进行生态现状调查。</w:t>
            </w:r>
          </w:p>
        </w:tc>
      </w:tr>
      <w:tr w14:paraId="0823CB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659" w:type="dxa"/>
            <w:tcBorders>
              <w:top w:val="single" w:color="auto" w:sz="4" w:space="0"/>
              <w:left w:val="single" w:color="auto" w:sz="4" w:space="0"/>
              <w:bottom w:val="single" w:color="auto" w:sz="4" w:space="0"/>
              <w:right w:val="single" w:color="auto" w:sz="4" w:space="0"/>
            </w:tcBorders>
            <w:vAlign w:val="center"/>
          </w:tcPr>
          <w:p w14:paraId="7BDF702A">
            <w:pPr>
              <w:adjustRightInd w:val="0"/>
              <w:spacing w:before="2400" w:beforeLines="1000" w:after="0" w:line="240" w:lineRule="auto"/>
              <w:jc w:val="center"/>
              <w:outlineLvl w:val="1"/>
              <w:rPr>
                <w:color w:val="auto"/>
              </w:rPr>
            </w:pPr>
            <w:r>
              <w:rPr>
                <w:color w:val="auto"/>
              </w:rPr>
              <w:t>环境保护目标</w:t>
            </w:r>
          </w:p>
        </w:tc>
        <w:tc>
          <w:tcPr>
            <w:tcW w:w="8267" w:type="dxa"/>
            <w:tcBorders>
              <w:top w:val="single" w:color="auto" w:sz="4" w:space="0"/>
              <w:left w:val="single" w:color="auto" w:sz="4" w:space="0"/>
              <w:bottom w:val="single" w:color="auto" w:sz="4" w:space="0"/>
              <w:right w:val="single" w:color="auto" w:sz="4" w:space="0"/>
            </w:tcBorders>
            <w:vAlign w:val="center"/>
          </w:tcPr>
          <w:p w14:paraId="3A1D750E">
            <w:pPr>
              <w:pStyle w:val="598"/>
              <w:framePr w:hSpace="0" w:wrap="auto" w:vAnchor="margin" w:hAnchor="text" w:xAlign="left" w:yAlign="inline"/>
              <w:rPr>
                <w:color w:val="auto"/>
              </w:rPr>
            </w:pPr>
            <w:r>
              <w:rPr>
                <w:color w:val="auto"/>
              </w:rPr>
              <w:t>3.2项目环境保护目标</w:t>
            </w:r>
          </w:p>
          <w:p w14:paraId="24583BD5">
            <w:pPr>
              <w:pStyle w:val="181"/>
              <w:wordWrap/>
              <w:ind w:firstLine="482"/>
              <w:outlineLvl w:val="1"/>
              <w:rPr>
                <w:b/>
                <w:color w:val="auto"/>
              </w:rPr>
            </w:pPr>
            <w:bookmarkStart w:id="18" w:name="_Hlk178607550"/>
            <w:r>
              <w:rPr>
                <w:rFonts w:hint="eastAsia"/>
                <w:b/>
                <w:color w:val="auto"/>
              </w:rPr>
              <w:t>3.2.1 大气环境</w:t>
            </w:r>
          </w:p>
          <w:p w14:paraId="34D7C89D">
            <w:pPr>
              <w:pStyle w:val="181"/>
              <w:wordWrap/>
              <w:ind w:firstLine="480"/>
              <w:outlineLvl w:val="1"/>
              <w:rPr>
                <w:rFonts w:hint="default" w:eastAsia="宋体"/>
                <w:color w:val="auto"/>
                <w:lang w:val="en-US" w:eastAsia="zh-CN"/>
              </w:rPr>
            </w:pPr>
            <w:r>
              <w:rPr>
                <w:rFonts w:hint="eastAsia"/>
                <w:color w:val="auto"/>
              </w:rPr>
              <w:t>本项目</w:t>
            </w:r>
            <w:r>
              <w:rPr>
                <w:color w:val="auto"/>
              </w:rPr>
              <w:t>厂界外</w:t>
            </w:r>
            <w:r>
              <w:rPr>
                <w:rFonts w:hint="eastAsia"/>
                <w:color w:val="auto"/>
                <w:lang w:val="en-US" w:eastAsia="zh-CN"/>
              </w:rPr>
              <w:t>500m范围内大气环境保护目标主要为八公山风景名胜区和居民区。</w:t>
            </w:r>
          </w:p>
          <w:p w14:paraId="55D64CA1">
            <w:pPr>
              <w:pStyle w:val="181"/>
              <w:wordWrap/>
              <w:ind w:firstLine="482"/>
              <w:outlineLvl w:val="1"/>
              <w:rPr>
                <w:b/>
                <w:color w:val="auto"/>
              </w:rPr>
            </w:pPr>
            <w:r>
              <w:rPr>
                <w:rFonts w:hint="eastAsia"/>
                <w:b/>
                <w:color w:val="auto"/>
              </w:rPr>
              <w:t>3.2.2 声环境</w:t>
            </w:r>
          </w:p>
          <w:p w14:paraId="13E41768">
            <w:pPr>
              <w:pStyle w:val="181"/>
              <w:wordWrap/>
              <w:ind w:firstLine="480"/>
              <w:outlineLvl w:val="1"/>
              <w:rPr>
                <w:color w:val="auto"/>
              </w:rPr>
            </w:pPr>
            <w:r>
              <w:rPr>
                <w:rFonts w:hint="eastAsia"/>
                <w:color w:val="auto"/>
              </w:rPr>
              <w:t>本项目厂界外50m范围内无声环境保护目标。</w:t>
            </w:r>
          </w:p>
          <w:p w14:paraId="6BAFB428">
            <w:pPr>
              <w:pStyle w:val="181"/>
              <w:wordWrap/>
              <w:ind w:firstLine="482"/>
              <w:outlineLvl w:val="1"/>
              <w:rPr>
                <w:b/>
                <w:color w:val="auto"/>
              </w:rPr>
            </w:pPr>
            <w:r>
              <w:rPr>
                <w:rFonts w:hint="eastAsia"/>
                <w:b/>
                <w:color w:val="auto"/>
              </w:rPr>
              <w:t>3.2.3 水环境</w:t>
            </w:r>
          </w:p>
          <w:p w14:paraId="311466C8">
            <w:pPr>
              <w:pStyle w:val="181"/>
              <w:wordWrap/>
              <w:ind w:firstLine="480"/>
              <w:outlineLvl w:val="1"/>
              <w:rPr>
                <w:color w:val="auto"/>
              </w:rPr>
            </w:pPr>
            <w:r>
              <w:rPr>
                <w:rFonts w:hint="eastAsia"/>
                <w:color w:val="auto"/>
              </w:rPr>
              <w:t>本项目厂界外500m范围内无地下水集中式饮用水水源和热水、矿泉水、温泉等特殊地下水资源；地表河流</w:t>
            </w:r>
            <w:r>
              <w:rPr>
                <w:rFonts w:hint="eastAsia" w:ascii="Times New Roman" w:hAnsi="Times New Roman" w:eastAsia="宋体" w:cs="Times New Roman"/>
                <w:color w:val="auto"/>
              </w:rPr>
              <w:t>为淮河和</w:t>
            </w:r>
            <w:r>
              <w:rPr>
                <w:rFonts w:hint="eastAsia" w:ascii="Times New Roman" w:hAnsi="Times New Roman" w:eastAsia="宋体" w:cs="Times New Roman"/>
                <w:color w:val="auto"/>
                <w:lang w:val="en-US" w:eastAsia="zh-CN"/>
              </w:rPr>
              <w:t>老河</w:t>
            </w:r>
            <w:r>
              <w:rPr>
                <w:rFonts w:hint="eastAsia" w:ascii="Times New Roman" w:hAnsi="Times New Roman" w:eastAsia="宋体" w:cs="Times New Roman"/>
                <w:color w:val="auto"/>
              </w:rPr>
              <w:t>，区</w:t>
            </w:r>
            <w:r>
              <w:rPr>
                <w:rFonts w:hint="eastAsia"/>
                <w:color w:val="auto"/>
              </w:rPr>
              <w:t>域河段为《地表水环境质量标准》</w:t>
            </w:r>
            <w:r>
              <w:rPr>
                <w:rFonts w:hint="eastAsia"/>
                <w:color w:val="auto"/>
                <w:lang w:eastAsia="zh-CN"/>
              </w:rPr>
              <w:t>（</w:t>
            </w:r>
            <w:r>
              <w:rPr>
                <w:rFonts w:hint="eastAsia"/>
                <w:color w:val="auto"/>
              </w:rPr>
              <w:t>GB3838-2002</w:t>
            </w:r>
            <w:r>
              <w:rPr>
                <w:rFonts w:hint="eastAsia"/>
                <w:color w:val="auto"/>
                <w:lang w:eastAsia="zh-CN"/>
              </w:rPr>
              <w:t>）</w:t>
            </w:r>
            <w:r>
              <w:rPr>
                <w:rFonts w:hint="eastAsia"/>
                <w:color w:val="auto"/>
              </w:rPr>
              <w:t>中Ⅲ类水功能区。</w:t>
            </w:r>
          </w:p>
          <w:p w14:paraId="789FE3C9">
            <w:pPr>
              <w:pStyle w:val="181"/>
              <w:wordWrap/>
              <w:ind w:firstLine="482"/>
              <w:outlineLvl w:val="1"/>
              <w:rPr>
                <w:b/>
                <w:color w:val="auto"/>
              </w:rPr>
            </w:pPr>
            <w:r>
              <w:rPr>
                <w:rFonts w:hint="eastAsia"/>
                <w:b/>
                <w:color w:val="auto"/>
              </w:rPr>
              <w:t>3.2.4 生态环境</w:t>
            </w:r>
          </w:p>
          <w:p w14:paraId="7471B928">
            <w:pPr>
              <w:pStyle w:val="181"/>
              <w:wordWrap/>
              <w:ind w:firstLine="480"/>
              <w:outlineLvl w:val="1"/>
              <w:rPr>
                <w:color w:val="auto"/>
              </w:rPr>
            </w:pPr>
            <w:r>
              <w:rPr>
                <w:rFonts w:hint="eastAsia"/>
                <w:color w:val="auto"/>
              </w:rPr>
              <w:t>本项目建设地址为</w:t>
            </w:r>
            <w:r>
              <w:rPr>
                <w:color w:val="auto"/>
              </w:rPr>
              <w:t>安徽省</w:t>
            </w:r>
            <w:r>
              <w:rPr>
                <w:rFonts w:hint="eastAsia"/>
                <w:color w:val="auto"/>
                <w:lang w:eastAsia="zh-CN"/>
              </w:rPr>
              <w:t>淮南市八公山区淮南舜岳水泥有限责任公司厂区内</w:t>
            </w:r>
            <w:r>
              <w:rPr>
                <w:rFonts w:hint="eastAsia"/>
                <w:color w:val="auto"/>
              </w:rPr>
              <w:t>，不涉及新增用地的，无新增用地范围内生态环境保护目标。</w:t>
            </w:r>
          </w:p>
          <w:p w14:paraId="0C2E3166">
            <w:pPr>
              <w:pStyle w:val="181"/>
              <w:wordWrap/>
              <w:ind w:firstLine="482"/>
              <w:outlineLvl w:val="1"/>
              <w:rPr>
                <w:b/>
                <w:color w:val="auto"/>
              </w:rPr>
            </w:pPr>
            <w:r>
              <w:rPr>
                <w:b/>
                <w:color w:val="auto"/>
              </w:rPr>
              <w:t>3.2.5</w:t>
            </w:r>
            <w:r>
              <w:rPr>
                <w:rFonts w:hint="eastAsia"/>
                <w:b/>
                <w:color w:val="auto"/>
              </w:rPr>
              <w:t xml:space="preserve"> 主要环境保护目标及分布情况</w:t>
            </w:r>
          </w:p>
          <w:p w14:paraId="7747A91D">
            <w:pPr>
              <w:pStyle w:val="181"/>
              <w:wordWrap/>
              <w:ind w:firstLine="480"/>
              <w:rPr>
                <w:color w:val="auto"/>
              </w:rPr>
            </w:pPr>
            <w:r>
              <w:rPr>
                <w:rFonts w:hint="eastAsia"/>
                <w:color w:val="auto"/>
              </w:rPr>
              <w:t>本项目周围主要环境保护目标及分布情况见</w:t>
            </w:r>
            <w:r>
              <w:rPr>
                <w:rFonts w:hint="eastAsia"/>
                <w:color w:val="auto"/>
                <w:lang w:eastAsia="zh-CN"/>
              </w:rPr>
              <w:t>下表</w:t>
            </w:r>
            <w:r>
              <w:rPr>
                <w:color w:val="auto"/>
              </w:rPr>
              <w:t>，</w:t>
            </w:r>
            <w:r>
              <w:rPr>
                <w:rFonts w:hint="eastAsia"/>
                <w:color w:val="auto"/>
              </w:rPr>
              <w:t>项目500m范围内大气环境保护目标分布图见</w:t>
            </w:r>
            <w:r>
              <w:rPr>
                <w:rFonts w:hint="eastAsia"/>
                <w:color w:val="auto"/>
                <w:lang w:eastAsia="zh-CN"/>
              </w:rPr>
              <w:t>下图</w:t>
            </w:r>
            <w:r>
              <w:rPr>
                <w:rFonts w:hint="eastAsia"/>
                <w:color w:val="auto"/>
              </w:rPr>
              <w:t>。</w:t>
            </w:r>
          </w:p>
          <w:bookmarkEnd w:id="18"/>
          <w:p w14:paraId="7ED268D6">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bookmarkStart w:id="19" w:name="_Hlk173503795"/>
            <w:r>
              <w:rPr>
                <w:color w:val="auto"/>
              </w:rPr>
              <w:t xml:space="preserve">表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4</w:t>
            </w:r>
            <w:r>
              <w:rPr>
                <w:color w:val="auto"/>
              </w:rPr>
              <w:fldChar w:fldCharType="end"/>
            </w:r>
            <w:r>
              <w:rPr>
                <w:color w:val="auto"/>
              </w:rPr>
              <w:t xml:space="preserve"> 本项目主要环境保护目标</w:t>
            </w:r>
          </w:p>
          <w:tbl>
            <w:tblPr>
              <w:tblStyle w:val="53"/>
              <w:tblpPr w:leftFromText="181" w:rightFromText="181" w:vertAnchor="text" w:tblpXSpec="center" w:tblpY="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96"/>
              <w:gridCol w:w="1219"/>
              <w:gridCol w:w="1154"/>
              <w:gridCol w:w="1177"/>
              <w:gridCol w:w="981"/>
              <w:gridCol w:w="1728"/>
              <w:gridCol w:w="596"/>
              <w:gridCol w:w="449"/>
              <w:gridCol w:w="663"/>
            </w:tblGrid>
            <w:tr w14:paraId="6A26E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6" w:type="dxa"/>
                  <w:vMerge w:val="restart"/>
                  <w:vAlign w:val="center"/>
                </w:tcPr>
                <w:p w14:paraId="1F46AC6E">
                  <w:pPr>
                    <w:pStyle w:val="287"/>
                    <w:framePr w:hSpace="0" w:wrap="auto" w:vAnchor="margin" w:hAnchor="text" w:xAlign="left" w:yAlign="inline"/>
                    <w:rPr>
                      <w:color w:val="auto"/>
                    </w:rPr>
                  </w:pPr>
                  <w:r>
                    <w:rPr>
                      <w:color w:val="auto"/>
                    </w:rPr>
                    <w:t>类别</w:t>
                  </w:r>
                </w:p>
              </w:tc>
              <w:tc>
                <w:tcPr>
                  <w:tcW w:w="1219" w:type="dxa"/>
                  <w:vMerge w:val="restart"/>
                  <w:vAlign w:val="center"/>
                </w:tcPr>
                <w:p w14:paraId="5760FEC7">
                  <w:pPr>
                    <w:pStyle w:val="287"/>
                    <w:framePr w:hSpace="0" w:wrap="auto" w:vAnchor="margin" w:hAnchor="text" w:xAlign="left" w:yAlign="inline"/>
                    <w:rPr>
                      <w:color w:val="auto"/>
                    </w:rPr>
                  </w:pPr>
                  <w:r>
                    <w:rPr>
                      <w:color w:val="auto"/>
                    </w:rPr>
                    <w:t>保护目标名称</w:t>
                  </w:r>
                </w:p>
              </w:tc>
              <w:tc>
                <w:tcPr>
                  <w:tcW w:w="2331" w:type="dxa"/>
                  <w:gridSpan w:val="2"/>
                  <w:vAlign w:val="center"/>
                </w:tcPr>
                <w:p w14:paraId="11D29961">
                  <w:pPr>
                    <w:pStyle w:val="287"/>
                    <w:framePr w:hSpace="0" w:wrap="auto" w:vAnchor="margin" w:hAnchor="text" w:xAlign="left" w:yAlign="inline"/>
                    <w:rPr>
                      <w:color w:val="auto"/>
                    </w:rPr>
                  </w:pPr>
                  <w:r>
                    <w:rPr>
                      <w:color w:val="auto"/>
                    </w:rPr>
                    <w:t>坐标</w:t>
                  </w:r>
                </w:p>
              </w:tc>
              <w:tc>
                <w:tcPr>
                  <w:tcW w:w="981" w:type="dxa"/>
                  <w:vMerge w:val="restart"/>
                  <w:vAlign w:val="center"/>
                </w:tcPr>
                <w:p w14:paraId="5BC56A31">
                  <w:pPr>
                    <w:pStyle w:val="287"/>
                    <w:framePr w:hSpace="0" w:wrap="auto" w:vAnchor="margin" w:hAnchor="text" w:xAlign="left" w:yAlign="inline"/>
                    <w:rPr>
                      <w:color w:val="auto"/>
                    </w:rPr>
                  </w:pPr>
                  <w:r>
                    <w:rPr>
                      <w:color w:val="auto"/>
                    </w:rPr>
                    <w:t>保护对象</w:t>
                  </w:r>
                </w:p>
              </w:tc>
              <w:tc>
                <w:tcPr>
                  <w:tcW w:w="1728" w:type="dxa"/>
                  <w:vMerge w:val="restart"/>
                  <w:vAlign w:val="center"/>
                </w:tcPr>
                <w:p w14:paraId="5EC8E88D">
                  <w:pPr>
                    <w:pStyle w:val="287"/>
                    <w:framePr w:hSpace="0" w:wrap="auto" w:vAnchor="margin" w:hAnchor="text" w:xAlign="left" w:yAlign="inline"/>
                    <w:rPr>
                      <w:color w:val="auto"/>
                    </w:rPr>
                  </w:pPr>
                  <w:r>
                    <w:rPr>
                      <w:color w:val="auto"/>
                    </w:rPr>
                    <w:t>保护</w:t>
                  </w:r>
                </w:p>
                <w:p w14:paraId="1EA08D4C">
                  <w:pPr>
                    <w:pStyle w:val="287"/>
                    <w:framePr w:hSpace="0" w:wrap="auto" w:vAnchor="margin" w:hAnchor="text" w:xAlign="left" w:yAlign="inline"/>
                    <w:rPr>
                      <w:color w:val="auto"/>
                    </w:rPr>
                  </w:pPr>
                  <w:r>
                    <w:rPr>
                      <w:color w:val="auto"/>
                    </w:rPr>
                    <w:t>内容</w:t>
                  </w:r>
                </w:p>
              </w:tc>
              <w:tc>
                <w:tcPr>
                  <w:tcW w:w="596" w:type="dxa"/>
                  <w:vMerge w:val="restart"/>
                  <w:vAlign w:val="center"/>
                </w:tcPr>
                <w:p w14:paraId="72B11CFD">
                  <w:pPr>
                    <w:pStyle w:val="287"/>
                    <w:framePr w:hSpace="0" w:wrap="auto" w:vAnchor="margin" w:hAnchor="text" w:xAlign="left" w:yAlign="inline"/>
                    <w:rPr>
                      <w:color w:val="auto"/>
                    </w:rPr>
                  </w:pPr>
                  <w:r>
                    <w:rPr>
                      <w:color w:val="auto"/>
                    </w:rPr>
                    <w:t>环境功能区</w:t>
                  </w:r>
                </w:p>
              </w:tc>
              <w:tc>
                <w:tcPr>
                  <w:tcW w:w="449" w:type="dxa"/>
                  <w:vMerge w:val="restart"/>
                  <w:vAlign w:val="center"/>
                </w:tcPr>
                <w:p w14:paraId="43678EAF">
                  <w:pPr>
                    <w:pStyle w:val="287"/>
                    <w:framePr w:hSpace="0" w:wrap="auto" w:vAnchor="margin" w:hAnchor="text" w:xAlign="left" w:yAlign="inline"/>
                    <w:rPr>
                      <w:color w:val="auto"/>
                    </w:rPr>
                  </w:pPr>
                  <w:r>
                    <w:rPr>
                      <w:color w:val="auto"/>
                    </w:rPr>
                    <w:t>相对厂址方位</w:t>
                  </w:r>
                </w:p>
              </w:tc>
              <w:tc>
                <w:tcPr>
                  <w:tcW w:w="663" w:type="dxa"/>
                  <w:vMerge w:val="restart"/>
                  <w:vAlign w:val="center"/>
                </w:tcPr>
                <w:p w14:paraId="6D606DC8">
                  <w:pPr>
                    <w:pStyle w:val="287"/>
                    <w:framePr w:hSpace="0" w:wrap="auto" w:vAnchor="margin" w:hAnchor="text" w:xAlign="left" w:yAlign="inline"/>
                    <w:rPr>
                      <w:rFonts w:hint="eastAsia" w:eastAsia="宋体"/>
                      <w:color w:val="auto"/>
                      <w:lang w:eastAsia="zh-CN"/>
                    </w:rPr>
                  </w:pPr>
                  <w:r>
                    <w:rPr>
                      <w:color w:val="auto"/>
                    </w:rPr>
                    <w:t>相对厂界距离</w:t>
                  </w:r>
                  <w:r>
                    <w:rPr>
                      <w:rFonts w:hint="eastAsia"/>
                      <w:color w:val="auto"/>
                      <w:lang w:eastAsia="zh-CN"/>
                    </w:rPr>
                    <w:t>（</w:t>
                  </w:r>
                  <w:r>
                    <w:rPr>
                      <w:color w:val="auto"/>
                    </w:rPr>
                    <w:t>m</w:t>
                  </w:r>
                  <w:r>
                    <w:rPr>
                      <w:rFonts w:hint="eastAsia"/>
                      <w:color w:val="auto"/>
                      <w:lang w:eastAsia="zh-CN"/>
                    </w:rPr>
                    <w:t>）</w:t>
                  </w:r>
                </w:p>
              </w:tc>
            </w:tr>
            <w:tr w14:paraId="4B3E6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6" w:type="dxa"/>
                  <w:vMerge w:val="continue"/>
                  <w:vAlign w:val="center"/>
                </w:tcPr>
                <w:p w14:paraId="1CE241F5">
                  <w:pPr>
                    <w:pStyle w:val="287"/>
                    <w:framePr w:hSpace="0" w:wrap="auto" w:vAnchor="margin" w:hAnchor="text" w:xAlign="left" w:yAlign="inline"/>
                    <w:rPr>
                      <w:color w:val="auto"/>
                    </w:rPr>
                  </w:pPr>
                </w:p>
              </w:tc>
              <w:tc>
                <w:tcPr>
                  <w:tcW w:w="1219" w:type="dxa"/>
                  <w:vMerge w:val="continue"/>
                  <w:vAlign w:val="center"/>
                </w:tcPr>
                <w:p w14:paraId="36CE95D0">
                  <w:pPr>
                    <w:pStyle w:val="287"/>
                    <w:framePr w:hSpace="0" w:wrap="auto" w:vAnchor="margin" w:hAnchor="text" w:xAlign="left" w:yAlign="inline"/>
                    <w:rPr>
                      <w:color w:val="auto"/>
                    </w:rPr>
                  </w:pPr>
                </w:p>
              </w:tc>
              <w:tc>
                <w:tcPr>
                  <w:tcW w:w="1154" w:type="dxa"/>
                  <w:vAlign w:val="center"/>
                </w:tcPr>
                <w:p w14:paraId="18A026A7">
                  <w:pPr>
                    <w:pStyle w:val="287"/>
                    <w:framePr w:hSpace="0" w:wrap="auto" w:vAnchor="margin" w:hAnchor="text" w:xAlign="left" w:yAlign="inline"/>
                    <w:rPr>
                      <w:color w:val="auto"/>
                    </w:rPr>
                  </w:pPr>
                  <w:r>
                    <w:rPr>
                      <w:color w:val="auto"/>
                    </w:rPr>
                    <w:t>东经（°）</w:t>
                  </w:r>
                </w:p>
              </w:tc>
              <w:tc>
                <w:tcPr>
                  <w:tcW w:w="1177" w:type="dxa"/>
                  <w:vAlign w:val="center"/>
                </w:tcPr>
                <w:p w14:paraId="0BFC2A95">
                  <w:pPr>
                    <w:pStyle w:val="287"/>
                    <w:framePr w:hSpace="0" w:wrap="auto" w:vAnchor="margin" w:hAnchor="text" w:xAlign="left" w:yAlign="inline"/>
                    <w:rPr>
                      <w:color w:val="auto"/>
                    </w:rPr>
                  </w:pPr>
                  <w:r>
                    <w:rPr>
                      <w:color w:val="auto"/>
                    </w:rPr>
                    <w:t>北纬（°）</w:t>
                  </w:r>
                </w:p>
              </w:tc>
              <w:tc>
                <w:tcPr>
                  <w:tcW w:w="981" w:type="dxa"/>
                  <w:vMerge w:val="continue"/>
                  <w:vAlign w:val="center"/>
                </w:tcPr>
                <w:p w14:paraId="74BD4C34">
                  <w:pPr>
                    <w:pStyle w:val="287"/>
                    <w:framePr w:hSpace="0" w:wrap="auto" w:vAnchor="margin" w:hAnchor="text" w:xAlign="left" w:yAlign="inline"/>
                    <w:rPr>
                      <w:color w:val="auto"/>
                    </w:rPr>
                  </w:pPr>
                </w:p>
              </w:tc>
              <w:tc>
                <w:tcPr>
                  <w:tcW w:w="1728" w:type="dxa"/>
                  <w:vMerge w:val="continue"/>
                  <w:vAlign w:val="center"/>
                </w:tcPr>
                <w:p w14:paraId="143FEEF1">
                  <w:pPr>
                    <w:pStyle w:val="287"/>
                    <w:framePr w:hSpace="0" w:wrap="auto" w:vAnchor="margin" w:hAnchor="text" w:xAlign="left" w:yAlign="inline"/>
                    <w:rPr>
                      <w:color w:val="auto"/>
                    </w:rPr>
                  </w:pPr>
                </w:p>
              </w:tc>
              <w:tc>
                <w:tcPr>
                  <w:tcW w:w="596" w:type="dxa"/>
                  <w:vMerge w:val="continue"/>
                  <w:vAlign w:val="center"/>
                </w:tcPr>
                <w:p w14:paraId="2A135421">
                  <w:pPr>
                    <w:pStyle w:val="287"/>
                    <w:framePr w:hSpace="0" w:wrap="auto" w:vAnchor="margin" w:hAnchor="text" w:xAlign="left" w:yAlign="inline"/>
                    <w:rPr>
                      <w:color w:val="auto"/>
                    </w:rPr>
                  </w:pPr>
                </w:p>
              </w:tc>
              <w:tc>
                <w:tcPr>
                  <w:tcW w:w="449" w:type="dxa"/>
                  <w:vMerge w:val="continue"/>
                  <w:vAlign w:val="center"/>
                </w:tcPr>
                <w:p w14:paraId="1F0B5D61">
                  <w:pPr>
                    <w:pStyle w:val="287"/>
                    <w:framePr w:hSpace="0" w:wrap="auto" w:vAnchor="margin" w:hAnchor="text" w:xAlign="left" w:yAlign="inline"/>
                    <w:rPr>
                      <w:color w:val="auto"/>
                    </w:rPr>
                  </w:pPr>
                </w:p>
              </w:tc>
              <w:tc>
                <w:tcPr>
                  <w:tcW w:w="663" w:type="dxa"/>
                  <w:vMerge w:val="continue"/>
                  <w:vAlign w:val="center"/>
                </w:tcPr>
                <w:p w14:paraId="2638948B">
                  <w:pPr>
                    <w:pStyle w:val="287"/>
                    <w:framePr w:hSpace="0" w:wrap="auto" w:vAnchor="margin" w:hAnchor="text" w:xAlign="left" w:yAlign="inline"/>
                    <w:rPr>
                      <w:color w:val="auto"/>
                    </w:rPr>
                  </w:pPr>
                </w:p>
              </w:tc>
            </w:tr>
            <w:tr w14:paraId="3E718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6" w:type="dxa"/>
                  <w:vMerge w:val="restart"/>
                  <w:vAlign w:val="center"/>
                </w:tcPr>
                <w:p w14:paraId="292BC984">
                  <w:pPr>
                    <w:pStyle w:val="287"/>
                    <w:framePr w:hSpace="0" w:wrap="auto" w:vAnchor="margin" w:hAnchor="text" w:xAlign="left" w:yAlign="inline"/>
                    <w:rPr>
                      <w:rFonts w:hint="eastAsia" w:ascii="Times New Roman" w:hAnsi="Times New Roman" w:eastAsia="宋体" w:cs="宋体"/>
                      <w:color w:val="auto"/>
                    </w:rPr>
                  </w:pPr>
                  <w:r>
                    <w:rPr>
                      <w:rFonts w:hint="eastAsia" w:ascii="Times New Roman" w:hAnsi="Times New Roman" w:eastAsia="宋体" w:cs="宋体"/>
                      <w:color w:val="auto"/>
                    </w:rPr>
                    <w:t>大气</w:t>
                  </w:r>
                </w:p>
                <w:p w14:paraId="4878A861">
                  <w:pPr>
                    <w:pStyle w:val="287"/>
                    <w:framePr w:hSpace="0" w:wrap="auto" w:vAnchor="margin" w:hAnchor="text" w:xAlign="left" w:yAlign="inline"/>
                    <w:rPr>
                      <w:rFonts w:hint="eastAsia" w:ascii="Times New Roman" w:hAnsi="Times New Roman" w:eastAsia="宋体" w:cs="宋体"/>
                      <w:color w:val="auto"/>
                    </w:rPr>
                  </w:pPr>
                  <w:r>
                    <w:rPr>
                      <w:rFonts w:hint="eastAsia" w:ascii="Times New Roman" w:hAnsi="Times New Roman" w:eastAsia="宋体" w:cs="宋体"/>
                      <w:color w:val="auto"/>
                    </w:rPr>
                    <w:t>环境</w:t>
                  </w:r>
                </w:p>
              </w:tc>
              <w:tc>
                <w:tcPr>
                  <w:tcW w:w="1219" w:type="dxa"/>
                  <w:vAlign w:val="center"/>
                </w:tcPr>
                <w:p w14:paraId="249FD4CA">
                  <w:pPr>
                    <w:pStyle w:val="287"/>
                    <w:framePr w:hSpace="0" w:wrap="auto" w:vAnchor="margin" w:hAnchor="text" w:xAlign="left" w:yAlign="inline"/>
                    <w:rPr>
                      <w:rFonts w:hint="eastAsia" w:ascii="Times New Roman" w:hAnsi="Times New Roman" w:eastAsia="宋体" w:cs="宋体"/>
                      <w:color w:val="auto"/>
                      <w:lang w:eastAsia="zh-CN"/>
                    </w:rPr>
                  </w:pPr>
                  <w:r>
                    <w:rPr>
                      <w:rFonts w:hint="eastAsia" w:ascii="Times New Roman" w:hAnsi="Times New Roman" w:eastAsia="宋体" w:cs="宋体"/>
                      <w:color w:val="auto"/>
                      <w:lang w:eastAsia="zh-CN"/>
                    </w:rPr>
                    <w:t>支架社区</w:t>
                  </w:r>
                </w:p>
              </w:tc>
              <w:tc>
                <w:tcPr>
                  <w:tcW w:w="1154" w:type="dxa"/>
                  <w:vAlign w:val="center"/>
                </w:tcPr>
                <w:p w14:paraId="2B8C33D9">
                  <w:pPr>
                    <w:pStyle w:val="287"/>
                    <w:framePr w:hSpace="0" w:wrap="auto" w:vAnchor="margin" w:hAnchor="text" w:xAlign="left" w:yAlign="inline"/>
                    <w:rPr>
                      <w:rFonts w:hint="eastAsia" w:ascii="Times New Roman" w:hAnsi="Times New Roman" w:eastAsia="宋体" w:cs="宋体"/>
                      <w:color w:val="auto"/>
                    </w:rPr>
                  </w:pPr>
                  <w:r>
                    <w:rPr>
                      <w:rFonts w:hint="eastAsia" w:ascii="Times New Roman" w:hAnsi="Times New Roman" w:eastAsia="宋体" w:cs="宋体"/>
                      <w:color w:val="auto"/>
                    </w:rPr>
                    <w:t>116.833034</w:t>
                  </w:r>
                </w:p>
              </w:tc>
              <w:tc>
                <w:tcPr>
                  <w:tcW w:w="1177" w:type="dxa"/>
                  <w:vAlign w:val="center"/>
                </w:tcPr>
                <w:p w14:paraId="3C4A2BEA">
                  <w:pPr>
                    <w:pStyle w:val="287"/>
                    <w:framePr w:hSpace="0" w:wrap="auto" w:vAnchor="margin" w:hAnchor="text" w:xAlign="left" w:yAlign="inline"/>
                    <w:rPr>
                      <w:rFonts w:hint="eastAsia" w:ascii="Times New Roman" w:hAnsi="Times New Roman" w:eastAsia="宋体" w:cs="宋体"/>
                      <w:color w:val="auto"/>
                    </w:rPr>
                  </w:pPr>
                  <w:r>
                    <w:rPr>
                      <w:rFonts w:hint="eastAsia" w:ascii="Times New Roman" w:hAnsi="Times New Roman" w:eastAsia="宋体" w:cs="宋体"/>
                      <w:color w:val="auto"/>
                    </w:rPr>
                    <w:t>32.614870</w:t>
                  </w:r>
                </w:p>
              </w:tc>
              <w:tc>
                <w:tcPr>
                  <w:tcW w:w="981" w:type="dxa"/>
                  <w:vAlign w:val="center"/>
                </w:tcPr>
                <w:p w14:paraId="363A57A1">
                  <w:pPr>
                    <w:pStyle w:val="287"/>
                    <w:framePr w:hSpace="0" w:wrap="auto" w:vAnchor="margin" w:hAnchor="text" w:xAlign="left" w:yAlign="inline"/>
                    <w:rPr>
                      <w:rFonts w:hint="eastAsia" w:ascii="Times New Roman" w:hAnsi="Times New Roman" w:eastAsia="宋体" w:cs="宋体"/>
                      <w:color w:val="auto"/>
                    </w:rPr>
                  </w:pPr>
                  <w:r>
                    <w:rPr>
                      <w:rFonts w:hint="eastAsia" w:ascii="Times New Roman" w:hAnsi="Times New Roman" w:eastAsia="宋体" w:cs="宋体"/>
                      <w:color w:val="auto"/>
                    </w:rPr>
                    <w:t>居民</w:t>
                  </w:r>
                </w:p>
              </w:tc>
              <w:tc>
                <w:tcPr>
                  <w:tcW w:w="1728" w:type="dxa"/>
                  <w:vAlign w:val="center"/>
                </w:tcPr>
                <w:p w14:paraId="7DB2F17E">
                  <w:pPr>
                    <w:pStyle w:val="287"/>
                    <w:framePr w:hSpace="0" w:wrap="auto" w:vAnchor="margin" w:hAnchor="text" w:xAlign="left" w:yAlign="inline"/>
                    <w:rPr>
                      <w:color w:val="auto"/>
                    </w:rPr>
                  </w:pPr>
                  <w:r>
                    <w:rPr>
                      <w:rFonts w:hint="eastAsia"/>
                      <w:color w:val="auto"/>
                    </w:rPr>
                    <w:t>约35户/</w:t>
                  </w:r>
                  <w:r>
                    <w:rPr>
                      <w:rFonts w:hint="eastAsia"/>
                      <w:color w:val="auto"/>
                      <w:lang w:val="en-US" w:eastAsia="zh-CN"/>
                    </w:rPr>
                    <w:t>1</w:t>
                  </w:r>
                  <w:r>
                    <w:rPr>
                      <w:rFonts w:hint="eastAsia"/>
                      <w:color w:val="auto"/>
                    </w:rPr>
                    <w:t>02人</w:t>
                  </w:r>
                </w:p>
              </w:tc>
              <w:tc>
                <w:tcPr>
                  <w:tcW w:w="596" w:type="dxa"/>
                  <w:vAlign w:val="center"/>
                </w:tcPr>
                <w:p w14:paraId="221B3E1F">
                  <w:pPr>
                    <w:pStyle w:val="287"/>
                    <w:framePr w:hSpace="0" w:wrap="auto" w:vAnchor="margin" w:hAnchor="text" w:xAlign="left" w:yAlign="inline"/>
                    <w:rPr>
                      <w:color w:val="auto"/>
                    </w:rPr>
                  </w:pPr>
                  <w:r>
                    <w:rPr>
                      <w:color w:val="auto"/>
                    </w:rPr>
                    <w:t>二类</w:t>
                  </w:r>
                </w:p>
              </w:tc>
              <w:tc>
                <w:tcPr>
                  <w:tcW w:w="449" w:type="dxa"/>
                  <w:vAlign w:val="center"/>
                </w:tcPr>
                <w:p w14:paraId="066BF43A">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NE</w:t>
                  </w:r>
                </w:p>
              </w:tc>
              <w:tc>
                <w:tcPr>
                  <w:tcW w:w="663" w:type="dxa"/>
                  <w:vAlign w:val="center"/>
                </w:tcPr>
                <w:p w14:paraId="700248C2">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291</w:t>
                  </w:r>
                </w:p>
              </w:tc>
            </w:tr>
            <w:tr w14:paraId="12037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6" w:type="dxa"/>
                  <w:vMerge w:val="continue"/>
                  <w:vAlign w:val="center"/>
                </w:tcPr>
                <w:p w14:paraId="334FFA65">
                  <w:pPr>
                    <w:pStyle w:val="287"/>
                    <w:framePr w:hSpace="0" w:wrap="auto" w:vAnchor="margin" w:hAnchor="text" w:xAlign="left" w:yAlign="inline"/>
                    <w:rPr>
                      <w:rFonts w:hint="eastAsia" w:ascii="Times New Roman" w:hAnsi="Times New Roman" w:eastAsia="宋体" w:cs="宋体"/>
                      <w:color w:val="auto"/>
                    </w:rPr>
                  </w:pPr>
                </w:p>
              </w:tc>
              <w:tc>
                <w:tcPr>
                  <w:tcW w:w="1219" w:type="dxa"/>
                  <w:vAlign w:val="center"/>
                </w:tcPr>
                <w:p w14:paraId="38053DDE">
                  <w:pPr>
                    <w:pStyle w:val="287"/>
                    <w:framePr w:hSpace="0" w:wrap="auto" w:vAnchor="margin" w:hAnchor="text" w:xAlign="left" w:yAlign="inline"/>
                    <w:rPr>
                      <w:rFonts w:hint="eastAsia" w:ascii="Times New Roman" w:hAnsi="Times New Roman" w:eastAsia="宋体" w:cs="宋体"/>
                      <w:color w:val="auto"/>
                      <w:lang w:eastAsia="zh-CN"/>
                    </w:rPr>
                  </w:pPr>
                  <w:r>
                    <w:rPr>
                      <w:rFonts w:hint="eastAsia" w:ascii="Times New Roman" w:hAnsi="Times New Roman" w:eastAsia="宋体" w:cs="宋体"/>
                      <w:color w:val="auto"/>
                      <w:lang w:val="en-US" w:eastAsia="zh-CN"/>
                    </w:rPr>
                    <w:t>八公山风景名胜区</w:t>
                  </w:r>
                </w:p>
              </w:tc>
              <w:tc>
                <w:tcPr>
                  <w:tcW w:w="1154" w:type="dxa"/>
                  <w:vAlign w:val="center"/>
                </w:tcPr>
                <w:p w14:paraId="4B66888A">
                  <w:pPr>
                    <w:pStyle w:val="287"/>
                    <w:framePr w:hSpace="0" w:wrap="auto" w:vAnchor="margin" w:hAnchor="text" w:xAlign="left" w:yAlign="inline"/>
                    <w:rPr>
                      <w:rFonts w:hint="eastAsia" w:ascii="Times New Roman" w:hAnsi="Times New Roman" w:eastAsia="宋体" w:cs="宋体"/>
                      <w:color w:val="auto"/>
                    </w:rPr>
                  </w:pPr>
                  <w:r>
                    <w:rPr>
                      <w:rFonts w:hint="eastAsia" w:ascii="Times New Roman" w:hAnsi="Times New Roman" w:eastAsia="宋体" w:cs="宋体"/>
                      <w:color w:val="auto"/>
                    </w:rPr>
                    <w:t>116.830587</w:t>
                  </w:r>
                </w:p>
              </w:tc>
              <w:tc>
                <w:tcPr>
                  <w:tcW w:w="1177" w:type="dxa"/>
                  <w:vAlign w:val="center"/>
                </w:tcPr>
                <w:p w14:paraId="48ADFDC6">
                  <w:pPr>
                    <w:pStyle w:val="287"/>
                    <w:framePr w:hSpace="0" w:wrap="auto" w:vAnchor="margin" w:hAnchor="text" w:xAlign="left" w:yAlign="inline"/>
                    <w:rPr>
                      <w:rFonts w:hint="eastAsia" w:ascii="Times New Roman" w:hAnsi="Times New Roman" w:eastAsia="宋体" w:cs="宋体"/>
                      <w:color w:val="auto"/>
                    </w:rPr>
                  </w:pPr>
                  <w:r>
                    <w:rPr>
                      <w:rFonts w:hint="eastAsia" w:ascii="Times New Roman" w:hAnsi="Times New Roman" w:eastAsia="宋体" w:cs="宋体"/>
                      <w:color w:val="auto"/>
                    </w:rPr>
                    <w:t>32.614617</w:t>
                  </w:r>
                </w:p>
              </w:tc>
              <w:tc>
                <w:tcPr>
                  <w:tcW w:w="981" w:type="dxa"/>
                  <w:vAlign w:val="center"/>
                </w:tcPr>
                <w:p w14:paraId="106143CA">
                  <w:pPr>
                    <w:pStyle w:val="287"/>
                    <w:framePr w:hSpace="0" w:wrap="auto" w:vAnchor="margin" w:hAnchor="text" w:xAlign="left" w:yAlign="inline"/>
                    <w:rPr>
                      <w:rFonts w:hint="eastAsia" w:ascii="Times New Roman" w:hAnsi="Times New Roman" w:eastAsia="宋体" w:cs="宋体"/>
                      <w:color w:val="auto"/>
                    </w:rPr>
                  </w:pPr>
                  <w:r>
                    <w:rPr>
                      <w:rFonts w:hint="eastAsia" w:ascii="Times New Roman" w:hAnsi="Times New Roman" w:eastAsia="宋体" w:cs="宋体"/>
                      <w:color w:val="auto"/>
                      <w:lang w:val="en-US" w:eastAsia="zh-CN"/>
                    </w:rPr>
                    <w:t>风景名胜区</w:t>
                  </w:r>
                </w:p>
              </w:tc>
              <w:tc>
                <w:tcPr>
                  <w:tcW w:w="1728" w:type="dxa"/>
                  <w:vAlign w:val="center"/>
                </w:tcPr>
                <w:p w14:paraId="76BDB6B9">
                  <w:pPr>
                    <w:pStyle w:val="287"/>
                    <w:framePr w:hSpace="0" w:wrap="auto" w:vAnchor="margin" w:hAnchor="text" w:xAlign="left" w:yAlign="inline"/>
                    <w:rPr>
                      <w:rFonts w:hint="eastAsia" w:eastAsia="宋体"/>
                      <w:color w:val="auto"/>
                      <w:lang w:val="en-US" w:eastAsia="zh-CN"/>
                    </w:rPr>
                  </w:pPr>
                  <w:r>
                    <w:rPr>
                      <w:rFonts w:hint="eastAsia"/>
                      <w:color w:val="auto"/>
                      <w:lang w:val="en-US" w:eastAsia="zh-CN"/>
                    </w:rPr>
                    <w:t>/</w:t>
                  </w:r>
                </w:p>
              </w:tc>
              <w:tc>
                <w:tcPr>
                  <w:tcW w:w="596" w:type="dxa"/>
                  <w:vAlign w:val="center"/>
                </w:tcPr>
                <w:p w14:paraId="01293983">
                  <w:pPr>
                    <w:pStyle w:val="287"/>
                    <w:framePr w:hSpace="0" w:wrap="auto" w:vAnchor="margin" w:hAnchor="text" w:xAlign="left" w:yAlign="inline"/>
                    <w:rPr>
                      <w:rFonts w:hint="eastAsia" w:eastAsia="宋体"/>
                      <w:color w:val="auto"/>
                      <w:lang w:eastAsia="zh-CN"/>
                    </w:rPr>
                  </w:pPr>
                  <w:r>
                    <w:rPr>
                      <w:rFonts w:hint="eastAsia"/>
                      <w:color w:val="auto"/>
                      <w:lang w:eastAsia="zh-CN"/>
                    </w:rPr>
                    <w:t>一类</w:t>
                  </w:r>
                </w:p>
              </w:tc>
              <w:tc>
                <w:tcPr>
                  <w:tcW w:w="449" w:type="dxa"/>
                  <w:vAlign w:val="center"/>
                </w:tcPr>
                <w:p w14:paraId="15172A75">
                  <w:pPr>
                    <w:pStyle w:val="287"/>
                    <w:framePr w:hSpace="0" w:wrap="auto" w:vAnchor="margin" w:hAnchor="text" w:xAlign="left" w:yAlign="inline"/>
                    <w:rPr>
                      <w:rFonts w:hint="default"/>
                      <w:color w:val="auto"/>
                      <w:lang w:val="en-US" w:eastAsia="zh-CN"/>
                    </w:rPr>
                  </w:pPr>
                  <w:r>
                    <w:rPr>
                      <w:rFonts w:hint="eastAsia"/>
                      <w:color w:val="auto"/>
                      <w:lang w:val="en-US" w:eastAsia="zh-CN"/>
                    </w:rPr>
                    <w:t>NW</w:t>
                  </w:r>
                </w:p>
              </w:tc>
              <w:tc>
                <w:tcPr>
                  <w:tcW w:w="663" w:type="dxa"/>
                  <w:vAlign w:val="center"/>
                </w:tcPr>
                <w:p w14:paraId="26F5946B">
                  <w:pPr>
                    <w:pStyle w:val="287"/>
                    <w:framePr w:hSpace="0" w:wrap="auto" w:vAnchor="margin" w:hAnchor="text" w:xAlign="left" w:yAlign="inline"/>
                    <w:rPr>
                      <w:rFonts w:hint="default"/>
                      <w:color w:val="auto"/>
                      <w:lang w:val="en-US" w:eastAsia="zh-CN"/>
                    </w:rPr>
                  </w:pPr>
                  <w:r>
                    <w:rPr>
                      <w:rFonts w:hint="eastAsia"/>
                      <w:color w:val="auto"/>
                      <w:lang w:val="en-US" w:eastAsia="zh-CN"/>
                    </w:rPr>
                    <w:t>243</w:t>
                  </w:r>
                </w:p>
              </w:tc>
            </w:tr>
            <w:tr w14:paraId="4AB85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6" w:type="dxa"/>
                  <w:vAlign w:val="center"/>
                </w:tcPr>
                <w:p w14:paraId="081F5F09">
                  <w:pPr>
                    <w:pStyle w:val="287"/>
                    <w:framePr w:hSpace="0" w:wrap="auto" w:vAnchor="margin" w:hAnchor="text" w:xAlign="left" w:yAlign="inline"/>
                    <w:rPr>
                      <w:color w:val="auto"/>
                    </w:rPr>
                  </w:pPr>
                  <w:r>
                    <w:rPr>
                      <w:color w:val="auto"/>
                    </w:rPr>
                    <w:t>声环境</w:t>
                  </w:r>
                </w:p>
              </w:tc>
              <w:tc>
                <w:tcPr>
                  <w:tcW w:w="7967" w:type="dxa"/>
                  <w:gridSpan w:val="8"/>
                  <w:vAlign w:val="center"/>
                </w:tcPr>
                <w:p w14:paraId="48626F48">
                  <w:pPr>
                    <w:pStyle w:val="287"/>
                    <w:framePr w:hSpace="0" w:wrap="auto" w:vAnchor="margin" w:hAnchor="text" w:xAlign="left" w:yAlign="inline"/>
                    <w:rPr>
                      <w:rFonts w:hint="eastAsia" w:eastAsia="宋体"/>
                      <w:color w:val="auto"/>
                      <w:lang w:val="en-US" w:eastAsia="zh-CN"/>
                    </w:rPr>
                  </w:pPr>
                  <w:r>
                    <w:rPr>
                      <w:color w:val="auto"/>
                    </w:rPr>
                    <w:t>厂界外50m无声环境保护目标。</w:t>
                  </w:r>
                </w:p>
              </w:tc>
            </w:tr>
            <w:tr w14:paraId="76646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6" w:type="dxa"/>
                  <w:vMerge w:val="restart"/>
                  <w:vAlign w:val="center"/>
                </w:tcPr>
                <w:p w14:paraId="54336A61">
                  <w:pPr>
                    <w:pStyle w:val="287"/>
                    <w:framePr w:hSpace="0" w:wrap="auto" w:vAnchor="margin" w:hAnchor="text" w:xAlign="left" w:yAlign="inline"/>
                    <w:rPr>
                      <w:color w:val="auto"/>
                    </w:rPr>
                  </w:pPr>
                  <w:r>
                    <w:rPr>
                      <w:rFonts w:hint="eastAsia"/>
                      <w:color w:val="auto"/>
                    </w:rPr>
                    <w:t>地表水</w:t>
                  </w:r>
                </w:p>
              </w:tc>
              <w:tc>
                <w:tcPr>
                  <w:tcW w:w="2373" w:type="dxa"/>
                  <w:gridSpan w:val="2"/>
                  <w:vAlign w:val="center"/>
                </w:tcPr>
                <w:p w14:paraId="4AAEE212">
                  <w:pPr>
                    <w:pStyle w:val="287"/>
                    <w:framePr w:hSpace="0" w:wrap="auto" w:vAnchor="margin" w:hAnchor="text" w:xAlign="left" w:yAlign="inline"/>
                    <w:rPr>
                      <w:color w:val="auto"/>
                    </w:rPr>
                  </w:pPr>
                  <w:r>
                    <w:rPr>
                      <w:rFonts w:hint="eastAsia"/>
                      <w:color w:val="auto"/>
                    </w:rPr>
                    <w:t>淮河</w:t>
                  </w:r>
                </w:p>
              </w:tc>
              <w:tc>
                <w:tcPr>
                  <w:tcW w:w="3886" w:type="dxa"/>
                  <w:gridSpan w:val="3"/>
                  <w:vAlign w:val="center"/>
                </w:tcPr>
                <w:p w14:paraId="05EFF9E6">
                  <w:pPr>
                    <w:pStyle w:val="287"/>
                    <w:framePr w:hSpace="0" w:wrap="auto" w:vAnchor="margin" w:hAnchor="text" w:xAlign="left" w:yAlign="inline"/>
                    <w:rPr>
                      <w:color w:val="auto"/>
                    </w:rPr>
                  </w:pPr>
                  <w:r>
                    <w:rPr>
                      <w:rFonts w:hint="eastAsia"/>
                      <w:color w:val="auto"/>
                    </w:rPr>
                    <w:t>大型河流</w:t>
                  </w:r>
                </w:p>
              </w:tc>
              <w:tc>
                <w:tcPr>
                  <w:tcW w:w="596" w:type="dxa"/>
                  <w:vAlign w:val="center"/>
                </w:tcPr>
                <w:p w14:paraId="237E568A">
                  <w:pPr>
                    <w:pStyle w:val="287"/>
                    <w:framePr w:hSpace="0" w:wrap="auto" w:vAnchor="margin" w:hAnchor="text" w:xAlign="left" w:yAlign="inline"/>
                    <w:rPr>
                      <w:color w:val="auto"/>
                    </w:rPr>
                  </w:pPr>
                  <w:r>
                    <w:rPr>
                      <w:rFonts w:hint="eastAsia"/>
                      <w:color w:val="auto"/>
                    </w:rPr>
                    <w:t>Ⅲ类</w:t>
                  </w:r>
                </w:p>
              </w:tc>
              <w:tc>
                <w:tcPr>
                  <w:tcW w:w="449" w:type="dxa"/>
                  <w:vAlign w:val="center"/>
                </w:tcPr>
                <w:p w14:paraId="72F766A3">
                  <w:pPr>
                    <w:pStyle w:val="287"/>
                    <w:framePr w:hSpace="0" w:wrap="auto" w:vAnchor="margin" w:hAnchor="text" w:xAlign="left" w:yAlign="inline"/>
                    <w:rPr>
                      <w:color w:val="auto"/>
                    </w:rPr>
                  </w:pPr>
                  <w:r>
                    <w:rPr>
                      <w:rFonts w:hint="eastAsia" w:ascii="Times New Roman" w:hAnsi="Times New Roman" w:eastAsia="宋体" w:cs="Times New Roman"/>
                      <w:i w:val="0"/>
                      <w:iCs w:val="0"/>
                      <w:color w:val="auto"/>
                      <w:kern w:val="2"/>
                      <w:sz w:val="21"/>
                      <w:szCs w:val="21"/>
                      <w:highlight w:val="none"/>
                      <w:u w:val="none"/>
                      <w:lang w:val="en-US" w:eastAsia="zh-CN" w:bidi="ar-SA"/>
                    </w:rPr>
                    <w:t>NE</w:t>
                  </w:r>
                </w:p>
              </w:tc>
              <w:tc>
                <w:tcPr>
                  <w:tcW w:w="663" w:type="dxa"/>
                  <w:vAlign w:val="center"/>
                </w:tcPr>
                <w:p w14:paraId="6F17002A">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5337</w:t>
                  </w:r>
                </w:p>
              </w:tc>
            </w:tr>
            <w:tr w14:paraId="2DC2D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6" w:type="dxa"/>
                  <w:vMerge w:val="continue"/>
                  <w:vAlign w:val="center"/>
                </w:tcPr>
                <w:p w14:paraId="26A19CBC">
                  <w:pPr>
                    <w:pStyle w:val="287"/>
                    <w:framePr w:hSpace="0" w:wrap="auto" w:vAnchor="margin" w:hAnchor="text" w:xAlign="left" w:yAlign="inline"/>
                    <w:rPr>
                      <w:color w:val="auto"/>
                    </w:rPr>
                  </w:pPr>
                </w:p>
              </w:tc>
              <w:tc>
                <w:tcPr>
                  <w:tcW w:w="2373" w:type="dxa"/>
                  <w:gridSpan w:val="2"/>
                  <w:vAlign w:val="center"/>
                </w:tcPr>
                <w:p w14:paraId="26725DE4">
                  <w:pPr>
                    <w:pStyle w:val="287"/>
                    <w:framePr w:hSpace="0" w:wrap="auto" w:vAnchor="margin" w:hAnchor="text" w:xAlign="left" w:yAlign="inline"/>
                    <w:rPr>
                      <w:rFonts w:hint="eastAsia" w:eastAsia="宋体"/>
                      <w:color w:val="auto"/>
                      <w:lang w:eastAsia="zh-CN"/>
                    </w:rPr>
                  </w:pPr>
                  <w:r>
                    <w:rPr>
                      <w:rFonts w:hint="eastAsia"/>
                      <w:color w:val="auto"/>
                      <w:lang w:eastAsia="zh-CN"/>
                    </w:rPr>
                    <w:t>老河</w:t>
                  </w:r>
                </w:p>
              </w:tc>
              <w:tc>
                <w:tcPr>
                  <w:tcW w:w="3886" w:type="dxa"/>
                  <w:gridSpan w:val="3"/>
                  <w:vAlign w:val="center"/>
                </w:tcPr>
                <w:p w14:paraId="1C80DA59">
                  <w:pPr>
                    <w:pStyle w:val="287"/>
                    <w:framePr w:hSpace="0" w:wrap="auto" w:vAnchor="margin" w:hAnchor="text" w:xAlign="left" w:yAlign="inline"/>
                    <w:rPr>
                      <w:color w:val="auto"/>
                    </w:rPr>
                  </w:pPr>
                  <w:r>
                    <w:rPr>
                      <w:rFonts w:hint="eastAsia"/>
                      <w:color w:val="auto"/>
                    </w:rPr>
                    <w:t>小型河流</w:t>
                  </w:r>
                </w:p>
              </w:tc>
              <w:tc>
                <w:tcPr>
                  <w:tcW w:w="596" w:type="dxa"/>
                  <w:vAlign w:val="center"/>
                </w:tcPr>
                <w:p w14:paraId="70A08E5D">
                  <w:pPr>
                    <w:pStyle w:val="287"/>
                    <w:framePr w:hSpace="0" w:wrap="auto" w:vAnchor="margin" w:hAnchor="text" w:xAlign="left" w:yAlign="inline"/>
                    <w:rPr>
                      <w:color w:val="auto"/>
                    </w:rPr>
                  </w:pPr>
                  <w:r>
                    <w:rPr>
                      <w:rFonts w:hint="eastAsia"/>
                      <w:color w:val="auto"/>
                    </w:rPr>
                    <w:t>Ⅲ类</w:t>
                  </w:r>
                </w:p>
              </w:tc>
              <w:tc>
                <w:tcPr>
                  <w:tcW w:w="449" w:type="dxa"/>
                  <w:vAlign w:val="center"/>
                </w:tcPr>
                <w:p w14:paraId="5F5E97B3">
                  <w:pPr>
                    <w:pStyle w:val="287"/>
                    <w:framePr w:hSpace="0" w:wrap="auto" w:vAnchor="margin" w:hAnchor="text" w:xAlign="left" w:yAlign="inline"/>
                    <w:rPr>
                      <w:rFonts w:hint="eastAsia" w:eastAsia="宋体"/>
                      <w:color w:val="auto"/>
                      <w:lang w:eastAsia="zh-CN"/>
                    </w:rPr>
                  </w:pPr>
                  <w:r>
                    <w:rPr>
                      <w:rFonts w:hint="eastAsia" w:ascii="Times New Roman" w:hAnsi="Times New Roman" w:eastAsia="宋体" w:cs="Times New Roman"/>
                      <w:i w:val="0"/>
                      <w:iCs w:val="0"/>
                      <w:color w:val="auto"/>
                      <w:kern w:val="2"/>
                      <w:sz w:val="21"/>
                      <w:szCs w:val="21"/>
                      <w:highlight w:val="none"/>
                      <w:u w:val="none"/>
                      <w:lang w:val="en-US" w:eastAsia="zh-CN" w:bidi="ar-SA"/>
                    </w:rPr>
                    <w:t>SW</w:t>
                  </w:r>
                </w:p>
              </w:tc>
              <w:tc>
                <w:tcPr>
                  <w:tcW w:w="663" w:type="dxa"/>
                  <w:vAlign w:val="center"/>
                </w:tcPr>
                <w:p w14:paraId="60E03493">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2642</w:t>
                  </w:r>
                </w:p>
              </w:tc>
            </w:tr>
            <w:tr w14:paraId="2ED7D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6" w:type="dxa"/>
                  <w:vAlign w:val="center"/>
                </w:tcPr>
                <w:p w14:paraId="78FCD682">
                  <w:pPr>
                    <w:pStyle w:val="287"/>
                    <w:framePr w:hSpace="0" w:wrap="auto" w:vAnchor="margin" w:hAnchor="text" w:xAlign="left" w:yAlign="inline"/>
                    <w:rPr>
                      <w:color w:val="auto"/>
                    </w:rPr>
                  </w:pPr>
                  <w:r>
                    <w:rPr>
                      <w:color w:val="auto"/>
                    </w:rPr>
                    <w:t>地下水环境</w:t>
                  </w:r>
                </w:p>
              </w:tc>
              <w:tc>
                <w:tcPr>
                  <w:tcW w:w="7967" w:type="dxa"/>
                  <w:gridSpan w:val="8"/>
                  <w:vAlign w:val="center"/>
                </w:tcPr>
                <w:p w14:paraId="48DEEF17">
                  <w:pPr>
                    <w:pStyle w:val="287"/>
                    <w:framePr w:hSpace="0" w:wrap="auto" w:vAnchor="margin" w:hAnchor="text" w:xAlign="left" w:yAlign="inline"/>
                    <w:rPr>
                      <w:color w:val="auto"/>
                    </w:rPr>
                  </w:pPr>
                  <w:r>
                    <w:rPr>
                      <w:color w:val="auto"/>
                    </w:rPr>
                    <w:t>厂界外500m无地下水集中式饮用水水源和热水、矿泉水、温泉等特殊地下水资源。</w:t>
                  </w:r>
                </w:p>
              </w:tc>
            </w:tr>
            <w:tr w14:paraId="031D6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96" w:type="dxa"/>
                  <w:vAlign w:val="center"/>
                </w:tcPr>
                <w:p w14:paraId="39163204">
                  <w:pPr>
                    <w:pStyle w:val="287"/>
                    <w:framePr w:hSpace="0" w:wrap="auto" w:vAnchor="margin" w:hAnchor="text" w:xAlign="left" w:yAlign="inline"/>
                    <w:rPr>
                      <w:color w:val="auto"/>
                    </w:rPr>
                  </w:pPr>
                  <w:r>
                    <w:rPr>
                      <w:color w:val="auto"/>
                    </w:rPr>
                    <w:t>生态</w:t>
                  </w:r>
                </w:p>
                <w:p w14:paraId="6348E19E">
                  <w:pPr>
                    <w:pStyle w:val="287"/>
                    <w:framePr w:hSpace="0" w:wrap="auto" w:vAnchor="margin" w:hAnchor="text" w:xAlign="left" w:yAlign="inline"/>
                    <w:rPr>
                      <w:color w:val="auto"/>
                    </w:rPr>
                  </w:pPr>
                  <w:r>
                    <w:rPr>
                      <w:color w:val="auto"/>
                    </w:rPr>
                    <w:t>环境</w:t>
                  </w:r>
                </w:p>
              </w:tc>
              <w:tc>
                <w:tcPr>
                  <w:tcW w:w="7967" w:type="dxa"/>
                  <w:gridSpan w:val="8"/>
                  <w:vAlign w:val="center"/>
                </w:tcPr>
                <w:p w14:paraId="4893E629">
                  <w:pPr>
                    <w:pStyle w:val="287"/>
                    <w:framePr w:hSpace="0" w:wrap="auto" w:vAnchor="margin" w:hAnchor="text" w:xAlign="left" w:yAlign="inline"/>
                    <w:rPr>
                      <w:color w:val="auto"/>
                    </w:rPr>
                  </w:pPr>
                  <w:r>
                    <w:rPr>
                      <w:color w:val="auto"/>
                    </w:rPr>
                    <w:t>项目用地范围内无生态环境保护目标。</w:t>
                  </w:r>
                </w:p>
              </w:tc>
            </w:tr>
          </w:tbl>
          <w:p w14:paraId="77C3F674">
            <w:pPr>
              <w:pStyle w:val="181"/>
              <w:wordWrap/>
              <w:spacing w:line="360" w:lineRule="auto"/>
              <w:ind w:firstLine="0" w:firstLineChars="0"/>
              <w:jc w:val="left"/>
              <w:outlineLvl w:val="1"/>
              <w:rPr>
                <w:color w:val="auto"/>
              </w:rPr>
            </w:pPr>
            <w:r>
              <w:rPr>
                <w:color w:val="auto"/>
              </w:rPr>
              <w:drawing>
                <wp:inline distT="0" distB="0" distL="114300" distR="114300">
                  <wp:extent cx="5483860" cy="4613275"/>
                  <wp:effectExtent l="0" t="0" r="2540" b="1587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9"/>
                          <a:stretch>
                            <a:fillRect/>
                          </a:stretch>
                        </pic:blipFill>
                        <pic:spPr>
                          <a:xfrm>
                            <a:off x="0" y="0"/>
                            <a:ext cx="5483860" cy="4613275"/>
                          </a:xfrm>
                          <a:prstGeom prst="rect">
                            <a:avLst/>
                          </a:prstGeom>
                          <a:noFill/>
                          <a:ln>
                            <a:noFill/>
                          </a:ln>
                        </pic:spPr>
                      </pic:pic>
                    </a:graphicData>
                  </a:graphic>
                </wp:inline>
              </w:drawing>
            </w:r>
          </w:p>
          <w:p w14:paraId="2B61F74C">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ascii="Times New Roman" w:cs="Times New Roman"/>
                <w:b/>
                <w:bCs/>
                <w:color w:val="auto"/>
                <w:sz w:val="21"/>
              </w:rPr>
            </w:pPr>
            <w:r>
              <w:rPr>
                <w:color w:val="auto"/>
              </w:rPr>
              <w:t xml:space="preserve">图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图 \* ARABIC \s 1 </w:instrText>
            </w:r>
            <w:r>
              <w:rPr>
                <w:color w:val="auto"/>
              </w:rPr>
              <w:fldChar w:fldCharType="separate"/>
            </w:r>
            <w:r>
              <w:rPr>
                <w:color w:val="auto"/>
              </w:rPr>
              <w:t>2</w:t>
            </w:r>
            <w:r>
              <w:rPr>
                <w:color w:val="auto"/>
              </w:rPr>
              <w:fldChar w:fldCharType="end"/>
            </w:r>
            <w:r>
              <w:rPr>
                <w:rFonts w:hint="eastAsia"/>
                <w:color w:val="auto"/>
                <w:lang w:val="en-US" w:eastAsia="zh-CN"/>
              </w:rPr>
              <w:t xml:space="preserve"> </w:t>
            </w:r>
            <w:r>
              <w:rPr>
                <w:rFonts w:ascii="Times New Roman" w:cs="Times New Roman"/>
                <w:b/>
                <w:bCs/>
                <w:color w:val="auto"/>
                <w:sz w:val="21"/>
              </w:rPr>
              <w:t>本项目环境保护目标分布图</w:t>
            </w:r>
            <w:r>
              <w:rPr>
                <w:rFonts w:hint="eastAsia" w:ascii="Times New Roman" w:cs="Times New Roman"/>
                <w:b/>
                <w:bCs/>
                <w:color w:val="auto"/>
                <w:sz w:val="21"/>
                <w:highlight w:val="none"/>
              </w:rPr>
              <w:t>（详见附图5）</w:t>
            </w:r>
            <w:bookmarkEnd w:id="19"/>
          </w:p>
        </w:tc>
      </w:tr>
      <w:tr w14:paraId="5EC6FB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9"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139B7DA1">
            <w:pPr>
              <w:spacing w:after="0"/>
              <w:ind w:left="0" w:leftChars="0" w:right="0" w:rightChars="0" w:firstLine="0" w:firstLineChars="0"/>
              <w:jc w:val="center"/>
              <w:outlineLvl w:val="1"/>
              <w:rPr>
                <w:color w:val="auto"/>
              </w:rPr>
            </w:pPr>
            <w:r>
              <w:rPr>
                <w:color w:val="auto"/>
              </w:rPr>
              <w:t>污染物排放控制标准</w:t>
            </w:r>
          </w:p>
        </w:tc>
        <w:tc>
          <w:tcPr>
            <w:tcW w:w="8267" w:type="dxa"/>
            <w:tcBorders>
              <w:top w:val="single" w:color="auto" w:sz="4" w:space="0"/>
              <w:left w:val="single" w:color="auto" w:sz="4" w:space="0"/>
              <w:bottom w:val="single" w:color="auto" w:sz="4" w:space="0"/>
              <w:right w:val="single" w:color="auto" w:sz="4" w:space="0"/>
            </w:tcBorders>
            <w:vAlign w:val="center"/>
          </w:tcPr>
          <w:p w14:paraId="15D84156">
            <w:pPr>
              <w:pStyle w:val="598"/>
              <w:framePr w:hSpace="0" w:wrap="auto" w:vAnchor="margin" w:hAnchor="text" w:xAlign="left" w:yAlign="inline"/>
              <w:rPr>
                <w:color w:val="auto"/>
              </w:rPr>
            </w:pPr>
            <w:bookmarkStart w:id="20" w:name="_Hlk174981776"/>
            <w:r>
              <w:rPr>
                <w:color w:val="auto"/>
              </w:rPr>
              <w:t>3.3</w:t>
            </w:r>
            <w:r>
              <w:rPr>
                <w:rFonts w:hint="eastAsia"/>
                <w:color w:val="auto"/>
              </w:rPr>
              <w:t xml:space="preserve"> 污染物排放控制标准</w:t>
            </w:r>
          </w:p>
          <w:p w14:paraId="0FA7E2CA">
            <w:pPr>
              <w:pStyle w:val="181"/>
              <w:ind w:firstLine="482"/>
              <w:rPr>
                <w:b/>
                <w:bCs/>
                <w:color w:val="auto"/>
              </w:rPr>
            </w:pPr>
            <w:r>
              <w:rPr>
                <w:b/>
                <w:bCs/>
                <w:color w:val="auto"/>
              </w:rPr>
              <w:t>3.3.1</w:t>
            </w:r>
            <w:r>
              <w:rPr>
                <w:rFonts w:hint="eastAsia" w:ascii="宋体" w:hAnsi="宋体" w:cs="宋体"/>
                <w:b/>
                <w:bCs/>
                <w:color w:val="auto"/>
              </w:rPr>
              <w:t>废气排放标准</w:t>
            </w:r>
          </w:p>
          <w:p w14:paraId="4EEC8CE3">
            <w:pPr>
              <w:pStyle w:val="181"/>
              <w:wordWrap/>
              <w:ind w:firstLine="480"/>
              <w:rPr>
                <w:rFonts w:hint="eastAsia"/>
                <w:color w:val="auto"/>
              </w:rPr>
            </w:pPr>
            <w:r>
              <w:rPr>
                <w:rFonts w:hint="eastAsia" w:ascii="Times New Roman" w:hAnsi="Times New Roman" w:eastAsia="宋体" w:cs="Times New Roman"/>
                <w:color w:val="auto"/>
                <w:szCs w:val="24"/>
                <w:highlight w:val="none"/>
                <w:lang w:val="en-US" w:eastAsia="zh-CN"/>
              </w:rPr>
              <w:t>本项目</w:t>
            </w:r>
            <w:r>
              <w:rPr>
                <w:rFonts w:hint="eastAsia" w:ascii="Times New Roman" w:hAnsi="Times New Roman" w:cs="Times New Roman"/>
                <w:color w:val="auto"/>
                <w:szCs w:val="24"/>
                <w:highlight w:val="none"/>
                <w:lang w:val="en-US" w:eastAsia="zh-CN"/>
              </w:rPr>
              <w:t>废气排放</w:t>
            </w:r>
            <w:r>
              <w:rPr>
                <w:rFonts w:hint="eastAsia" w:ascii="Times New Roman" w:hAnsi="Times New Roman" w:eastAsia="宋体" w:cs="Times New Roman"/>
                <w:color w:val="auto"/>
                <w:szCs w:val="24"/>
                <w:highlight w:val="none"/>
                <w:lang w:val="en-US" w:eastAsia="zh-CN"/>
              </w:rPr>
              <w:t>执行</w:t>
            </w:r>
            <w:r>
              <w:rPr>
                <w:rFonts w:hint="eastAsia" w:ascii="Times New Roman" w:hAnsi="Times New Roman" w:cs="Times New Roman"/>
                <w:color w:val="auto"/>
                <w:szCs w:val="24"/>
                <w:highlight w:val="none"/>
                <w:lang w:val="en-US" w:eastAsia="zh-CN"/>
              </w:rPr>
              <w:t>《煤炭工业污染物排放标准》（GB20426-2006）</w:t>
            </w:r>
            <w:r>
              <w:rPr>
                <w:rFonts w:hint="eastAsia" w:ascii="Times New Roman" w:hAnsi="Times New Roman" w:eastAsia="宋体" w:cs="Times New Roman"/>
                <w:color w:val="auto"/>
                <w:szCs w:val="24"/>
                <w:highlight w:val="none"/>
                <w:lang w:val="en-US" w:eastAsia="zh-CN"/>
              </w:rPr>
              <w:t>中表</w:t>
            </w:r>
            <w:r>
              <w:rPr>
                <w:rFonts w:hint="eastAsia" w:ascii="Times New Roman" w:hAnsi="Times New Roman" w:cs="Times New Roman"/>
                <w:color w:val="auto"/>
                <w:szCs w:val="24"/>
                <w:highlight w:val="none"/>
                <w:lang w:val="en-US" w:eastAsia="zh-CN"/>
              </w:rPr>
              <w:t>5</w:t>
            </w:r>
            <w:r>
              <w:rPr>
                <w:rFonts w:hint="eastAsia" w:ascii="Times New Roman" w:hAnsi="Times New Roman" w:eastAsia="宋体" w:cs="Times New Roman"/>
                <w:color w:val="auto"/>
                <w:szCs w:val="24"/>
                <w:highlight w:val="none"/>
                <w:lang w:val="en-US" w:eastAsia="zh-CN"/>
              </w:rPr>
              <w:t>规定的大气污染物排放限值要求</w:t>
            </w:r>
            <w:r>
              <w:rPr>
                <w:rFonts w:hint="eastAsia" w:ascii="Times New Roman" w:hAnsi="Times New Roman" w:cs="Times New Roman"/>
                <w:color w:val="auto"/>
                <w:szCs w:val="24"/>
                <w:highlight w:val="none"/>
                <w:lang w:val="en-US" w:eastAsia="zh-CN"/>
              </w:rPr>
              <w:t>。</w:t>
            </w:r>
          </w:p>
          <w:p w14:paraId="4962FF89">
            <w:pPr>
              <w:pStyle w:val="181"/>
              <w:wordWrap/>
              <w:ind w:firstLine="480"/>
              <w:rPr>
                <w:color w:val="auto"/>
              </w:rPr>
            </w:pPr>
            <w:r>
              <w:rPr>
                <w:color w:val="auto"/>
              </w:rPr>
              <w:t>具体标准限值见下表。</w:t>
            </w:r>
          </w:p>
          <w:p w14:paraId="3C62539C">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color w:val="auto"/>
                <w:lang w:val="en-US" w:eastAsia="zh-CN"/>
              </w:rPr>
            </w:pPr>
            <w:r>
              <w:rPr>
                <w:color w:val="auto"/>
              </w:rPr>
              <w:t xml:space="preserve">表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5</w:t>
            </w:r>
            <w:r>
              <w:rPr>
                <w:color w:val="auto"/>
              </w:rPr>
              <w:fldChar w:fldCharType="end"/>
            </w:r>
            <w:r>
              <w:rPr>
                <w:rFonts w:hint="eastAsia"/>
                <w:color w:val="auto"/>
                <w:lang w:val="en-US" w:eastAsia="zh-CN"/>
              </w:rPr>
              <w:t xml:space="preserve"> </w:t>
            </w:r>
            <w:r>
              <w:rPr>
                <w:rFonts w:hint="eastAsia" w:ascii="Times New Roman" w:hAnsi="Times New Roman" w:eastAsia="宋体" w:cs="Times New Roman"/>
                <w:color w:val="auto"/>
                <w:szCs w:val="24"/>
                <w:highlight w:val="none"/>
                <w:lang w:val="en-US" w:eastAsia="zh-CN"/>
              </w:rPr>
              <w:t>《煤炭工业污染物排放标准》（GB20426-2006）</w:t>
            </w:r>
          </w:p>
          <w:tbl>
            <w:tblPr>
              <w:tblStyle w:val="53"/>
              <w:tblpPr w:leftFromText="180" w:rightFromText="180" w:vertAnchor="text" w:tblpXSpec="center" w:tblpY="1"/>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07"/>
              <w:gridCol w:w="1887"/>
              <w:gridCol w:w="2521"/>
              <w:gridCol w:w="2845"/>
            </w:tblGrid>
            <w:tr w14:paraId="1618A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63" w:type="pct"/>
                  <w:shd w:val="clear" w:color="auto" w:fill="auto"/>
                  <w:vAlign w:val="center"/>
                </w:tcPr>
                <w:p w14:paraId="128ECF8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bCs w:val="0"/>
                      <w:color w:val="auto"/>
                      <w:kern w:val="0"/>
                      <w:sz w:val="18"/>
                      <w:szCs w:val="18"/>
                      <w:highlight w:val="none"/>
                      <w:lang w:val="en-US" w:eastAsia="zh-CN" w:bidi="ar-SA"/>
                    </w:rPr>
                  </w:pPr>
                  <w:r>
                    <w:rPr>
                      <w:rFonts w:hint="default" w:ascii="Times New Roman" w:hAnsi="Times New Roman" w:eastAsia="宋体" w:cs="Times New Roman"/>
                      <w:b/>
                      <w:bCs w:val="0"/>
                      <w:color w:val="auto"/>
                      <w:kern w:val="0"/>
                      <w:sz w:val="18"/>
                      <w:szCs w:val="18"/>
                      <w:highlight w:val="none"/>
                    </w:rPr>
                    <w:t>污染物</w:t>
                  </w:r>
                </w:p>
              </w:tc>
              <w:tc>
                <w:tcPr>
                  <w:tcW w:w="1102" w:type="pct"/>
                  <w:shd w:val="clear" w:color="auto" w:fill="auto"/>
                  <w:vAlign w:val="center"/>
                </w:tcPr>
                <w:p w14:paraId="484DB40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bCs w:val="0"/>
                      <w:color w:val="auto"/>
                      <w:kern w:val="0"/>
                      <w:sz w:val="18"/>
                      <w:szCs w:val="18"/>
                      <w:highlight w:val="none"/>
                      <w:lang w:val="en-US" w:eastAsia="zh-CN" w:bidi="ar-SA"/>
                    </w:rPr>
                  </w:pPr>
                  <w:r>
                    <w:rPr>
                      <w:rFonts w:hint="default" w:ascii="Times New Roman" w:hAnsi="Times New Roman" w:eastAsia="宋体" w:cs="Times New Roman"/>
                      <w:b/>
                      <w:bCs w:val="0"/>
                      <w:color w:val="auto"/>
                      <w:kern w:val="0"/>
                      <w:sz w:val="18"/>
                      <w:szCs w:val="18"/>
                      <w:highlight w:val="none"/>
                      <w:lang w:eastAsia="zh-CN"/>
                    </w:rPr>
                    <w:t>监控点</w:t>
                  </w:r>
                </w:p>
              </w:tc>
              <w:tc>
                <w:tcPr>
                  <w:tcW w:w="1472" w:type="pct"/>
                  <w:shd w:val="clear" w:color="auto" w:fill="auto"/>
                  <w:vAlign w:val="center"/>
                </w:tcPr>
                <w:p w14:paraId="5D6C828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bCs w:val="0"/>
                      <w:color w:val="auto"/>
                      <w:kern w:val="0"/>
                      <w:sz w:val="18"/>
                      <w:szCs w:val="18"/>
                      <w:highlight w:val="none"/>
                      <w:lang w:val="en-US" w:eastAsia="zh-CN" w:bidi="ar-SA"/>
                    </w:rPr>
                  </w:pPr>
                  <w:r>
                    <w:rPr>
                      <w:rFonts w:hint="default" w:ascii="Times New Roman" w:hAnsi="Times New Roman" w:eastAsia="宋体" w:cs="Times New Roman"/>
                      <w:b/>
                      <w:bCs w:val="0"/>
                      <w:color w:val="auto"/>
                      <w:kern w:val="0"/>
                      <w:sz w:val="18"/>
                      <w:szCs w:val="18"/>
                      <w:highlight w:val="none"/>
                    </w:rPr>
                    <w:t>煤炭工业所属装卸场所无组织排放监控浓度</w:t>
                  </w:r>
                </w:p>
              </w:tc>
              <w:tc>
                <w:tcPr>
                  <w:tcW w:w="1661" w:type="pct"/>
                  <w:shd w:val="clear" w:color="auto" w:fill="auto"/>
                  <w:vAlign w:val="center"/>
                </w:tcPr>
                <w:p w14:paraId="45F8433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bCs w:val="0"/>
                      <w:color w:val="auto"/>
                      <w:kern w:val="0"/>
                      <w:sz w:val="18"/>
                      <w:szCs w:val="18"/>
                      <w:highlight w:val="none"/>
                      <w:lang w:val="en-US" w:eastAsia="zh-CN" w:bidi="ar-SA"/>
                    </w:rPr>
                  </w:pPr>
                  <w:r>
                    <w:rPr>
                      <w:rFonts w:hint="default" w:ascii="Times New Roman" w:hAnsi="Times New Roman" w:eastAsia="宋体" w:cs="Times New Roman"/>
                      <w:b/>
                      <w:bCs w:val="0"/>
                      <w:color w:val="auto"/>
                      <w:kern w:val="0"/>
                      <w:sz w:val="18"/>
                      <w:szCs w:val="18"/>
                      <w:highlight w:val="none"/>
                    </w:rPr>
                    <w:t>煤炭贮存场所、煤矸石堆置场无组织排放监控浓度限值</w:t>
                  </w:r>
                </w:p>
              </w:tc>
            </w:tr>
            <w:tr w14:paraId="7F5F6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63" w:type="pct"/>
                  <w:shd w:val="clear" w:color="auto" w:fill="auto"/>
                  <w:vAlign w:val="center"/>
                </w:tcPr>
                <w:p w14:paraId="6647B1B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rPr>
                    <w:t>颗粒物</w:t>
                  </w:r>
                </w:p>
              </w:tc>
              <w:tc>
                <w:tcPr>
                  <w:tcW w:w="1102" w:type="pct"/>
                  <w:shd w:val="clear" w:color="auto" w:fill="auto"/>
                  <w:vAlign w:val="center"/>
                </w:tcPr>
                <w:p w14:paraId="044E39B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rPr>
                    <w:t>周界外浓度最高点</w:t>
                  </w:r>
                </w:p>
              </w:tc>
              <w:tc>
                <w:tcPr>
                  <w:tcW w:w="1472" w:type="pct"/>
                  <w:shd w:val="clear" w:color="auto" w:fill="auto"/>
                  <w:vAlign w:val="center"/>
                </w:tcPr>
                <w:p w14:paraId="7759622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rPr>
                    <w:t>1.0mg/m</w:t>
                  </w:r>
                  <w:r>
                    <w:rPr>
                      <w:rFonts w:hint="default" w:ascii="Times New Roman" w:hAnsi="Times New Roman" w:eastAsia="宋体" w:cs="Times New Roman"/>
                      <w:bCs/>
                      <w:color w:val="auto"/>
                      <w:kern w:val="0"/>
                      <w:sz w:val="18"/>
                      <w:szCs w:val="18"/>
                      <w:highlight w:val="none"/>
                      <w:vertAlign w:val="superscript"/>
                    </w:rPr>
                    <w:t>3</w:t>
                  </w:r>
                </w:p>
              </w:tc>
              <w:tc>
                <w:tcPr>
                  <w:tcW w:w="1661" w:type="pct"/>
                  <w:shd w:val="clear" w:color="auto" w:fill="auto"/>
                  <w:vAlign w:val="center"/>
                </w:tcPr>
                <w:p w14:paraId="61C6A4E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rPr>
                    <w:t>1.0mg/m</w:t>
                  </w:r>
                  <w:r>
                    <w:rPr>
                      <w:rFonts w:hint="default" w:ascii="Times New Roman" w:hAnsi="Times New Roman" w:eastAsia="宋体" w:cs="Times New Roman"/>
                      <w:bCs/>
                      <w:color w:val="auto"/>
                      <w:kern w:val="0"/>
                      <w:sz w:val="18"/>
                      <w:szCs w:val="18"/>
                      <w:highlight w:val="none"/>
                      <w:vertAlign w:val="superscript"/>
                    </w:rPr>
                    <w:t>3</w:t>
                  </w:r>
                </w:p>
              </w:tc>
            </w:tr>
            <w:bookmarkEnd w:id="20"/>
          </w:tbl>
          <w:p w14:paraId="4CDED283">
            <w:pPr>
              <w:pStyle w:val="180"/>
              <w:framePr w:hSpace="0" w:wrap="auto" w:vAnchor="margin" w:hAnchor="text" w:xAlign="left" w:yAlign="inline"/>
              <w:ind w:firstLine="482"/>
              <w:rPr>
                <w:color w:val="auto"/>
              </w:rPr>
            </w:pPr>
            <w:r>
              <w:rPr>
                <w:color w:val="auto"/>
              </w:rPr>
              <w:t>3.3.2</w:t>
            </w:r>
            <w:r>
              <w:rPr>
                <w:rFonts w:hint="eastAsia"/>
                <w:color w:val="auto"/>
              </w:rPr>
              <w:t>废水排放标准</w:t>
            </w:r>
          </w:p>
          <w:p w14:paraId="7A5CDEFD">
            <w:pPr>
              <w:pStyle w:val="181"/>
              <w:wordWrap/>
              <w:ind w:firstLine="480"/>
              <w:rPr>
                <w:rFonts w:hint="eastAsia" w:ascii="Times New Roman" w:hAnsi="Times New Roman" w:eastAsia="宋体" w:cs="Times New Roman"/>
                <w:color w:val="auto"/>
                <w:szCs w:val="24"/>
                <w:highlight w:val="none"/>
                <w:lang w:val="en-US" w:eastAsia="zh-CN"/>
              </w:rPr>
            </w:pPr>
            <w:r>
              <w:rPr>
                <w:rFonts w:hint="eastAsia" w:ascii="Times New Roman" w:hAnsi="Times New Roman" w:eastAsia="宋体" w:cs="Times New Roman"/>
                <w:color w:val="auto"/>
                <w:szCs w:val="24"/>
                <w:highlight w:val="none"/>
                <w:lang w:val="en-US" w:eastAsia="zh-CN"/>
              </w:rPr>
              <w:t>本项目选煤废水</w:t>
            </w:r>
            <w:r>
              <w:rPr>
                <w:rFonts w:hint="eastAsia" w:cs="Times New Roman"/>
                <w:color w:val="auto"/>
                <w:szCs w:val="24"/>
                <w:highlight w:val="none"/>
                <w:lang w:val="en-US" w:eastAsia="zh-CN"/>
              </w:rPr>
              <w:t>达到</w:t>
            </w:r>
            <w:r>
              <w:rPr>
                <w:rFonts w:hint="eastAsia" w:ascii="Times New Roman" w:hAnsi="Times New Roman" w:eastAsia="宋体" w:cs="Times New Roman"/>
                <w:color w:val="auto"/>
                <w:szCs w:val="24"/>
                <w:highlight w:val="none"/>
                <w:lang w:val="en-US" w:eastAsia="zh-CN"/>
              </w:rPr>
              <w:t>《选煤厂洗水闭路循环等级》（</w:t>
            </w:r>
            <w:r>
              <w:rPr>
                <w:rFonts w:hint="default" w:ascii="Times New Roman" w:hAnsi="Times New Roman" w:eastAsia="宋体" w:cs="Times New Roman"/>
                <w:color w:val="auto"/>
                <w:szCs w:val="24"/>
                <w:highlight w:val="none"/>
                <w:lang w:val="en-US" w:eastAsia="zh-CN"/>
              </w:rPr>
              <w:t>GB/T 35051</w:t>
            </w:r>
            <w:r>
              <w:rPr>
                <w:rFonts w:hint="eastAsia" w:ascii="Times New Roman" w:hAnsi="Times New Roman" w:eastAsia="宋体" w:cs="Times New Roman"/>
                <w:color w:val="auto"/>
                <w:szCs w:val="24"/>
                <w:highlight w:val="none"/>
                <w:lang w:val="en-US" w:eastAsia="zh-CN"/>
              </w:rPr>
              <w:t>-2018</w:t>
            </w:r>
            <w:r>
              <w:rPr>
                <w:rFonts w:hint="default" w:ascii="Times New Roman" w:hAnsi="Times New Roman" w:eastAsia="宋体" w:cs="Times New Roman"/>
                <w:color w:val="auto"/>
                <w:szCs w:val="24"/>
                <w:highlight w:val="none"/>
                <w:lang w:val="en-US" w:eastAsia="zh-CN"/>
              </w:rPr>
              <w:t>）一级闭路循环标准，不外排。</w:t>
            </w:r>
            <w:r>
              <w:rPr>
                <w:rFonts w:hint="eastAsia" w:cs="Times New Roman"/>
                <w:color w:val="auto"/>
                <w:szCs w:val="24"/>
                <w:highlight w:val="none"/>
                <w:lang w:val="en-US" w:eastAsia="zh-CN"/>
              </w:rPr>
              <w:t>本项目</w:t>
            </w:r>
            <w:r>
              <w:rPr>
                <w:rFonts w:hint="eastAsia" w:ascii="Times New Roman" w:hAnsi="Times New Roman" w:eastAsia="宋体" w:cs="Times New Roman"/>
                <w:color w:val="auto"/>
                <w:szCs w:val="24"/>
                <w:highlight w:val="none"/>
                <w:lang w:val="en-US" w:eastAsia="zh-CN"/>
              </w:rPr>
              <w:t>厂区</w:t>
            </w:r>
            <w:r>
              <w:rPr>
                <w:rFonts w:hint="eastAsia" w:cs="Times New Roman"/>
                <w:color w:val="auto"/>
                <w:szCs w:val="24"/>
                <w:highlight w:val="none"/>
                <w:lang w:val="en-US" w:eastAsia="zh-CN"/>
              </w:rPr>
              <w:t>范围</w:t>
            </w:r>
            <w:r>
              <w:rPr>
                <w:rFonts w:hint="eastAsia" w:ascii="Times New Roman" w:hAnsi="Times New Roman" w:eastAsia="宋体" w:cs="Times New Roman"/>
                <w:color w:val="auto"/>
                <w:szCs w:val="24"/>
                <w:highlight w:val="none"/>
                <w:lang w:val="en-US" w:eastAsia="zh-CN"/>
              </w:rPr>
              <w:t>内</w:t>
            </w:r>
            <w:r>
              <w:rPr>
                <w:rFonts w:hint="eastAsia" w:cs="Times New Roman"/>
                <w:color w:val="auto"/>
                <w:szCs w:val="24"/>
                <w:highlight w:val="none"/>
                <w:lang w:val="en-US" w:eastAsia="zh-CN"/>
              </w:rPr>
              <w:t>不设置洗手池、卫生间等</w:t>
            </w:r>
            <w:r>
              <w:rPr>
                <w:rFonts w:hint="eastAsia" w:ascii="Times New Roman" w:hAnsi="Times New Roman" w:eastAsia="宋体" w:cs="Times New Roman"/>
                <w:color w:val="auto"/>
                <w:szCs w:val="24"/>
                <w:highlight w:val="none"/>
                <w:lang w:val="en-US" w:eastAsia="zh-CN"/>
              </w:rPr>
              <w:t>，</w:t>
            </w:r>
            <w:r>
              <w:rPr>
                <w:rFonts w:hint="default" w:ascii="Times New Roman" w:hAnsi="Times New Roman" w:eastAsia="宋体" w:cs="Times New Roman"/>
                <w:color w:val="auto"/>
                <w:szCs w:val="24"/>
                <w:highlight w:val="none"/>
                <w:lang w:val="en-US" w:eastAsia="zh-CN"/>
              </w:rPr>
              <w:t>生活污水</w:t>
            </w:r>
            <w:r>
              <w:rPr>
                <w:rFonts w:hint="eastAsia" w:ascii="Times New Roman" w:hAnsi="Times New Roman" w:eastAsia="宋体" w:cs="Times New Roman"/>
                <w:color w:val="auto"/>
                <w:szCs w:val="24"/>
                <w:highlight w:val="none"/>
                <w:lang w:val="en-US" w:eastAsia="zh-CN"/>
              </w:rPr>
              <w:t>依托</w:t>
            </w:r>
            <w:r>
              <w:rPr>
                <w:rFonts w:hint="eastAsia" w:cs="Times New Roman"/>
                <w:color w:val="auto"/>
                <w:szCs w:val="24"/>
                <w:highlight w:val="none"/>
                <w:lang w:val="en-US" w:eastAsia="zh-CN"/>
              </w:rPr>
              <w:t>淮南舜岳水泥有限责任公司厂区内</w:t>
            </w:r>
            <w:r>
              <w:rPr>
                <w:rFonts w:hint="default" w:ascii="Times New Roman" w:hAnsi="Times New Roman" w:eastAsia="宋体" w:cs="Times New Roman"/>
                <w:color w:val="auto"/>
                <w:szCs w:val="24"/>
                <w:highlight w:val="none"/>
                <w:lang w:val="en-US" w:eastAsia="zh-CN"/>
              </w:rPr>
              <w:t>化粪池收集后，</w:t>
            </w:r>
            <w:r>
              <w:rPr>
                <w:rFonts w:hint="eastAsia" w:ascii="Times New Roman" w:hAnsi="Times New Roman" w:eastAsia="宋体" w:cs="Times New Roman"/>
                <w:color w:val="auto"/>
                <w:szCs w:val="24"/>
                <w:highlight w:val="none"/>
                <w:lang w:val="en-US" w:eastAsia="zh-CN"/>
              </w:rPr>
              <w:t>接入市政污水管网，</w:t>
            </w:r>
            <w:r>
              <w:rPr>
                <w:rFonts w:hint="eastAsia" w:cs="Times New Roman"/>
                <w:color w:val="auto"/>
                <w:sz w:val="24"/>
                <w:szCs w:val="24"/>
                <w:lang w:val="en-US" w:eastAsia="zh-CN"/>
              </w:rPr>
              <w:t>排放执行淮南市八公山污水处理厂接管标准和</w:t>
            </w:r>
            <w:r>
              <w:rPr>
                <w:rFonts w:cs="Times New Roman"/>
                <w:color w:val="auto"/>
                <w:highlight w:val="none"/>
              </w:rPr>
              <w:t>《污水综合排放标准》（GB8978-1996）</w:t>
            </w:r>
            <w:r>
              <w:rPr>
                <w:rFonts w:hint="eastAsia" w:cs="Times New Roman"/>
                <w:color w:val="auto"/>
                <w:highlight w:val="none"/>
                <w:lang w:val="en-US" w:eastAsia="zh-CN"/>
              </w:rPr>
              <w:t>中表4</w:t>
            </w:r>
            <w:r>
              <w:rPr>
                <w:rFonts w:cs="Times New Roman"/>
                <w:color w:val="auto"/>
                <w:highlight w:val="none"/>
              </w:rPr>
              <w:t>三级标准</w:t>
            </w:r>
            <w:r>
              <w:rPr>
                <w:rFonts w:hint="eastAsia" w:cs="Times New Roman"/>
                <w:color w:val="auto"/>
                <w:highlight w:val="none"/>
                <w:lang w:val="en-US" w:eastAsia="zh-CN"/>
              </w:rPr>
              <w:t>要求</w:t>
            </w:r>
            <w:r>
              <w:rPr>
                <w:rFonts w:hint="default" w:ascii="Times New Roman" w:hAnsi="Times New Roman" w:eastAsia="宋体" w:cs="Times New Roman"/>
                <w:color w:val="auto"/>
                <w:szCs w:val="24"/>
                <w:highlight w:val="none"/>
                <w:lang w:val="en-US" w:eastAsia="zh-CN"/>
              </w:rPr>
              <w:t>。</w:t>
            </w:r>
            <w:r>
              <w:rPr>
                <w:rFonts w:ascii="Times New Roman" w:hAnsi="Times New Roman" w:eastAsia="宋体" w:cs="Times New Roman"/>
                <w:color w:val="auto"/>
                <w:sz w:val="24"/>
              </w:rPr>
              <w:t>八公山污水处理厂出水执行《城镇污水处理厂污染物排放标准》(GB18918-2002)及其修改单中一级A标准</w:t>
            </w:r>
            <w:r>
              <w:rPr>
                <w:rFonts w:hint="eastAsia" w:ascii="Times New Roman" w:hAnsi="Times New Roman" w:eastAsia="宋体" w:cs="Times New Roman"/>
                <w:color w:val="auto"/>
                <w:sz w:val="24"/>
                <w:lang w:eastAsia="zh-CN"/>
              </w:rPr>
              <w:t>。</w:t>
            </w:r>
          </w:p>
          <w:p w14:paraId="01C499D8">
            <w:pPr>
              <w:pStyle w:val="181"/>
              <w:wordWrap/>
              <w:ind w:firstLine="480"/>
              <w:rPr>
                <w:rFonts w:hint="eastAsia"/>
                <w:color w:val="auto"/>
                <w:kern w:val="0"/>
              </w:rPr>
            </w:pPr>
            <w:r>
              <w:rPr>
                <w:rFonts w:hint="eastAsia"/>
                <w:color w:val="auto"/>
                <w:kern w:val="0"/>
              </w:rPr>
              <w:t>其标准值见下表：</w:t>
            </w:r>
          </w:p>
          <w:p w14:paraId="1D69F723">
            <w:pPr>
              <w:pStyle w:val="15"/>
              <w:rPr>
                <w:rFonts w:hint="eastAsia" w:eastAsia="宋体"/>
                <w:color w:val="auto"/>
                <w:lang w:val="en-US" w:eastAsia="zh-CN"/>
              </w:rPr>
            </w:pPr>
            <w:r>
              <w:rPr>
                <w:color w:val="auto"/>
              </w:rPr>
              <w:t xml:space="preserve">表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6</w:t>
            </w:r>
            <w:r>
              <w:rPr>
                <w:color w:val="auto"/>
              </w:rPr>
              <w:fldChar w:fldCharType="end"/>
            </w:r>
            <w:r>
              <w:rPr>
                <w:rFonts w:hint="eastAsia"/>
                <w:color w:val="auto"/>
                <w:lang w:val="en-US" w:eastAsia="zh-CN"/>
              </w:rPr>
              <w:t xml:space="preserve"> </w:t>
            </w:r>
            <w:r>
              <w:rPr>
                <w:rFonts w:hint="eastAsia" w:ascii="Times New Roman" w:hAnsi="Times New Roman" w:eastAsia="宋体" w:cs="Times New Roman"/>
                <w:color w:val="auto"/>
                <w:szCs w:val="24"/>
                <w:highlight w:val="none"/>
                <w:lang w:val="en-US" w:eastAsia="zh-CN"/>
              </w:rPr>
              <w:t>《选煤厂洗水闭路循环等级》（</w:t>
            </w:r>
            <w:r>
              <w:rPr>
                <w:rFonts w:hint="default" w:ascii="Times New Roman" w:hAnsi="Times New Roman" w:eastAsia="宋体" w:cs="Times New Roman"/>
                <w:color w:val="auto"/>
                <w:szCs w:val="24"/>
                <w:highlight w:val="none"/>
                <w:lang w:val="en-US" w:eastAsia="zh-CN"/>
              </w:rPr>
              <w:t>GB/T 35051</w:t>
            </w:r>
            <w:r>
              <w:rPr>
                <w:rFonts w:hint="eastAsia" w:ascii="Times New Roman" w:hAnsi="Times New Roman" w:eastAsia="宋体" w:cs="Times New Roman"/>
                <w:color w:val="auto"/>
                <w:szCs w:val="24"/>
                <w:highlight w:val="none"/>
                <w:lang w:val="en-US" w:eastAsia="zh-CN"/>
              </w:rPr>
              <w:t>-2018</w:t>
            </w:r>
            <w:r>
              <w:rPr>
                <w:rFonts w:hint="default" w:ascii="Times New Roman" w:hAnsi="Times New Roman" w:eastAsia="宋体" w:cs="Times New Roman"/>
                <w:color w:val="auto"/>
                <w:szCs w:val="24"/>
                <w:highlight w:val="none"/>
                <w:lang w:val="en-US" w:eastAsia="zh-CN"/>
              </w:rPr>
              <w:t>）</w:t>
            </w:r>
          </w:p>
          <w:tbl>
            <w:tblPr>
              <w:tblStyle w:val="5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54"/>
              <w:gridCol w:w="2854"/>
              <w:gridCol w:w="2854"/>
            </w:tblGrid>
            <w:tr w14:paraId="38512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54" w:type="dxa"/>
                  <w:vAlign w:val="center"/>
                </w:tcPr>
                <w:p w14:paraId="1975BB86">
                  <w:pPr>
                    <w:pStyle w:val="21"/>
                    <w:keepNext w:val="0"/>
                    <w:keepLines w:val="0"/>
                    <w:pageBreakBefore w:val="0"/>
                    <w:widowControl/>
                    <w:kinsoku/>
                    <w:wordWrap/>
                    <w:overflowPunct/>
                    <w:topLinePunct w:val="0"/>
                    <w:autoSpaceDE/>
                    <w:autoSpaceDN/>
                    <w:bidi w:val="0"/>
                    <w:adjustRightInd/>
                    <w:snapToGrid w:val="0"/>
                    <w:spacing w:before="0" w:after="0" w:line="240" w:lineRule="auto"/>
                    <w:ind w:right="113"/>
                    <w:jc w:val="center"/>
                    <w:textAlignment w:val="auto"/>
                    <w:rPr>
                      <w:rFonts w:hint="eastAsia" w:eastAsia="宋体"/>
                      <w:color w:val="auto"/>
                      <w:vertAlign w:val="baseline"/>
                      <w:lang w:eastAsia="zh-CN"/>
                    </w:rPr>
                  </w:pPr>
                  <w:r>
                    <w:rPr>
                      <w:rFonts w:hint="eastAsia"/>
                      <w:color w:val="auto"/>
                      <w:vertAlign w:val="baseline"/>
                      <w:lang w:eastAsia="zh-CN"/>
                    </w:rPr>
                    <w:t>采用标准</w:t>
                  </w:r>
                </w:p>
              </w:tc>
              <w:tc>
                <w:tcPr>
                  <w:tcW w:w="2854" w:type="dxa"/>
                  <w:vAlign w:val="center"/>
                </w:tcPr>
                <w:p w14:paraId="5F62E9B7">
                  <w:pPr>
                    <w:pStyle w:val="21"/>
                    <w:keepNext w:val="0"/>
                    <w:keepLines w:val="0"/>
                    <w:pageBreakBefore w:val="0"/>
                    <w:widowControl/>
                    <w:kinsoku/>
                    <w:wordWrap/>
                    <w:overflowPunct/>
                    <w:topLinePunct w:val="0"/>
                    <w:autoSpaceDE/>
                    <w:autoSpaceDN/>
                    <w:bidi w:val="0"/>
                    <w:adjustRightInd/>
                    <w:snapToGrid w:val="0"/>
                    <w:spacing w:before="0" w:after="0" w:line="240" w:lineRule="auto"/>
                    <w:ind w:right="113"/>
                    <w:jc w:val="center"/>
                    <w:textAlignment w:val="auto"/>
                    <w:rPr>
                      <w:rFonts w:hint="eastAsia"/>
                      <w:color w:val="auto"/>
                      <w:vertAlign w:val="baseline"/>
                      <w:lang w:val="en-US" w:eastAsia="zh-CN"/>
                    </w:rPr>
                  </w:pPr>
                  <w:r>
                    <w:rPr>
                      <w:rFonts w:hint="eastAsia"/>
                      <w:color w:val="auto"/>
                      <w:vertAlign w:val="baseline"/>
                      <w:lang w:val="en-US" w:eastAsia="zh-CN"/>
                    </w:rPr>
                    <w:t>污染物</w:t>
                  </w:r>
                </w:p>
              </w:tc>
              <w:tc>
                <w:tcPr>
                  <w:tcW w:w="2854" w:type="dxa"/>
                  <w:vAlign w:val="center"/>
                </w:tcPr>
                <w:p w14:paraId="6D7D8763">
                  <w:pPr>
                    <w:pStyle w:val="21"/>
                    <w:keepNext w:val="0"/>
                    <w:keepLines w:val="0"/>
                    <w:pageBreakBefore w:val="0"/>
                    <w:widowControl/>
                    <w:kinsoku/>
                    <w:wordWrap/>
                    <w:overflowPunct/>
                    <w:topLinePunct w:val="0"/>
                    <w:autoSpaceDE/>
                    <w:autoSpaceDN/>
                    <w:bidi w:val="0"/>
                    <w:adjustRightInd/>
                    <w:snapToGrid w:val="0"/>
                    <w:spacing w:before="0" w:after="0" w:line="240" w:lineRule="auto"/>
                    <w:ind w:right="113"/>
                    <w:jc w:val="center"/>
                    <w:textAlignment w:val="auto"/>
                    <w:rPr>
                      <w:rFonts w:hint="default" w:eastAsia="宋体"/>
                      <w:color w:val="auto"/>
                      <w:vertAlign w:val="baseline"/>
                      <w:lang w:val="en-US" w:eastAsia="zh-CN"/>
                    </w:rPr>
                  </w:pPr>
                  <w:r>
                    <w:rPr>
                      <w:rFonts w:hint="eastAsia"/>
                      <w:color w:val="auto"/>
                      <w:vertAlign w:val="baseline"/>
                      <w:lang w:val="en-US" w:eastAsia="zh-CN"/>
                    </w:rPr>
                    <w:t>洗水浓度</w:t>
                  </w:r>
                </w:p>
              </w:tc>
            </w:tr>
            <w:tr w14:paraId="2C844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54" w:type="dxa"/>
                  <w:vAlign w:val="center"/>
                </w:tcPr>
                <w:p w14:paraId="26971E4E">
                  <w:pPr>
                    <w:pStyle w:val="21"/>
                    <w:keepNext w:val="0"/>
                    <w:keepLines w:val="0"/>
                    <w:pageBreakBefore w:val="0"/>
                    <w:widowControl/>
                    <w:kinsoku/>
                    <w:wordWrap/>
                    <w:overflowPunct/>
                    <w:topLinePunct w:val="0"/>
                    <w:autoSpaceDE/>
                    <w:autoSpaceDN/>
                    <w:bidi w:val="0"/>
                    <w:adjustRightInd/>
                    <w:snapToGrid w:val="0"/>
                    <w:spacing w:before="0" w:after="0" w:line="240" w:lineRule="auto"/>
                    <w:ind w:right="113"/>
                    <w:jc w:val="center"/>
                    <w:textAlignment w:val="auto"/>
                    <w:rPr>
                      <w:rFonts w:hint="default"/>
                      <w:color w:val="auto"/>
                      <w:vertAlign w:val="baseline"/>
                      <w:lang w:val="en-US"/>
                    </w:rPr>
                  </w:pPr>
                  <w:r>
                    <w:rPr>
                      <w:rFonts w:hint="default" w:ascii="Times New Roman" w:hAnsi="Times New Roman" w:eastAsia="宋体" w:cs="Times New Roman"/>
                      <w:color w:val="auto"/>
                      <w:szCs w:val="24"/>
                      <w:highlight w:val="none"/>
                      <w:lang w:val="en-US" w:eastAsia="zh-CN"/>
                    </w:rPr>
                    <w:t>GB/T 35051</w:t>
                  </w:r>
                  <w:r>
                    <w:rPr>
                      <w:rFonts w:hint="eastAsia" w:ascii="Times New Roman" w:hAnsi="Times New Roman" w:eastAsia="宋体" w:cs="Times New Roman"/>
                      <w:color w:val="auto"/>
                      <w:szCs w:val="24"/>
                      <w:highlight w:val="none"/>
                      <w:lang w:val="en-US" w:eastAsia="zh-CN"/>
                    </w:rPr>
                    <w:t>-2018中</w:t>
                  </w:r>
                  <w:r>
                    <w:rPr>
                      <w:rFonts w:hint="eastAsia" w:cs="Times New Roman"/>
                      <w:color w:val="auto"/>
                      <w:szCs w:val="24"/>
                      <w:highlight w:val="none"/>
                      <w:lang w:val="en-US" w:eastAsia="zh-CN"/>
                    </w:rPr>
                    <w:t>一级</w:t>
                  </w:r>
                  <w:r>
                    <w:rPr>
                      <w:rFonts w:hint="eastAsia" w:ascii="Times New Roman" w:hAnsi="Times New Roman" w:eastAsia="宋体" w:cs="Times New Roman"/>
                      <w:color w:val="auto"/>
                      <w:szCs w:val="24"/>
                      <w:highlight w:val="none"/>
                      <w:lang w:val="en-US" w:eastAsia="zh-CN"/>
                    </w:rPr>
                    <w:t>闭路循环标准</w:t>
                  </w:r>
                </w:p>
              </w:tc>
              <w:tc>
                <w:tcPr>
                  <w:tcW w:w="2854" w:type="dxa"/>
                  <w:vAlign w:val="center"/>
                </w:tcPr>
                <w:p w14:paraId="729FF7C7">
                  <w:pPr>
                    <w:pStyle w:val="21"/>
                    <w:keepNext w:val="0"/>
                    <w:keepLines w:val="0"/>
                    <w:pageBreakBefore w:val="0"/>
                    <w:widowControl/>
                    <w:kinsoku/>
                    <w:wordWrap/>
                    <w:overflowPunct/>
                    <w:topLinePunct w:val="0"/>
                    <w:autoSpaceDE/>
                    <w:autoSpaceDN/>
                    <w:bidi w:val="0"/>
                    <w:adjustRightInd/>
                    <w:snapToGrid w:val="0"/>
                    <w:spacing w:before="0" w:after="0" w:line="240" w:lineRule="auto"/>
                    <w:ind w:right="113"/>
                    <w:jc w:val="center"/>
                    <w:textAlignment w:val="auto"/>
                    <w:rPr>
                      <w:rFonts w:hint="eastAsia"/>
                      <w:color w:val="auto"/>
                      <w:vertAlign w:val="baseline"/>
                      <w:lang w:val="en-US" w:eastAsia="zh-CN"/>
                    </w:rPr>
                  </w:pPr>
                  <w:r>
                    <w:rPr>
                      <w:rFonts w:hint="eastAsia"/>
                      <w:color w:val="auto"/>
                      <w:vertAlign w:val="baseline"/>
                      <w:lang w:val="en-US" w:eastAsia="zh-CN"/>
                    </w:rPr>
                    <w:t>SS</w:t>
                  </w:r>
                </w:p>
              </w:tc>
              <w:tc>
                <w:tcPr>
                  <w:tcW w:w="2854" w:type="dxa"/>
                  <w:vAlign w:val="center"/>
                </w:tcPr>
                <w:p w14:paraId="1700C481">
                  <w:pPr>
                    <w:pStyle w:val="21"/>
                    <w:keepNext w:val="0"/>
                    <w:keepLines w:val="0"/>
                    <w:pageBreakBefore w:val="0"/>
                    <w:widowControl/>
                    <w:kinsoku/>
                    <w:wordWrap/>
                    <w:overflowPunct/>
                    <w:topLinePunct w:val="0"/>
                    <w:autoSpaceDE/>
                    <w:autoSpaceDN/>
                    <w:bidi w:val="0"/>
                    <w:adjustRightInd/>
                    <w:snapToGrid w:val="0"/>
                    <w:spacing w:before="0" w:after="0" w:line="240" w:lineRule="auto"/>
                    <w:ind w:right="113"/>
                    <w:jc w:val="center"/>
                    <w:textAlignment w:val="auto"/>
                    <w:rPr>
                      <w:rFonts w:hint="default" w:eastAsia="宋体"/>
                      <w:color w:val="auto"/>
                      <w:vertAlign w:val="baseline"/>
                      <w:lang w:val="en-US" w:eastAsia="zh-CN"/>
                    </w:rPr>
                  </w:pPr>
                  <w:r>
                    <w:rPr>
                      <w:rFonts w:hint="eastAsia"/>
                      <w:color w:val="auto"/>
                      <w:vertAlign w:val="baseline"/>
                      <w:lang w:val="en-US" w:eastAsia="zh-CN"/>
                    </w:rPr>
                    <w:t>≤5g/L</w:t>
                  </w:r>
                </w:p>
              </w:tc>
            </w:tr>
          </w:tbl>
          <w:p w14:paraId="2AF3CA02">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表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7</w:t>
            </w:r>
            <w:r>
              <w:rPr>
                <w:color w:val="auto"/>
              </w:rPr>
              <w:fldChar w:fldCharType="end"/>
            </w:r>
            <w:r>
              <w:rPr>
                <w:rFonts w:hint="eastAsia"/>
                <w:color w:val="auto"/>
                <w:lang w:val="en-US" w:eastAsia="zh-CN"/>
              </w:rPr>
              <w:t xml:space="preserve"> </w:t>
            </w:r>
            <w:r>
              <w:rPr>
                <w:rFonts w:hint="eastAsia"/>
                <w:color w:val="auto"/>
                <w:lang w:eastAsia="zh-CN"/>
              </w:rPr>
              <w:t>废水污染物排放标准</w:t>
            </w:r>
            <w:r>
              <w:rPr>
                <w:color w:val="auto"/>
              </w:rPr>
              <w:t xml:space="preserve"> </w:t>
            </w:r>
            <w:r>
              <w:rPr>
                <w:bCs/>
                <w:color w:val="auto"/>
                <w:sz w:val="18"/>
              </w:rPr>
              <w:t>单位：mg/L（pH无量纲）</w:t>
            </w:r>
          </w:p>
          <w:tbl>
            <w:tblPr>
              <w:tblStyle w:val="53"/>
              <w:tblpPr w:leftFromText="180" w:rightFromText="180" w:vertAnchor="text" w:tblpXSpec="center" w:tblpY="1"/>
              <w:tblOverlap w:val="never"/>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251"/>
              <w:gridCol w:w="1061"/>
              <w:gridCol w:w="1062"/>
              <w:gridCol w:w="1062"/>
              <w:gridCol w:w="1062"/>
              <w:gridCol w:w="1063"/>
            </w:tblGrid>
            <w:tr w14:paraId="2E381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897" w:type="pct"/>
                  <w:vAlign w:val="center"/>
                </w:tcPr>
                <w:p w14:paraId="4CDB8C8F">
                  <w:pPr>
                    <w:pStyle w:val="287"/>
                    <w:framePr w:hSpace="0" w:wrap="auto" w:vAnchor="margin" w:hAnchor="text" w:xAlign="left" w:yAlign="inline"/>
                    <w:rPr>
                      <w:color w:val="auto"/>
                    </w:rPr>
                  </w:pPr>
                  <w:r>
                    <w:rPr>
                      <w:color w:val="auto"/>
                    </w:rPr>
                    <w:t>水质指标</w:t>
                  </w:r>
                </w:p>
              </w:tc>
              <w:tc>
                <w:tcPr>
                  <w:tcW w:w="619" w:type="pct"/>
                  <w:vAlign w:val="center"/>
                </w:tcPr>
                <w:p w14:paraId="2401B663">
                  <w:pPr>
                    <w:pStyle w:val="287"/>
                    <w:framePr w:hSpace="0" w:wrap="auto" w:vAnchor="margin" w:hAnchor="text" w:xAlign="left" w:yAlign="inline"/>
                    <w:rPr>
                      <w:color w:val="auto"/>
                    </w:rPr>
                  </w:pPr>
                  <w:r>
                    <w:rPr>
                      <w:color w:val="auto"/>
                    </w:rPr>
                    <w:t>pH</w:t>
                  </w:r>
                </w:p>
              </w:tc>
              <w:tc>
                <w:tcPr>
                  <w:tcW w:w="620" w:type="pct"/>
                  <w:vAlign w:val="center"/>
                </w:tcPr>
                <w:p w14:paraId="02BE52E1">
                  <w:pPr>
                    <w:pStyle w:val="287"/>
                    <w:framePr w:hSpace="0" w:wrap="auto" w:vAnchor="margin" w:hAnchor="text" w:xAlign="left" w:yAlign="inline"/>
                    <w:rPr>
                      <w:color w:val="auto"/>
                    </w:rPr>
                  </w:pPr>
                  <w:r>
                    <w:rPr>
                      <w:color w:val="auto"/>
                    </w:rPr>
                    <w:t>COD</w:t>
                  </w:r>
                </w:p>
              </w:tc>
              <w:tc>
                <w:tcPr>
                  <w:tcW w:w="620" w:type="pct"/>
                  <w:vAlign w:val="center"/>
                </w:tcPr>
                <w:p w14:paraId="27D457BE">
                  <w:pPr>
                    <w:pStyle w:val="287"/>
                    <w:framePr w:hSpace="0" w:wrap="auto" w:vAnchor="margin" w:hAnchor="text" w:xAlign="left" w:yAlign="inline"/>
                    <w:rPr>
                      <w:color w:val="auto"/>
                    </w:rPr>
                  </w:pPr>
                  <w:r>
                    <w:rPr>
                      <w:color w:val="auto"/>
                    </w:rPr>
                    <w:t>BOD</w:t>
                  </w:r>
                  <w:r>
                    <w:rPr>
                      <w:color w:val="auto"/>
                      <w:vertAlign w:val="subscript"/>
                    </w:rPr>
                    <w:t>5</w:t>
                  </w:r>
                </w:p>
              </w:tc>
              <w:tc>
                <w:tcPr>
                  <w:tcW w:w="620" w:type="pct"/>
                  <w:vAlign w:val="center"/>
                </w:tcPr>
                <w:p w14:paraId="756E614F">
                  <w:pPr>
                    <w:pStyle w:val="287"/>
                    <w:framePr w:hSpace="0" w:wrap="auto" w:vAnchor="margin" w:hAnchor="text" w:xAlign="left" w:yAlign="inline"/>
                    <w:rPr>
                      <w:color w:val="auto"/>
                    </w:rPr>
                  </w:pPr>
                  <w:r>
                    <w:rPr>
                      <w:color w:val="auto"/>
                    </w:rPr>
                    <w:t>NH</w:t>
                  </w:r>
                  <w:r>
                    <w:rPr>
                      <w:color w:val="auto"/>
                      <w:vertAlign w:val="subscript"/>
                    </w:rPr>
                    <w:t>3</w:t>
                  </w:r>
                  <w:r>
                    <w:rPr>
                      <w:color w:val="auto"/>
                    </w:rPr>
                    <w:t>-N</w:t>
                  </w:r>
                </w:p>
              </w:tc>
              <w:tc>
                <w:tcPr>
                  <w:tcW w:w="620" w:type="pct"/>
                  <w:vAlign w:val="center"/>
                </w:tcPr>
                <w:p w14:paraId="775A38F9">
                  <w:pPr>
                    <w:pStyle w:val="287"/>
                    <w:framePr w:hSpace="0" w:wrap="auto" w:vAnchor="margin" w:hAnchor="text" w:xAlign="left" w:yAlign="inline"/>
                    <w:rPr>
                      <w:color w:val="auto"/>
                    </w:rPr>
                  </w:pPr>
                  <w:r>
                    <w:rPr>
                      <w:color w:val="auto"/>
                    </w:rPr>
                    <w:t>SS</w:t>
                  </w:r>
                </w:p>
              </w:tc>
            </w:tr>
            <w:tr w14:paraId="13FFD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897" w:type="pct"/>
                  <w:vAlign w:val="center"/>
                </w:tcPr>
                <w:p w14:paraId="30ACB93F">
                  <w:pPr>
                    <w:pStyle w:val="287"/>
                    <w:framePr w:hSpace="0" w:wrap="auto" w:vAnchor="margin" w:hAnchor="text" w:xAlign="left" w:yAlign="inline"/>
                    <w:rPr>
                      <w:rFonts w:hint="eastAsia" w:ascii="Times New Roman" w:hAnsi="Times New Roman" w:eastAsia="宋体" w:cs="Times New Roman"/>
                      <w:bCs/>
                      <w:color w:val="auto"/>
                      <w:szCs w:val="21"/>
                      <w:highlight w:val="none"/>
                      <w:lang w:val="zh-CN"/>
                    </w:rPr>
                  </w:pPr>
                  <w:r>
                    <w:rPr>
                      <w:rFonts w:hint="eastAsia" w:ascii="Times New Roman" w:hAnsi="Times New Roman" w:eastAsia="宋体" w:cs="Times New Roman"/>
                      <w:bCs/>
                      <w:color w:val="auto"/>
                      <w:szCs w:val="21"/>
                      <w:highlight w:val="none"/>
                      <w:lang w:val="en-US" w:eastAsia="zh-CN"/>
                    </w:rPr>
                    <w:t>淮南市八公山污水处理厂接管标准</w:t>
                  </w:r>
                </w:p>
              </w:tc>
              <w:tc>
                <w:tcPr>
                  <w:tcW w:w="619" w:type="pct"/>
                  <w:vAlign w:val="center"/>
                </w:tcPr>
                <w:p w14:paraId="4EFAA14C">
                  <w:pPr>
                    <w:pStyle w:val="287"/>
                    <w:framePr w:hSpace="0" w:wrap="auto" w:vAnchor="margin" w:hAnchor="text" w:xAlign="left" w:yAlign="inline"/>
                    <w:rPr>
                      <w:color w:val="auto"/>
                    </w:rPr>
                  </w:pPr>
                  <w:r>
                    <w:rPr>
                      <w:color w:val="auto"/>
                    </w:rPr>
                    <w:t>6~9</w:t>
                  </w:r>
                </w:p>
              </w:tc>
              <w:tc>
                <w:tcPr>
                  <w:tcW w:w="620" w:type="pct"/>
                  <w:vAlign w:val="center"/>
                </w:tcPr>
                <w:p w14:paraId="0D274B55">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400</w:t>
                  </w:r>
                </w:p>
              </w:tc>
              <w:tc>
                <w:tcPr>
                  <w:tcW w:w="620" w:type="pct"/>
                  <w:vAlign w:val="center"/>
                </w:tcPr>
                <w:p w14:paraId="3DD6AE58">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250</w:t>
                  </w:r>
                </w:p>
              </w:tc>
              <w:tc>
                <w:tcPr>
                  <w:tcW w:w="620" w:type="pct"/>
                  <w:vAlign w:val="center"/>
                </w:tcPr>
                <w:p w14:paraId="5DD888D9">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35</w:t>
                  </w:r>
                </w:p>
              </w:tc>
              <w:tc>
                <w:tcPr>
                  <w:tcW w:w="620" w:type="pct"/>
                  <w:vAlign w:val="center"/>
                </w:tcPr>
                <w:p w14:paraId="2B85C648">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250</w:t>
                  </w:r>
                </w:p>
              </w:tc>
            </w:tr>
            <w:tr w14:paraId="6AE26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897" w:type="pct"/>
                  <w:vAlign w:val="center"/>
                </w:tcPr>
                <w:p w14:paraId="28868486">
                  <w:pPr>
                    <w:pStyle w:val="287"/>
                    <w:framePr w:hSpace="0" w:wrap="auto" w:vAnchor="margin" w:hAnchor="text" w:xAlign="left" w:yAlign="inline"/>
                    <w:rPr>
                      <w:rFonts w:hint="eastAsia" w:ascii="Times New Roman" w:hAnsi="Times New Roman" w:eastAsia="宋体" w:cs="Times New Roman"/>
                      <w:bCs/>
                      <w:color w:val="auto"/>
                      <w:szCs w:val="21"/>
                      <w:highlight w:val="none"/>
                      <w:lang w:val="zh-CN"/>
                    </w:rPr>
                  </w:pPr>
                  <w:r>
                    <w:rPr>
                      <w:rFonts w:hint="eastAsia" w:ascii="Times New Roman" w:hAnsi="Times New Roman" w:eastAsia="宋体" w:cs="Times New Roman"/>
                      <w:bCs/>
                      <w:color w:val="auto"/>
                      <w:szCs w:val="21"/>
                      <w:highlight w:val="none"/>
                      <w:lang w:val="zh-CN"/>
                    </w:rPr>
                    <w:t>GB8978-1996表4中三级标准</w:t>
                  </w:r>
                </w:p>
              </w:tc>
              <w:tc>
                <w:tcPr>
                  <w:tcW w:w="619" w:type="pct"/>
                  <w:vAlign w:val="center"/>
                </w:tcPr>
                <w:p w14:paraId="0A493049">
                  <w:pPr>
                    <w:pStyle w:val="287"/>
                    <w:framePr w:hSpace="0" w:wrap="auto" w:vAnchor="margin" w:hAnchor="text" w:xAlign="left" w:yAlign="inline"/>
                    <w:rPr>
                      <w:color w:val="auto"/>
                    </w:rPr>
                  </w:pPr>
                  <w:r>
                    <w:rPr>
                      <w:color w:val="auto"/>
                    </w:rPr>
                    <w:t>6~9</w:t>
                  </w:r>
                </w:p>
              </w:tc>
              <w:tc>
                <w:tcPr>
                  <w:tcW w:w="620" w:type="pct"/>
                  <w:vAlign w:val="center"/>
                </w:tcPr>
                <w:p w14:paraId="241D23FC">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500</w:t>
                  </w:r>
                </w:p>
              </w:tc>
              <w:tc>
                <w:tcPr>
                  <w:tcW w:w="620" w:type="pct"/>
                  <w:vAlign w:val="center"/>
                </w:tcPr>
                <w:p w14:paraId="09DA9CDC">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300</w:t>
                  </w:r>
                </w:p>
              </w:tc>
              <w:tc>
                <w:tcPr>
                  <w:tcW w:w="620" w:type="pct"/>
                  <w:vAlign w:val="center"/>
                </w:tcPr>
                <w:p w14:paraId="2132992D">
                  <w:pPr>
                    <w:pStyle w:val="287"/>
                    <w:framePr w:hSpace="0" w:wrap="auto" w:vAnchor="margin" w:hAnchor="text" w:xAlign="left" w:yAlign="inline"/>
                    <w:rPr>
                      <w:rFonts w:hint="eastAsia" w:eastAsia="宋体"/>
                      <w:color w:val="auto"/>
                      <w:lang w:val="en-US" w:eastAsia="zh-CN"/>
                    </w:rPr>
                  </w:pPr>
                  <w:r>
                    <w:rPr>
                      <w:rFonts w:hint="eastAsia"/>
                      <w:color w:val="auto"/>
                      <w:lang w:val="en-US" w:eastAsia="zh-CN"/>
                    </w:rPr>
                    <w:t>/</w:t>
                  </w:r>
                </w:p>
              </w:tc>
              <w:tc>
                <w:tcPr>
                  <w:tcW w:w="620" w:type="pct"/>
                  <w:vAlign w:val="center"/>
                </w:tcPr>
                <w:p w14:paraId="039D0188">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400</w:t>
                  </w:r>
                </w:p>
              </w:tc>
            </w:tr>
            <w:tr w14:paraId="38CE6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897" w:type="pct"/>
                  <w:vAlign w:val="center"/>
                </w:tcPr>
                <w:p w14:paraId="1B15E8DE">
                  <w:pPr>
                    <w:pStyle w:val="287"/>
                    <w:framePr w:hSpace="0" w:wrap="auto" w:vAnchor="margin" w:hAnchor="text" w:xAlign="left" w:yAlign="inline"/>
                    <w:rPr>
                      <w:rFonts w:hint="eastAsia" w:ascii="Times New Roman" w:hAnsi="Times New Roman" w:eastAsia="宋体" w:cs="Times New Roman"/>
                      <w:bCs/>
                      <w:color w:val="auto"/>
                      <w:szCs w:val="21"/>
                      <w:highlight w:val="none"/>
                      <w:lang w:val="zh-CN"/>
                    </w:rPr>
                  </w:pPr>
                  <w:r>
                    <w:rPr>
                      <w:rFonts w:hint="eastAsia" w:ascii="Times New Roman" w:hAnsi="Times New Roman" w:eastAsia="宋体" w:cs="Times New Roman"/>
                      <w:bCs/>
                      <w:color w:val="auto"/>
                      <w:szCs w:val="21"/>
                      <w:highlight w:val="none"/>
                      <w:lang w:val="zh-CN"/>
                    </w:rPr>
                    <w:t>本项目执行标准</w:t>
                  </w:r>
                </w:p>
              </w:tc>
              <w:tc>
                <w:tcPr>
                  <w:tcW w:w="619" w:type="pct"/>
                  <w:vAlign w:val="center"/>
                </w:tcPr>
                <w:p w14:paraId="38474C84">
                  <w:pPr>
                    <w:pStyle w:val="287"/>
                    <w:framePr w:hSpace="0" w:wrap="auto" w:vAnchor="margin" w:hAnchor="text" w:xAlign="left" w:yAlign="inline"/>
                    <w:rPr>
                      <w:color w:val="auto"/>
                    </w:rPr>
                  </w:pPr>
                  <w:r>
                    <w:rPr>
                      <w:color w:val="auto"/>
                    </w:rPr>
                    <w:t>6~9</w:t>
                  </w:r>
                </w:p>
              </w:tc>
              <w:tc>
                <w:tcPr>
                  <w:tcW w:w="1063" w:type="dxa"/>
                  <w:shd w:val="clear" w:color="auto" w:fill="auto"/>
                  <w:vAlign w:val="center"/>
                </w:tcPr>
                <w:p w14:paraId="55B7E4DC">
                  <w:pPr>
                    <w:pStyle w:val="287"/>
                    <w:framePr w:hSpace="0" w:wrap="auto" w:vAnchor="margin" w:hAnchor="text" w:xAlign="left" w:yAlign="inline"/>
                    <w:rPr>
                      <w:rFonts w:hint="default" w:ascii="Times New Roman" w:hAnsi="Times New Roman" w:eastAsia="宋体" w:cs="宋体"/>
                      <w:color w:val="auto"/>
                      <w:kern w:val="2"/>
                      <w:sz w:val="18"/>
                      <w:szCs w:val="22"/>
                      <w:lang w:val="en-US" w:eastAsia="zh-CN" w:bidi="ar-SA"/>
                    </w:rPr>
                  </w:pPr>
                  <w:r>
                    <w:rPr>
                      <w:rFonts w:hint="eastAsia"/>
                      <w:color w:val="auto"/>
                      <w:lang w:val="en-US" w:eastAsia="zh-CN"/>
                    </w:rPr>
                    <w:t>400</w:t>
                  </w:r>
                </w:p>
              </w:tc>
              <w:tc>
                <w:tcPr>
                  <w:tcW w:w="1063" w:type="dxa"/>
                  <w:shd w:val="clear" w:color="auto" w:fill="auto"/>
                  <w:vAlign w:val="center"/>
                </w:tcPr>
                <w:p w14:paraId="78D0CDC4">
                  <w:pPr>
                    <w:pStyle w:val="287"/>
                    <w:framePr w:hSpace="0" w:wrap="auto" w:vAnchor="margin" w:hAnchor="text" w:xAlign="left" w:yAlign="inline"/>
                    <w:rPr>
                      <w:rFonts w:hint="default" w:ascii="Times New Roman" w:hAnsi="Times New Roman" w:eastAsia="宋体" w:cs="宋体"/>
                      <w:color w:val="auto"/>
                      <w:kern w:val="2"/>
                      <w:sz w:val="18"/>
                      <w:szCs w:val="22"/>
                      <w:lang w:val="en-US" w:eastAsia="zh-CN" w:bidi="ar-SA"/>
                    </w:rPr>
                  </w:pPr>
                  <w:r>
                    <w:rPr>
                      <w:rFonts w:hint="eastAsia"/>
                      <w:color w:val="auto"/>
                      <w:lang w:val="en-US" w:eastAsia="zh-CN"/>
                    </w:rPr>
                    <w:t>250</w:t>
                  </w:r>
                </w:p>
              </w:tc>
              <w:tc>
                <w:tcPr>
                  <w:tcW w:w="1063" w:type="dxa"/>
                  <w:vAlign w:val="center"/>
                </w:tcPr>
                <w:p w14:paraId="538824CB">
                  <w:pPr>
                    <w:pStyle w:val="287"/>
                    <w:framePr w:hSpace="0" w:wrap="auto" w:vAnchor="margin" w:hAnchor="text" w:xAlign="left" w:yAlign="inline"/>
                    <w:rPr>
                      <w:rFonts w:hint="default"/>
                      <w:color w:val="auto"/>
                      <w:lang w:val="en-US" w:eastAsia="zh-CN"/>
                    </w:rPr>
                  </w:pPr>
                  <w:r>
                    <w:rPr>
                      <w:rFonts w:hint="eastAsia"/>
                      <w:color w:val="auto"/>
                      <w:lang w:val="en-US" w:eastAsia="zh-CN"/>
                    </w:rPr>
                    <w:t>35</w:t>
                  </w:r>
                </w:p>
              </w:tc>
              <w:tc>
                <w:tcPr>
                  <w:tcW w:w="1063" w:type="dxa"/>
                  <w:vAlign w:val="center"/>
                </w:tcPr>
                <w:p w14:paraId="4AC2439B">
                  <w:pPr>
                    <w:pStyle w:val="287"/>
                    <w:framePr w:hSpace="0" w:wrap="auto" w:vAnchor="margin" w:hAnchor="text" w:xAlign="left" w:yAlign="inline"/>
                    <w:rPr>
                      <w:rFonts w:hint="default"/>
                      <w:color w:val="auto"/>
                      <w:lang w:val="en-US" w:eastAsia="zh-CN"/>
                    </w:rPr>
                  </w:pPr>
                  <w:r>
                    <w:rPr>
                      <w:rFonts w:hint="eastAsia"/>
                      <w:color w:val="auto"/>
                      <w:lang w:val="en-US" w:eastAsia="zh-CN"/>
                    </w:rPr>
                    <w:t>250</w:t>
                  </w:r>
                </w:p>
              </w:tc>
            </w:tr>
            <w:tr w14:paraId="30A53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897" w:type="pct"/>
                  <w:vAlign w:val="center"/>
                </w:tcPr>
                <w:p w14:paraId="48F645CE">
                  <w:pPr>
                    <w:pStyle w:val="287"/>
                    <w:framePr w:hSpace="0" w:wrap="auto" w:vAnchor="margin" w:hAnchor="text" w:xAlign="left" w:yAlign="inline"/>
                    <w:rPr>
                      <w:rFonts w:hint="eastAsia" w:ascii="Times New Roman" w:hAnsi="Times New Roman" w:eastAsia="宋体" w:cs="Times New Roman"/>
                      <w:bCs/>
                      <w:color w:val="auto"/>
                      <w:szCs w:val="21"/>
                      <w:highlight w:val="none"/>
                      <w:lang w:val="zh-CN"/>
                    </w:rPr>
                  </w:pPr>
                  <w:r>
                    <w:rPr>
                      <w:rFonts w:hint="eastAsia" w:ascii="Times New Roman" w:hAnsi="Times New Roman" w:eastAsia="宋体" w:cs="Times New Roman"/>
                      <w:bCs/>
                      <w:color w:val="auto"/>
                      <w:szCs w:val="21"/>
                      <w:highlight w:val="none"/>
                      <w:lang w:val="zh-CN"/>
                    </w:rPr>
                    <w:t>GB18918-2002及其修改单中一级A标准</w:t>
                  </w:r>
                </w:p>
              </w:tc>
              <w:tc>
                <w:tcPr>
                  <w:tcW w:w="619" w:type="pct"/>
                  <w:vAlign w:val="center"/>
                </w:tcPr>
                <w:p w14:paraId="518E2508">
                  <w:pPr>
                    <w:pStyle w:val="287"/>
                    <w:framePr w:hSpace="0" w:wrap="auto" w:vAnchor="margin" w:hAnchor="text" w:xAlign="left" w:yAlign="inline"/>
                    <w:rPr>
                      <w:color w:val="auto"/>
                    </w:rPr>
                  </w:pPr>
                  <w:r>
                    <w:rPr>
                      <w:color w:val="auto"/>
                    </w:rPr>
                    <w:t>6~9</w:t>
                  </w:r>
                </w:p>
              </w:tc>
              <w:tc>
                <w:tcPr>
                  <w:tcW w:w="1063" w:type="dxa"/>
                  <w:shd w:val="clear" w:color="auto" w:fill="auto"/>
                  <w:vAlign w:val="center"/>
                </w:tcPr>
                <w:p w14:paraId="5DB5247F">
                  <w:pPr>
                    <w:pStyle w:val="287"/>
                    <w:framePr w:hSpace="0" w:wrap="auto" w:vAnchor="margin" w:hAnchor="text" w:xAlign="left" w:yAlign="inline"/>
                    <w:rPr>
                      <w:rFonts w:hint="default"/>
                      <w:color w:val="auto"/>
                      <w:lang w:val="en-US" w:eastAsia="zh-CN"/>
                    </w:rPr>
                  </w:pPr>
                  <w:r>
                    <w:rPr>
                      <w:rFonts w:hint="eastAsia"/>
                      <w:color w:val="auto"/>
                      <w:lang w:val="en-US" w:eastAsia="zh-CN"/>
                    </w:rPr>
                    <w:t>50</w:t>
                  </w:r>
                </w:p>
              </w:tc>
              <w:tc>
                <w:tcPr>
                  <w:tcW w:w="1063" w:type="dxa"/>
                  <w:shd w:val="clear" w:color="auto" w:fill="auto"/>
                  <w:vAlign w:val="center"/>
                </w:tcPr>
                <w:p w14:paraId="3E58DB89">
                  <w:pPr>
                    <w:pStyle w:val="287"/>
                    <w:framePr w:hSpace="0" w:wrap="auto" w:vAnchor="margin" w:hAnchor="text" w:xAlign="left" w:yAlign="inline"/>
                    <w:rPr>
                      <w:rFonts w:hint="default"/>
                      <w:color w:val="auto"/>
                      <w:lang w:val="en-US" w:eastAsia="zh-CN"/>
                    </w:rPr>
                  </w:pPr>
                  <w:r>
                    <w:rPr>
                      <w:rFonts w:hint="eastAsia"/>
                      <w:color w:val="auto"/>
                      <w:lang w:val="en-US" w:eastAsia="zh-CN"/>
                    </w:rPr>
                    <w:t>10</w:t>
                  </w:r>
                </w:p>
              </w:tc>
              <w:tc>
                <w:tcPr>
                  <w:tcW w:w="1063" w:type="dxa"/>
                  <w:vAlign w:val="center"/>
                </w:tcPr>
                <w:p w14:paraId="3739CB2A">
                  <w:pPr>
                    <w:pStyle w:val="287"/>
                    <w:framePr w:hSpace="0" w:wrap="auto" w:vAnchor="margin" w:hAnchor="text" w:xAlign="left" w:yAlign="inline"/>
                    <w:rPr>
                      <w:rFonts w:hint="default"/>
                      <w:color w:val="auto"/>
                      <w:lang w:val="en-US" w:eastAsia="zh-CN"/>
                    </w:rPr>
                  </w:pPr>
                  <w:r>
                    <w:rPr>
                      <w:rFonts w:hint="eastAsia"/>
                      <w:color w:val="auto"/>
                      <w:lang w:val="en-US" w:eastAsia="zh-CN"/>
                    </w:rPr>
                    <w:t>5（8）</w:t>
                  </w:r>
                </w:p>
              </w:tc>
              <w:tc>
                <w:tcPr>
                  <w:tcW w:w="1063" w:type="dxa"/>
                  <w:vAlign w:val="center"/>
                </w:tcPr>
                <w:p w14:paraId="6FCFB12F">
                  <w:pPr>
                    <w:pStyle w:val="287"/>
                    <w:framePr w:hSpace="0" w:wrap="auto" w:vAnchor="margin" w:hAnchor="text" w:xAlign="left" w:yAlign="inline"/>
                    <w:rPr>
                      <w:rFonts w:hint="default"/>
                      <w:color w:val="auto"/>
                      <w:lang w:val="en-US" w:eastAsia="zh-CN"/>
                    </w:rPr>
                  </w:pPr>
                  <w:r>
                    <w:rPr>
                      <w:rFonts w:hint="eastAsia"/>
                      <w:color w:val="auto"/>
                      <w:lang w:val="en-US" w:eastAsia="zh-CN"/>
                    </w:rPr>
                    <w:t>10</w:t>
                  </w:r>
                </w:p>
              </w:tc>
            </w:tr>
          </w:tbl>
          <w:p w14:paraId="20789190">
            <w:pPr>
              <w:pStyle w:val="180"/>
              <w:framePr w:hSpace="0" w:wrap="auto" w:vAnchor="margin" w:hAnchor="text" w:xAlign="left" w:yAlign="inline"/>
              <w:ind w:firstLine="482"/>
              <w:rPr>
                <w:color w:val="auto"/>
              </w:rPr>
            </w:pPr>
            <w:r>
              <w:rPr>
                <w:color w:val="auto"/>
              </w:rPr>
              <w:t>3.3.3</w:t>
            </w:r>
            <w:r>
              <w:rPr>
                <w:rFonts w:hint="eastAsia" w:ascii="宋体" w:hAnsi="宋体" w:cs="宋体"/>
                <w:color w:val="auto"/>
              </w:rPr>
              <w:t>噪声排放标准</w:t>
            </w:r>
          </w:p>
          <w:p w14:paraId="230A84B7">
            <w:pPr>
              <w:spacing w:after="0" w:line="460" w:lineRule="exact"/>
              <w:ind w:firstLine="480" w:firstLineChars="200"/>
              <w:outlineLvl w:val="1"/>
              <w:rPr>
                <w:color w:val="auto"/>
              </w:rPr>
            </w:pPr>
            <w:r>
              <w:rPr>
                <w:rFonts w:hint="default" w:ascii="Times New Roman" w:hAnsi="Times New Roman" w:cs="Times New Roman"/>
                <w:color w:val="auto"/>
                <w:highlight w:val="none"/>
              </w:rPr>
              <w:t>营运期厂界噪声执行《工业企业厂界环境噪声排放标准》（GB12348-2008）中3类标准，</w:t>
            </w:r>
            <w:r>
              <w:rPr>
                <w:color w:val="auto"/>
              </w:rPr>
              <w:t>具体见下表。</w:t>
            </w:r>
          </w:p>
          <w:p w14:paraId="4AF64DFA">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表 </w:t>
            </w:r>
            <w:r>
              <w:rPr>
                <w:rFonts w:hint="eastAsia"/>
                <w:color w:val="auto"/>
                <w:lang w:val="en-US" w:eastAsia="zh-CN"/>
              </w:rPr>
              <w:t>3</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8</w:t>
            </w:r>
            <w:r>
              <w:rPr>
                <w:color w:val="auto"/>
              </w:rPr>
              <w:fldChar w:fldCharType="end"/>
            </w:r>
            <w:r>
              <w:rPr>
                <w:rFonts w:hint="eastAsia"/>
                <w:color w:val="auto"/>
                <w:lang w:val="en-US" w:eastAsia="zh-CN"/>
              </w:rPr>
              <w:t xml:space="preserve"> </w:t>
            </w:r>
            <w:r>
              <w:rPr>
                <w:b/>
                <w:color w:val="auto"/>
                <w:sz w:val="21"/>
              </w:rPr>
              <w:t>《工业企业厂界环境噪声排放标准》（GB12348-2008）</w:t>
            </w:r>
          </w:p>
          <w:tbl>
            <w:tblPr>
              <w:tblStyle w:val="53"/>
              <w:tblpPr w:leftFromText="180" w:rightFromText="180" w:vertAnchor="text" w:tblpXSpec="center" w:tblpY="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348"/>
              <w:gridCol w:w="1799"/>
              <w:gridCol w:w="2209"/>
              <w:gridCol w:w="2207"/>
            </w:tblGrid>
            <w:tr w14:paraId="1656A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blHeader/>
              </w:trPr>
              <w:tc>
                <w:tcPr>
                  <w:tcW w:w="3904" w:type="dxa"/>
                  <w:gridSpan w:val="2"/>
                  <w:vAlign w:val="center"/>
                </w:tcPr>
                <w:p w14:paraId="3B9ED822">
                  <w:pPr>
                    <w:spacing w:after="0"/>
                    <w:jc w:val="center"/>
                    <w:outlineLvl w:val="1"/>
                    <w:rPr>
                      <w:bCs/>
                      <w:color w:val="auto"/>
                      <w:sz w:val="18"/>
                    </w:rPr>
                  </w:pPr>
                  <w:r>
                    <w:rPr>
                      <w:bCs/>
                      <w:color w:val="auto"/>
                      <w:sz w:val="18"/>
                    </w:rPr>
                    <w:t>标准类别</w:t>
                  </w:r>
                </w:p>
              </w:tc>
              <w:tc>
                <w:tcPr>
                  <w:tcW w:w="2079" w:type="dxa"/>
                  <w:vAlign w:val="center"/>
                </w:tcPr>
                <w:p w14:paraId="5229FFC0">
                  <w:pPr>
                    <w:spacing w:after="0"/>
                    <w:jc w:val="center"/>
                    <w:outlineLvl w:val="1"/>
                    <w:rPr>
                      <w:bCs/>
                      <w:color w:val="auto"/>
                      <w:sz w:val="18"/>
                    </w:rPr>
                  </w:pPr>
                  <w:r>
                    <w:rPr>
                      <w:bCs/>
                      <w:color w:val="auto"/>
                      <w:sz w:val="18"/>
                    </w:rPr>
                    <w:t>昼间dB（A）</w:t>
                  </w:r>
                </w:p>
              </w:tc>
              <w:tc>
                <w:tcPr>
                  <w:tcW w:w="2077" w:type="dxa"/>
                  <w:vAlign w:val="center"/>
                </w:tcPr>
                <w:p w14:paraId="100B5486">
                  <w:pPr>
                    <w:spacing w:after="0"/>
                    <w:jc w:val="center"/>
                    <w:outlineLvl w:val="1"/>
                    <w:rPr>
                      <w:bCs/>
                      <w:color w:val="auto"/>
                      <w:sz w:val="18"/>
                    </w:rPr>
                  </w:pPr>
                  <w:r>
                    <w:rPr>
                      <w:bCs/>
                      <w:color w:val="auto"/>
                      <w:sz w:val="18"/>
                    </w:rPr>
                    <w:t>夜间dB（A）</w:t>
                  </w:r>
                </w:p>
              </w:tc>
            </w:tr>
            <w:tr w14:paraId="599DE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211" w:type="dxa"/>
                  <w:vAlign w:val="center"/>
                </w:tcPr>
                <w:p w14:paraId="342C8B4F">
                  <w:pPr>
                    <w:spacing w:after="0"/>
                    <w:jc w:val="center"/>
                    <w:outlineLvl w:val="1"/>
                    <w:rPr>
                      <w:bCs/>
                      <w:color w:val="auto"/>
                      <w:sz w:val="18"/>
                    </w:rPr>
                  </w:pPr>
                  <w:r>
                    <w:rPr>
                      <w:bCs/>
                      <w:color w:val="auto"/>
                      <w:sz w:val="18"/>
                    </w:rPr>
                    <w:t>厂界</w:t>
                  </w:r>
                </w:p>
              </w:tc>
              <w:tc>
                <w:tcPr>
                  <w:tcW w:w="1693" w:type="dxa"/>
                  <w:vAlign w:val="center"/>
                </w:tcPr>
                <w:p w14:paraId="1D790BCD">
                  <w:pPr>
                    <w:spacing w:after="0"/>
                    <w:jc w:val="center"/>
                    <w:outlineLvl w:val="1"/>
                    <w:rPr>
                      <w:bCs/>
                      <w:color w:val="auto"/>
                      <w:sz w:val="18"/>
                    </w:rPr>
                  </w:pPr>
                  <w:r>
                    <w:rPr>
                      <w:bCs/>
                      <w:color w:val="auto"/>
                      <w:sz w:val="18"/>
                    </w:rPr>
                    <w:t>3类标准</w:t>
                  </w:r>
                </w:p>
              </w:tc>
              <w:tc>
                <w:tcPr>
                  <w:tcW w:w="2079" w:type="dxa"/>
                  <w:vAlign w:val="center"/>
                </w:tcPr>
                <w:p w14:paraId="349CA0B8">
                  <w:pPr>
                    <w:spacing w:after="0"/>
                    <w:jc w:val="center"/>
                    <w:outlineLvl w:val="1"/>
                    <w:rPr>
                      <w:bCs/>
                      <w:color w:val="auto"/>
                      <w:sz w:val="18"/>
                    </w:rPr>
                  </w:pPr>
                  <w:r>
                    <w:rPr>
                      <w:bCs/>
                      <w:color w:val="auto"/>
                      <w:sz w:val="18"/>
                    </w:rPr>
                    <w:t>65</w:t>
                  </w:r>
                </w:p>
              </w:tc>
              <w:tc>
                <w:tcPr>
                  <w:tcW w:w="2077" w:type="dxa"/>
                  <w:vAlign w:val="center"/>
                </w:tcPr>
                <w:p w14:paraId="26C49D41">
                  <w:pPr>
                    <w:spacing w:after="0"/>
                    <w:jc w:val="center"/>
                    <w:outlineLvl w:val="1"/>
                    <w:rPr>
                      <w:bCs/>
                      <w:color w:val="auto"/>
                      <w:sz w:val="18"/>
                    </w:rPr>
                  </w:pPr>
                  <w:r>
                    <w:rPr>
                      <w:bCs/>
                      <w:color w:val="auto"/>
                      <w:sz w:val="18"/>
                    </w:rPr>
                    <w:t>55</w:t>
                  </w:r>
                </w:p>
              </w:tc>
            </w:tr>
          </w:tbl>
          <w:p w14:paraId="400AF942">
            <w:pPr>
              <w:pStyle w:val="180"/>
              <w:framePr w:hSpace="0" w:wrap="auto" w:vAnchor="margin" w:hAnchor="text" w:xAlign="left" w:yAlign="inline"/>
              <w:ind w:firstLine="482"/>
              <w:rPr>
                <w:color w:val="auto"/>
              </w:rPr>
            </w:pPr>
            <w:r>
              <w:rPr>
                <w:color w:val="auto"/>
              </w:rPr>
              <w:t>3.3.4</w:t>
            </w:r>
            <w:r>
              <w:rPr>
                <w:rFonts w:hint="eastAsia"/>
                <w:color w:val="auto"/>
              </w:rPr>
              <w:t>固体废物执行标准</w:t>
            </w:r>
          </w:p>
          <w:p w14:paraId="407329C7">
            <w:pPr>
              <w:spacing w:after="0" w:line="460" w:lineRule="exact"/>
              <w:ind w:firstLine="480" w:firstLineChars="200"/>
              <w:outlineLvl w:val="1"/>
              <w:rPr>
                <w:color w:val="auto"/>
              </w:rPr>
            </w:pPr>
            <w:r>
              <w:rPr>
                <w:rFonts w:hint="eastAsia" w:ascii="Times New Roman" w:hAnsi="Times New Roman" w:eastAsia="宋体" w:cs="Times New Roman"/>
                <w:color w:val="auto"/>
                <w:highlight w:val="none"/>
              </w:rPr>
              <w:t>项目</w:t>
            </w:r>
            <w:r>
              <w:rPr>
                <w:rFonts w:hint="eastAsia" w:ascii="Times New Roman" w:hAnsi="Times New Roman" w:eastAsia="宋体" w:cs="Times New Roman"/>
                <w:color w:val="auto"/>
                <w:highlight w:val="none"/>
                <w:lang w:eastAsia="zh-CN"/>
              </w:rPr>
              <w:t>产生</w:t>
            </w:r>
            <w:r>
              <w:rPr>
                <w:rFonts w:hint="default" w:ascii="Times New Roman" w:hAnsi="Times New Roman" w:eastAsia="宋体" w:cs="Times New Roman"/>
                <w:color w:val="auto"/>
                <w:highlight w:val="none"/>
              </w:rPr>
              <w:t>固体废物</w:t>
            </w:r>
            <w:r>
              <w:rPr>
                <w:rFonts w:hint="eastAsia" w:ascii="Times New Roman" w:hAnsi="Times New Roman" w:eastAsia="宋体" w:cs="Times New Roman"/>
                <w:color w:val="auto"/>
                <w:highlight w:val="none"/>
                <w:lang w:eastAsia="zh-CN"/>
              </w:rPr>
              <w:t>为一般工业固体废物和危险废物。</w:t>
            </w:r>
            <w:r>
              <w:rPr>
                <w:rFonts w:hint="eastAsia" w:ascii="Times New Roman" w:hAnsi="Times New Roman" w:eastAsia="宋体" w:cs="Times New Roman"/>
                <w:color w:val="auto"/>
                <w:highlight w:val="none"/>
              </w:rPr>
              <w:t>按照《中华人民共和国固体废物污染环境防治法》中相</w:t>
            </w:r>
            <w:r>
              <w:rPr>
                <w:rFonts w:hint="eastAsia" w:ascii="Times New Roman" w:hAnsi="Times New Roman" w:eastAsia="宋体" w:cs="Times New Roman"/>
                <w:color w:val="auto"/>
                <w:highlight w:val="none"/>
                <w:lang w:eastAsia="zh-CN"/>
              </w:rPr>
              <w:t>关要求进行管理，一般固废执行《一般工业固体废物贮存和填埋污染物控制标准》（GB18599-2020）中的相关规定。</w:t>
            </w:r>
            <w:r>
              <w:rPr>
                <w:rFonts w:hint="default" w:ascii="Times New Roman" w:hAnsi="Times New Roman" w:eastAsia="宋体" w:cs="Times New Roman"/>
                <w:color w:val="auto"/>
                <w:highlight w:val="none"/>
                <w:lang w:val="en-US" w:eastAsia="zh-CN"/>
              </w:rPr>
              <w:t>等危险废物执行《危险废物贮存污染控制标准》(GB18597-2023)中相关要</w:t>
            </w:r>
            <w:r>
              <w:rPr>
                <w:rFonts w:hint="eastAsia" w:cs="Times New Roman"/>
                <w:color w:val="auto"/>
                <w:highlight w:val="none"/>
                <w:lang w:val="en-US" w:eastAsia="zh-CN"/>
              </w:rPr>
              <w:t>求，</w:t>
            </w:r>
            <w:r>
              <w:rPr>
                <w:rFonts w:hint="default" w:ascii="Times New Roman" w:hAnsi="Times New Roman" w:eastAsia="宋体" w:cs="Times New Roman"/>
                <w:color w:val="auto"/>
                <w:highlight w:val="none"/>
                <w:lang w:val="en-US" w:eastAsia="zh-CN"/>
              </w:rPr>
              <w:t>危废贮存库及危废容器所使用的环保识别标志的设置按《危险废物识别标志设置技术规范》(HJ1276-2022)中相关要求进行设置</w:t>
            </w:r>
            <w:r>
              <w:rPr>
                <w:rFonts w:hint="eastAsia" w:ascii="Times New Roman" w:hAnsi="Times New Roman" w:eastAsia="宋体" w:cs="Times New Roman"/>
                <w:color w:val="auto"/>
                <w:highlight w:val="none"/>
                <w:lang w:val="en-US" w:eastAsia="zh-CN"/>
              </w:rPr>
              <w:t>。</w:t>
            </w:r>
          </w:p>
        </w:tc>
      </w:tr>
      <w:tr w14:paraId="7D4B09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659"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3EEDA9D9">
            <w:pPr>
              <w:adjustRightInd w:val="0"/>
              <w:spacing w:after="0" w:line="440" w:lineRule="exact"/>
              <w:jc w:val="center"/>
              <w:outlineLvl w:val="1"/>
              <w:rPr>
                <w:color w:val="auto"/>
              </w:rPr>
            </w:pPr>
            <w:r>
              <w:rPr>
                <w:color w:val="auto"/>
              </w:rPr>
              <w:t>总量控制指标</w:t>
            </w:r>
          </w:p>
        </w:tc>
        <w:tc>
          <w:tcPr>
            <w:tcW w:w="8267" w:type="dxa"/>
            <w:tcBorders>
              <w:top w:val="single" w:color="auto" w:sz="4" w:space="0"/>
              <w:left w:val="single" w:color="auto" w:sz="4" w:space="0"/>
              <w:bottom w:val="single" w:color="auto" w:sz="4" w:space="0"/>
              <w:right w:val="single" w:color="auto" w:sz="4" w:space="0"/>
            </w:tcBorders>
          </w:tcPr>
          <w:p w14:paraId="1030446D">
            <w:pPr>
              <w:pStyle w:val="181"/>
              <w:keepNext w:val="0"/>
              <w:keepLines w:val="0"/>
              <w:pageBreakBefore w:val="0"/>
              <w:widowControl/>
              <w:kinsoku/>
              <w:wordWrap/>
              <w:overflowPunct/>
              <w:topLinePunct w:val="0"/>
              <w:autoSpaceDE/>
              <w:autoSpaceDN/>
              <w:bidi w:val="0"/>
              <w:adjustRightInd w:val="0"/>
              <w:snapToGrid w:val="0"/>
              <w:spacing w:line="400" w:lineRule="exact"/>
              <w:ind w:firstLine="480"/>
              <w:textAlignment w:val="auto"/>
              <w:rPr>
                <w:color w:val="auto"/>
              </w:rPr>
            </w:pPr>
            <w:r>
              <w:rPr>
                <w:rFonts w:hint="eastAsia"/>
                <w:color w:val="auto"/>
              </w:rPr>
              <w:t>根据</w:t>
            </w:r>
            <w:r>
              <w:rPr>
                <w:color w:val="auto"/>
              </w:rPr>
              <w:t>《安徽省环保厅关于进一步加强建设项目新增大气污染物总量指标管理工作的通知》（皖环发〔2017〕19号），</w:t>
            </w:r>
            <w:r>
              <w:rPr>
                <w:rFonts w:hint="eastAsia"/>
                <w:color w:val="auto"/>
              </w:rPr>
              <w:t>提出总量控制因子</w:t>
            </w:r>
            <w:r>
              <w:rPr>
                <w:color w:val="auto"/>
              </w:rPr>
              <w:t>为：烟</w:t>
            </w:r>
            <w:r>
              <w:rPr>
                <w:rFonts w:hint="eastAsia"/>
                <w:color w:val="auto"/>
              </w:rPr>
              <w:t>（</w:t>
            </w:r>
            <w:r>
              <w:rPr>
                <w:color w:val="auto"/>
              </w:rPr>
              <w:t>粉</w:t>
            </w:r>
            <w:r>
              <w:rPr>
                <w:rFonts w:hint="eastAsia"/>
                <w:color w:val="auto"/>
              </w:rPr>
              <w:t>）</w:t>
            </w:r>
            <w:r>
              <w:rPr>
                <w:color w:val="auto"/>
              </w:rPr>
              <w:t>尘</w:t>
            </w:r>
            <w:r>
              <w:rPr>
                <w:rFonts w:hint="eastAsia"/>
                <w:color w:val="auto"/>
              </w:rPr>
              <w:t>、VOCs、</w:t>
            </w:r>
            <w:r>
              <w:rPr>
                <w:color w:val="auto"/>
                <w:kern w:val="1"/>
                <w:szCs w:val="21"/>
                <w:lang w:bidi="ar"/>
              </w:rPr>
              <w:t>二氧化硫、氮氧化物</w:t>
            </w:r>
            <w:r>
              <w:rPr>
                <w:rFonts w:hint="eastAsia"/>
                <w:color w:val="auto"/>
              </w:rPr>
              <w:t>、</w:t>
            </w:r>
            <w:r>
              <w:rPr>
                <w:color w:val="auto"/>
              </w:rPr>
              <w:t>CODcr、NH</w:t>
            </w:r>
            <w:r>
              <w:rPr>
                <w:color w:val="auto"/>
                <w:vertAlign w:val="subscript"/>
              </w:rPr>
              <w:t>3</w:t>
            </w:r>
            <w:r>
              <w:rPr>
                <w:color w:val="auto"/>
              </w:rPr>
              <w:t>-N。</w:t>
            </w:r>
          </w:p>
          <w:p w14:paraId="42B674B4">
            <w:pPr>
              <w:pStyle w:val="181"/>
              <w:keepNext w:val="0"/>
              <w:keepLines w:val="0"/>
              <w:pageBreakBefore w:val="0"/>
              <w:widowControl/>
              <w:kinsoku/>
              <w:wordWrap/>
              <w:overflowPunct/>
              <w:topLinePunct w:val="0"/>
              <w:autoSpaceDE/>
              <w:autoSpaceDN/>
              <w:bidi w:val="0"/>
              <w:adjustRightInd w:val="0"/>
              <w:snapToGrid w:val="0"/>
              <w:spacing w:line="400" w:lineRule="exact"/>
              <w:ind w:firstLine="480"/>
              <w:textAlignment w:val="auto"/>
              <w:rPr>
                <w:color w:val="auto"/>
              </w:rPr>
            </w:pPr>
            <w:r>
              <w:rPr>
                <w:rFonts w:hint="eastAsia"/>
                <w:color w:val="auto"/>
              </w:rPr>
              <w:t>1、大气</w:t>
            </w:r>
            <w:r>
              <w:rPr>
                <w:color w:val="auto"/>
              </w:rPr>
              <w:t>污染物总量控制指标</w:t>
            </w:r>
          </w:p>
          <w:p w14:paraId="455FB8CA">
            <w:pPr>
              <w:pStyle w:val="181"/>
              <w:keepNext w:val="0"/>
              <w:keepLines w:val="0"/>
              <w:pageBreakBefore w:val="0"/>
              <w:widowControl/>
              <w:kinsoku/>
              <w:wordWrap/>
              <w:overflowPunct/>
              <w:topLinePunct w:val="0"/>
              <w:autoSpaceDE/>
              <w:autoSpaceDN/>
              <w:bidi w:val="0"/>
              <w:adjustRightInd w:val="0"/>
              <w:snapToGrid w:val="0"/>
              <w:spacing w:line="400" w:lineRule="exact"/>
              <w:ind w:firstLine="480"/>
              <w:textAlignment w:val="auto"/>
              <w:rPr>
                <w:rFonts w:hint="default" w:eastAsia="宋体"/>
                <w:color w:val="auto"/>
                <w:lang w:val="en-US" w:eastAsia="zh-CN"/>
              </w:rPr>
            </w:pPr>
            <w:r>
              <w:rPr>
                <w:rFonts w:hint="eastAsia"/>
                <w:color w:val="auto"/>
                <w:highlight w:val="none"/>
              </w:rPr>
              <w:t>本项目排放的大气污染物为颗粒物，排放方式为无组织排放，</w:t>
            </w:r>
            <w:r>
              <w:rPr>
                <w:rFonts w:hint="eastAsia"/>
                <w:color w:val="auto"/>
                <w:highlight w:val="none"/>
                <w:lang w:eastAsia="zh-CN"/>
              </w:rPr>
              <w:t>排放量为</w:t>
            </w:r>
            <w:r>
              <w:rPr>
                <w:rFonts w:hint="eastAsia"/>
                <w:color w:val="auto"/>
                <w:highlight w:val="none"/>
                <w:lang w:val="en-US" w:eastAsia="zh-CN"/>
              </w:rPr>
              <w:t>0.93t/a</w:t>
            </w:r>
            <w:r>
              <w:rPr>
                <w:rFonts w:hint="eastAsia"/>
                <w:color w:val="auto"/>
                <w:highlight w:val="none"/>
              </w:rPr>
              <w:t>。</w:t>
            </w:r>
          </w:p>
          <w:p w14:paraId="75C6816B">
            <w:pPr>
              <w:pStyle w:val="181"/>
              <w:keepNext w:val="0"/>
              <w:keepLines w:val="0"/>
              <w:pageBreakBefore w:val="0"/>
              <w:widowControl/>
              <w:kinsoku/>
              <w:wordWrap/>
              <w:overflowPunct/>
              <w:topLinePunct w:val="0"/>
              <w:autoSpaceDE/>
              <w:autoSpaceDN/>
              <w:bidi w:val="0"/>
              <w:adjustRightInd w:val="0"/>
              <w:snapToGrid w:val="0"/>
              <w:spacing w:line="400" w:lineRule="exact"/>
              <w:ind w:firstLine="480"/>
              <w:textAlignment w:val="auto"/>
              <w:rPr>
                <w:color w:val="auto"/>
              </w:rPr>
            </w:pPr>
            <w:r>
              <w:rPr>
                <w:rFonts w:hint="eastAsia"/>
                <w:color w:val="auto"/>
              </w:rPr>
              <w:t>2、</w:t>
            </w:r>
            <w:r>
              <w:rPr>
                <w:color w:val="auto"/>
              </w:rPr>
              <w:t>水污染物总量控制指标</w:t>
            </w:r>
          </w:p>
          <w:p w14:paraId="6002D918">
            <w:pPr>
              <w:pStyle w:val="181"/>
              <w:keepNext w:val="0"/>
              <w:keepLines w:val="0"/>
              <w:pageBreakBefore w:val="0"/>
              <w:widowControl/>
              <w:kinsoku/>
              <w:wordWrap/>
              <w:overflowPunct/>
              <w:topLinePunct w:val="0"/>
              <w:autoSpaceDE/>
              <w:autoSpaceDN/>
              <w:bidi w:val="0"/>
              <w:adjustRightInd w:val="0"/>
              <w:snapToGrid w:val="0"/>
              <w:spacing w:line="400" w:lineRule="exact"/>
              <w:ind w:firstLine="48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本项目</w:t>
            </w:r>
            <w:r>
              <w:rPr>
                <w:rFonts w:hint="eastAsia" w:ascii="Times New Roman" w:hAnsi="Times New Roman" w:eastAsia="宋体" w:cs="Times New Roman"/>
                <w:color w:val="auto"/>
                <w:lang w:eastAsia="zh-CN"/>
              </w:rPr>
              <w:t>生产</w:t>
            </w:r>
            <w:r>
              <w:rPr>
                <w:rFonts w:hint="eastAsia" w:ascii="Times New Roman" w:hAnsi="Times New Roman" w:eastAsia="宋体" w:cs="Times New Roman"/>
                <w:color w:val="auto"/>
              </w:rPr>
              <w:t>废水</w:t>
            </w:r>
            <w:r>
              <w:rPr>
                <w:rFonts w:hint="eastAsia" w:ascii="Times New Roman" w:hAnsi="Times New Roman" w:eastAsia="宋体" w:cs="Times New Roman"/>
                <w:color w:val="auto"/>
                <w:lang w:eastAsia="zh-CN"/>
              </w:rPr>
              <w:t>实现闭路循环，不外排</w:t>
            </w:r>
            <w:r>
              <w:rPr>
                <w:rFonts w:hint="eastAsia" w:ascii="Times New Roman" w:hAnsi="Times New Roman" w:eastAsia="宋体" w:cs="Times New Roman"/>
                <w:color w:val="auto"/>
              </w:rPr>
              <w:t>，故不申请总量替代指标。</w:t>
            </w:r>
          </w:p>
          <w:p w14:paraId="397BAACC">
            <w:pPr>
              <w:pStyle w:val="181"/>
              <w:keepNext w:val="0"/>
              <w:keepLines w:val="0"/>
              <w:pageBreakBefore w:val="0"/>
              <w:widowControl/>
              <w:kinsoku/>
              <w:wordWrap/>
              <w:overflowPunct/>
              <w:topLinePunct w:val="0"/>
              <w:autoSpaceDE/>
              <w:autoSpaceDN/>
              <w:bidi w:val="0"/>
              <w:adjustRightInd w:val="0"/>
              <w:snapToGrid w:val="0"/>
              <w:spacing w:line="400" w:lineRule="exact"/>
              <w:ind w:firstLine="480"/>
              <w:textAlignment w:val="auto"/>
              <w:rPr>
                <w:rFonts w:hint="eastAsia" w:ascii="Times New Roman" w:hAnsi="Times New Roman" w:eastAsia="宋体" w:cs="Times New Roman"/>
                <w:color w:val="auto"/>
              </w:rPr>
            </w:pPr>
            <w:r>
              <w:rPr>
                <w:rFonts w:hint="eastAsia" w:ascii="Times New Roman" w:hAnsi="Times New Roman" w:eastAsia="宋体" w:cs="Times New Roman"/>
                <w:color w:val="auto"/>
              </w:rPr>
              <w:t>3、固体废物总量控制指标</w:t>
            </w:r>
          </w:p>
          <w:p w14:paraId="08DFCE1D">
            <w:pPr>
              <w:pStyle w:val="181"/>
              <w:keepNext w:val="0"/>
              <w:keepLines w:val="0"/>
              <w:pageBreakBefore w:val="0"/>
              <w:widowControl/>
              <w:kinsoku/>
              <w:wordWrap/>
              <w:overflowPunct/>
              <w:topLinePunct w:val="0"/>
              <w:autoSpaceDE/>
              <w:autoSpaceDN/>
              <w:bidi w:val="0"/>
              <w:adjustRightInd w:val="0"/>
              <w:snapToGrid w:val="0"/>
              <w:spacing w:line="400" w:lineRule="exact"/>
              <w:ind w:firstLine="480"/>
              <w:textAlignment w:val="auto"/>
              <w:rPr>
                <w:color w:val="auto"/>
              </w:rPr>
            </w:pPr>
            <w:r>
              <w:rPr>
                <w:rFonts w:hint="eastAsia" w:ascii="Times New Roman" w:hAnsi="Times New Roman" w:eastAsia="宋体" w:cs="Times New Roman"/>
                <w:color w:val="auto"/>
              </w:rPr>
              <w:t>本项目固体废物均按照要求进行管理，故不申请总量替代指标。</w:t>
            </w:r>
          </w:p>
        </w:tc>
      </w:tr>
    </w:tbl>
    <w:p w14:paraId="68DFA471">
      <w:pPr>
        <w:widowControl/>
        <w:spacing w:before="120" w:beforeLines="50" w:after="0" w:line="360" w:lineRule="auto"/>
        <w:outlineLvl w:val="0"/>
        <w:rPr>
          <w:color w:val="auto"/>
          <w:sz w:val="28"/>
          <w:szCs w:val="28"/>
          <w:lang w:val="zh-CN"/>
        </w:rPr>
        <w:sectPr>
          <w:headerReference r:id="rId14" w:type="default"/>
          <w:pgSz w:w="11907" w:h="16840"/>
          <w:pgMar w:top="1440" w:right="1440" w:bottom="1389" w:left="1440" w:header="851" w:footer="851" w:gutter="0"/>
          <w:pgNumType w:fmt="decimal"/>
          <w:cols w:space="720" w:num="1"/>
          <w:docGrid w:linePitch="326" w:charSpace="0"/>
        </w:sectPr>
      </w:pPr>
      <w:bookmarkStart w:id="21" w:name="_Hlk173944805"/>
      <w:bookmarkStart w:id="22" w:name="_Toc69030996"/>
    </w:p>
    <w:p w14:paraId="3196A50E">
      <w:pPr>
        <w:pStyle w:val="3"/>
        <w:bidi w:val="0"/>
        <w:spacing w:after="0" w:line="240" w:lineRule="auto"/>
        <w:rPr>
          <w:color w:val="auto"/>
          <w:szCs w:val="28"/>
          <w:lang w:val="zh-CN"/>
        </w:rPr>
      </w:pPr>
      <w:r>
        <w:rPr>
          <w:color w:val="auto"/>
          <w:lang w:val="zh-CN"/>
        </w:rPr>
        <w:t>四、主要环境影响和保护措施</w:t>
      </w:r>
    </w:p>
    <w:bookmarkEnd w:id="21"/>
    <w:tbl>
      <w:tblPr>
        <w:tblStyle w:val="53"/>
        <w:tblW w:w="916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601"/>
        <w:gridCol w:w="8562"/>
      </w:tblGrid>
      <w:tr w14:paraId="235912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560" w:hRule="atLeast"/>
          <w:jc w:val="center"/>
        </w:trPr>
        <w:tc>
          <w:tcPr>
            <w:tcW w:w="601" w:type="dxa"/>
            <w:tcMar>
              <w:left w:w="28" w:type="dxa"/>
              <w:right w:w="28" w:type="dxa"/>
            </w:tcMar>
            <w:vAlign w:val="center"/>
          </w:tcPr>
          <w:p w14:paraId="6AEBD4D3">
            <w:pPr>
              <w:adjustRightInd w:val="0"/>
              <w:snapToGrid w:val="0"/>
              <w:spacing w:after="0"/>
              <w:jc w:val="center"/>
              <w:rPr>
                <w:color w:val="auto"/>
              </w:rPr>
            </w:pPr>
            <w:r>
              <w:rPr>
                <w:rFonts w:hint="eastAsia"/>
                <w:color w:val="auto"/>
              </w:rPr>
              <w:t>施工期</w:t>
            </w:r>
            <w:r>
              <w:rPr>
                <w:color w:val="auto"/>
              </w:rPr>
              <w:t>环</w:t>
            </w:r>
          </w:p>
          <w:p w14:paraId="405A7355">
            <w:pPr>
              <w:adjustRightInd w:val="0"/>
              <w:snapToGrid w:val="0"/>
              <w:spacing w:after="0"/>
              <w:jc w:val="center"/>
              <w:rPr>
                <w:color w:val="auto"/>
              </w:rPr>
            </w:pPr>
            <w:r>
              <w:rPr>
                <w:color w:val="auto"/>
              </w:rPr>
              <w:t>境影</w:t>
            </w:r>
          </w:p>
          <w:p w14:paraId="5D788992">
            <w:pPr>
              <w:adjustRightInd w:val="0"/>
              <w:snapToGrid w:val="0"/>
              <w:spacing w:after="0"/>
              <w:jc w:val="center"/>
              <w:rPr>
                <w:color w:val="auto"/>
              </w:rPr>
            </w:pPr>
            <w:r>
              <w:rPr>
                <w:color w:val="auto"/>
              </w:rPr>
              <w:t>响和</w:t>
            </w:r>
          </w:p>
          <w:p w14:paraId="45CE21FE">
            <w:pPr>
              <w:adjustRightInd w:val="0"/>
              <w:snapToGrid w:val="0"/>
              <w:spacing w:after="0"/>
              <w:jc w:val="center"/>
              <w:rPr>
                <w:color w:val="auto"/>
              </w:rPr>
            </w:pPr>
            <w:r>
              <w:rPr>
                <w:color w:val="auto"/>
              </w:rPr>
              <w:t>保护</w:t>
            </w:r>
          </w:p>
          <w:p w14:paraId="5FD092DC">
            <w:pPr>
              <w:adjustRightInd w:val="0"/>
              <w:snapToGrid w:val="0"/>
              <w:spacing w:after="0"/>
              <w:jc w:val="center"/>
              <w:rPr>
                <w:rFonts w:cs="宋体"/>
                <w:bCs/>
                <w:color w:val="auto"/>
              </w:rPr>
            </w:pPr>
            <w:r>
              <w:rPr>
                <w:color w:val="auto"/>
              </w:rPr>
              <w:t>措施</w:t>
            </w:r>
          </w:p>
        </w:tc>
        <w:tc>
          <w:tcPr>
            <w:tcW w:w="8562" w:type="dxa"/>
            <w:vAlign w:val="center"/>
          </w:tcPr>
          <w:p w14:paraId="4341D77B">
            <w:pPr>
              <w:pStyle w:val="598"/>
              <w:rPr>
                <w:color w:val="auto"/>
              </w:rPr>
            </w:pPr>
            <w:r>
              <w:rPr>
                <w:rFonts w:hint="eastAsia"/>
                <w:color w:val="auto"/>
              </w:rPr>
              <w:t>4</w:t>
            </w:r>
            <w:r>
              <w:rPr>
                <w:color w:val="auto"/>
              </w:rPr>
              <w:t>.1</w:t>
            </w:r>
            <w:r>
              <w:rPr>
                <w:rFonts w:hint="eastAsia"/>
                <w:color w:val="auto"/>
              </w:rPr>
              <w:t>施工期</w:t>
            </w:r>
          </w:p>
          <w:p w14:paraId="327B4703">
            <w:pPr>
              <w:pStyle w:val="181"/>
              <w:wordWrap/>
              <w:ind w:firstLine="480"/>
              <w:rPr>
                <w:color w:val="auto"/>
              </w:rPr>
            </w:pPr>
            <w:r>
              <w:rPr>
                <w:color w:val="auto"/>
              </w:rPr>
              <w:t>本项目租赁</w:t>
            </w:r>
            <w:r>
              <w:rPr>
                <w:rFonts w:hint="eastAsia"/>
                <w:color w:val="auto"/>
                <w:lang w:eastAsia="zh-CN"/>
              </w:rPr>
              <w:t>淮南市八公山区淮南舜岳水泥有限责任公司厂区内</w:t>
            </w:r>
            <w:r>
              <w:rPr>
                <w:rFonts w:hint="eastAsia"/>
                <w:color w:val="auto"/>
              </w:rPr>
              <w:t>现有</w:t>
            </w:r>
            <w:r>
              <w:rPr>
                <w:color w:val="auto"/>
              </w:rPr>
              <w:t>厂房生产，</w:t>
            </w:r>
            <w:r>
              <w:rPr>
                <w:rFonts w:hint="eastAsia"/>
                <w:color w:val="auto"/>
              </w:rPr>
              <w:t>施工期仅对生产厂房进行内部改造、装修及设备设施安装，</w:t>
            </w:r>
            <w:r>
              <w:rPr>
                <w:rFonts w:hint="eastAsia"/>
                <w:color w:val="auto"/>
                <w:lang w:eastAsia="zh-CN"/>
              </w:rPr>
              <w:t>基本</w:t>
            </w:r>
            <w:r>
              <w:rPr>
                <w:rFonts w:hint="eastAsia"/>
                <w:color w:val="auto"/>
              </w:rPr>
              <w:t>不涉及土建工程，施工期主要污染物为装修废气、建筑垃圾和噪声。本项目施工活动均在室内进行、施工期短，对环境影响较小，且设备安装噪声将随工程施工的结束而消失，</w:t>
            </w:r>
            <w:r>
              <w:rPr>
                <w:rFonts w:hint="eastAsia"/>
                <w:color w:val="auto"/>
                <w:lang w:eastAsia="zh-CN"/>
              </w:rPr>
              <w:t>故</w:t>
            </w:r>
            <w:r>
              <w:rPr>
                <w:rFonts w:hint="eastAsia"/>
                <w:color w:val="auto"/>
              </w:rPr>
              <w:t>本次评价不对施工期环境影响</w:t>
            </w:r>
            <w:r>
              <w:rPr>
                <w:rFonts w:hint="eastAsia"/>
                <w:color w:val="auto"/>
                <w:lang w:eastAsia="zh-CN"/>
              </w:rPr>
              <w:t>进行</w:t>
            </w:r>
            <w:r>
              <w:rPr>
                <w:rFonts w:hint="eastAsia"/>
                <w:color w:val="auto"/>
              </w:rPr>
              <w:t>分析。</w:t>
            </w:r>
          </w:p>
        </w:tc>
      </w:tr>
      <w:tr w14:paraId="564E77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1" w:type="dxa"/>
            <w:tcMar>
              <w:left w:w="28" w:type="dxa"/>
              <w:right w:w="28" w:type="dxa"/>
            </w:tcMar>
            <w:vAlign w:val="center"/>
          </w:tcPr>
          <w:p w14:paraId="3A0162D4">
            <w:pPr>
              <w:adjustRightInd w:val="0"/>
              <w:snapToGrid w:val="0"/>
              <w:spacing w:after="0"/>
              <w:jc w:val="center"/>
              <w:rPr>
                <w:color w:val="auto"/>
              </w:rPr>
            </w:pPr>
            <w:r>
              <w:rPr>
                <w:color w:val="auto"/>
              </w:rPr>
              <w:t>运营</w:t>
            </w:r>
          </w:p>
          <w:p w14:paraId="23E5603C">
            <w:pPr>
              <w:adjustRightInd w:val="0"/>
              <w:snapToGrid w:val="0"/>
              <w:spacing w:after="0"/>
              <w:jc w:val="center"/>
              <w:rPr>
                <w:color w:val="auto"/>
              </w:rPr>
            </w:pPr>
            <w:r>
              <w:rPr>
                <w:color w:val="auto"/>
              </w:rPr>
              <w:t>期环</w:t>
            </w:r>
          </w:p>
          <w:p w14:paraId="06E89F1D">
            <w:pPr>
              <w:adjustRightInd w:val="0"/>
              <w:snapToGrid w:val="0"/>
              <w:spacing w:after="0"/>
              <w:jc w:val="center"/>
              <w:rPr>
                <w:color w:val="auto"/>
              </w:rPr>
            </w:pPr>
            <w:r>
              <w:rPr>
                <w:color w:val="auto"/>
              </w:rPr>
              <w:t>境影</w:t>
            </w:r>
          </w:p>
          <w:p w14:paraId="0446364B">
            <w:pPr>
              <w:adjustRightInd w:val="0"/>
              <w:snapToGrid w:val="0"/>
              <w:spacing w:after="0"/>
              <w:jc w:val="center"/>
              <w:rPr>
                <w:color w:val="auto"/>
              </w:rPr>
            </w:pPr>
            <w:r>
              <w:rPr>
                <w:color w:val="auto"/>
              </w:rPr>
              <w:t>响和</w:t>
            </w:r>
          </w:p>
          <w:p w14:paraId="4B6B29E2">
            <w:pPr>
              <w:adjustRightInd w:val="0"/>
              <w:snapToGrid w:val="0"/>
              <w:spacing w:after="0"/>
              <w:jc w:val="center"/>
              <w:rPr>
                <w:color w:val="auto"/>
              </w:rPr>
            </w:pPr>
            <w:r>
              <w:rPr>
                <w:color w:val="auto"/>
              </w:rPr>
              <w:t>保护</w:t>
            </w:r>
          </w:p>
          <w:p w14:paraId="11CAD949">
            <w:pPr>
              <w:adjustRightInd w:val="0"/>
              <w:snapToGrid w:val="0"/>
              <w:spacing w:after="0"/>
              <w:jc w:val="center"/>
              <w:rPr>
                <w:color w:val="auto"/>
              </w:rPr>
            </w:pPr>
            <w:r>
              <w:rPr>
                <w:color w:val="auto"/>
              </w:rPr>
              <w:t>措施</w:t>
            </w:r>
          </w:p>
        </w:tc>
        <w:tc>
          <w:tcPr>
            <w:tcW w:w="8562" w:type="dxa"/>
            <w:vAlign w:val="center"/>
          </w:tcPr>
          <w:p w14:paraId="35712A0D">
            <w:pPr>
              <w:pStyle w:val="180"/>
              <w:spacing w:line="360" w:lineRule="auto"/>
              <w:ind w:left="0" w:leftChars="0" w:firstLine="0" w:firstLineChars="0"/>
              <w:rPr>
                <w:rFonts w:hint="eastAsia" w:eastAsia="宋体"/>
                <w:color w:val="auto"/>
                <w:lang w:eastAsia="zh-CN"/>
              </w:rPr>
            </w:pPr>
            <w:r>
              <w:rPr>
                <w:rFonts w:hint="eastAsia"/>
                <w:color w:val="auto"/>
              </w:rPr>
              <w:t>4</w:t>
            </w:r>
            <w:r>
              <w:rPr>
                <w:color w:val="auto"/>
              </w:rPr>
              <w:t>.2</w:t>
            </w:r>
            <w:r>
              <w:rPr>
                <w:rFonts w:hint="eastAsia" w:ascii="宋体" w:hAnsi="宋体" w:cs="宋体"/>
                <w:color w:val="auto"/>
                <w:lang w:eastAsia="zh-CN"/>
              </w:rPr>
              <w:t>大气影响环境分析</w:t>
            </w:r>
          </w:p>
          <w:p w14:paraId="37D87DD1">
            <w:pPr>
              <w:pStyle w:val="180"/>
              <w:spacing w:line="360" w:lineRule="auto"/>
              <w:ind w:firstLine="482"/>
              <w:rPr>
                <w:color w:val="auto"/>
              </w:rPr>
            </w:pPr>
            <w:r>
              <w:rPr>
                <w:rFonts w:hint="eastAsia"/>
                <w:color w:val="auto"/>
              </w:rPr>
              <w:t>4</w:t>
            </w:r>
            <w:r>
              <w:rPr>
                <w:color w:val="auto"/>
              </w:rPr>
              <w:t>.2.1</w:t>
            </w:r>
            <w:r>
              <w:rPr>
                <w:rFonts w:hint="eastAsia"/>
                <w:color w:val="auto"/>
              </w:rPr>
              <w:t>废气污染源强</w:t>
            </w:r>
          </w:p>
          <w:p w14:paraId="65B60216">
            <w:pPr>
              <w:pStyle w:val="181"/>
              <w:wordWrap/>
              <w:spacing w:line="360" w:lineRule="auto"/>
              <w:ind w:firstLine="480"/>
              <w:rPr>
                <w:color w:val="auto"/>
              </w:rPr>
            </w:pPr>
            <w:r>
              <w:rPr>
                <w:rFonts w:hint="eastAsia"/>
                <w:color w:val="auto"/>
                <w:lang w:eastAsia="zh-CN"/>
              </w:rPr>
              <w:t>本项目废气主要为</w:t>
            </w:r>
            <w:r>
              <w:rPr>
                <w:rFonts w:hint="eastAsia" w:cs="Times New Roman"/>
                <w:color w:val="auto"/>
                <w:highlight w:val="none"/>
                <w:lang w:val="en-US" w:eastAsia="zh-CN"/>
              </w:rPr>
              <w:t>产品</w:t>
            </w:r>
            <w:r>
              <w:rPr>
                <w:rFonts w:hint="eastAsia"/>
                <w:color w:val="auto"/>
                <w:lang w:eastAsia="zh-CN"/>
              </w:rPr>
              <w:t>堆放、装卸扬尘，厂区物料输送转载点扬尘和道路运输扬尘</w:t>
            </w:r>
            <w:r>
              <w:rPr>
                <w:rFonts w:hint="eastAsia"/>
                <w:color w:val="auto"/>
              </w:rPr>
              <w:t>。</w:t>
            </w:r>
          </w:p>
          <w:p w14:paraId="6C25A575">
            <w:pPr>
              <w:pStyle w:val="771"/>
              <w:bidi w:val="0"/>
              <w:rPr>
                <w:rFonts w:hint="default" w:cs="Times New Roman"/>
                <w:color w:val="auto"/>
                <w:highlight w:val="none"/>
                <w:lang w:val="en-US" w:eastAsia="zh-CN"/>
              </w:rPr>
            </w:pPr>
            <w:r>
              <w:rPr>
                <w:rFonts w:hint="eastAsia" w:cs="Times New Roman"/>
                <w:color w:val="auto"/>
                <w:highlight w:val="none"/>
                <w:lang w:val="en-US" w:eastAsia="zh-CN"/>
              </w:rPr>
              <w:t>1、产品</w:t>
            </w:r>
            <w:r>
              <w:rPr>
                <w:rFonts w:hint="eastAsia"/>
                <w:color w:val="auto"/>
                <w:lang w:eastAsia="zh-CN"/>
              </w:rPr>
              <w:t>堆放、装卸扬尘</w:t>
            </w:r>
          </w:p>
          <w:p w14:paraId="17112ED1">
            <w:pPr>
              <w:pStyle w:val="181"/>
              <w:wordWrap/>
              <w:spacing w:line="360" w:lineRule="auto"/>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项目采用</w:t>
            </w:r>
            <w:r>
              <w:rPr>
                <w:rFonts w:hint="eastAsia" w:ascii="Times New Roman" w:hAnsi="Times New Roman" w:eastAsia="宋体" w:cs="Times New Roman"/>
                <w:color w:val="auto"/>
                <w:lang w:eastAsia="zh-CN"/>
              </w:rPr>
              <w:t>淮南市八公山区淮南舜岳水泥有限责任公司提供的经破碎筛分处理后的</w:t>
            </w:r>
            <w:r>
              <w:rPr>
                <w:rFonts w:hint="eastAsia" w:ascii="Times New Roman" w:hAnsi="Times New Roman" w:eastAsia="宋体" w:cs="Times New Roman"/>
                <w:color w:val="auto"/>
                <w:lang w:val="en-US" w:eastAsia="zh-CN"/>
              </w:rPr>
              <w:t>原煤，贮存在厂区外西南侧的原煤库内，运送至本项目进行加工处理。因此，本项目不分析原煤堆存、卸载时产生的扬尘。</w:t>
            </w:r>
          </w:p>
          <w:p w14:paraId="73E51DBA">
            <w:pPr>
              <w:pStyle w:val="181"/>
              <w:wordWrap/>
              <w:spacing w:line="360" w:lineRule="auto"/>
              <w:ind w:firstLine="48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本项目利用现有1座</w:t>
            </w:r>
            <w:r>
              <w:rPr>
                <w:rFonts w:hint="default" w:ascii="Times New Roman" w:hAnsi="Times New Roman" w:eastAsia="宋体" w:cs="Times New Roman"/>
                <w:color w:val="auto"/>
                <w:lang w:val="en-US" w:eastAsia="zh-CN"/>
              </w:rPr>
              <w:t>φ</w:t>
            </w:r>
            <w:r>
              <w:rPr>
                <w:rFonts w:hint="eastAsia" w:ascii="Times New Roman" w:hAnsi="Times New Roman" w:eastAsia="宋体" w:cs="Times New Roman"/>
                <w:color w:val="auto"/>
                <w:lang w:val="en-US" w:eastAsia="zh-CN"/>
              </w:rPr>
              <w:t>6</w:t>
            </w:r>
            <w:r>
              <w:rPr>
                <w:rFonts w:hint="default" w:ascii="Times New Roman" w:hAnsi="Times New Roman" w:eastAsia="宋体" w:cs="Times New Roman"/>
                <w:color w:val="auto"/>
                <w:lang w:val="en-US" w:eastAsia="zh-CN"/>
              </w:rPr>
              <w:t>0m</w:t>
            </w:r>
            <w:r>
              <w:rPr>
                <w:rFonts w:hint="eastAsia" w:ascii="Times New Roman" w:hAnsi="Times New Roman" w:eastAsia="宋体" w:cs="Times New Roman"/>
                <w:color w:val="auto"/>
                <w:lang w:val="en-US" w:eastAsia="zh-CN"/>
              </w:rPr>
              <w:t>圆形库房装修为全密闭</w:t>
            </w:r>
            <w:r>
              <w:rPr>
                <w:rFonts w:hint="eastAsia" w:cs="Times New Roman"/>
                <w:color w:val="auto"/>
                <w:lang w:val="en-US" w:eastAsia="zh-CN"/>
              </w:rPr>
              <w:t>储存</w:t>
            </w:r>
            <w:r>
              <w:rPr>
                <w:rFonts w:hint="eastAsia" w:ascii="Times New Roman" w:hAnsi="Times New Roman" w:eastAsia="宋体" w:cs="Times New Roman"/>
                <w:color w:val="auto"/>
                <w:lang w:val="en-US" w:eastAsia="zh-CN"/>
              </w:rPr>
              <w:t>库，</w:t>
            </w:r>
            <w:r>
              <w:rPr>
                <w:rFonts w:hint="eastAsia" w:cs="Times New Roman"/>
                <w:color w:val="auto"/>
                <w:lang w:val="en-US" w:eastAsia="zh-CN"/>
              </w:rPr>
              <w:t>设置独立区域分别</w:t>
            </w:r>
            <w:r>
              <w:rPr>
                <w:rFonts w:hint="eastAsia" w:ascii="Times New Roman" w:hAnsi="Times New Roman" w:eastAsia="宋体" w:cs="Times New Roman"/>
                <w:color w:val="auto"/>
                <w:lang w:val="en-US" w:eastAsia="zh-CN"/>
              </w:rPr>
              <w:t>用作精煤、中煤、矸石（胶凝材料原料）堆棚，总占地面积</w:t>
            </w:r>
            <w:r>
              <w:rPr>
                <w:rFonts w:hint="eastAsia" w:cs="Times New Roman"/>
                <w:color w:val="auto"/>
                <w:lang w:val="en-US" w:eastAsia="zh-CN"/>
              </w:rPr>
              <w:t>约</w:t>
            </w:r>
            <w:r>
              <w:rPr>
                <w:rFonts w:hint="eastAsia" w:ascii="Times New Roman" w:hAnsi="Times New Roman" w:eastAsia="宋体" w:cs="Times New Roman"/>
                <w:color w:val="auto"/>
                <w:lang w:val="en-US" w:eastAsia="zh-CN"/>
              </w:rPr>
              <w:t>2826</w:t>
            </w:r>
            <w:r>
              <w:rPr>
                <w:rFonts w:hint="default" w:ascii="Times New Roman" w:hAnsi="Times New Roman" w:eastAsia="宋体" w:cs="Times New Roman"/>
                <w:color w:val="auto"/>
                <w:lang w:val="en-US" w:eastAsia="zh-CN"/>
              </w:rPr>
              <w:t>m</w:t>
            </w:r>
            <w:r>
              <w:rPr>
                <w:rFonts w:hint="default"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val="en-US" w:eastAsia="zh-CN"/>
              </w:rPr>
              <w:t>。</w:t>
            </w:r>
          </w:p>
          <w:p w14:paraId="4ECC869E">
            <w:pPr>
              <w:pStyle w:val="181"/>
              <w:wordWrap/>
              <w:spacing w:line="360" w:lineRule="auto"/>
              <w:ind w:firstLine="480"/>
              <w:rPr>
                <w:rFonts w:hint="eastAsia" w:ascii="Times New Roman" w:hAnsi="Times New Roman" w:eastAsia="宋体" w:cs="Times New Roman"/>
                <w:color w:val="auto"/>
                <w:lang w:eastAsia="zh-CN"/>
              </w:rPr>
            </w:pPr>
            <w:r>
              <w:rPr>
                <w:rFonts w:hint="eastAsia" w:ascii="Times New Roman" w:hAnsi="Times New Roman" w:eastAsia="宋体" w:cs="Times New Roman"/>
                <w:color w:val="auto"/>
                <w:lang w:val="en-US" w:eastAsia="zh-CN"/>
              </w:rPr>
              <w:t>环评要求：</w:t>
            </w:r>
            <w:r>
              <w:rPr>
                <w:rFonts w:hint="default" w:ascii="Times New Roman" w:hAnsi="Times New Roman" w:eastAsia="宋体" w:cs="Times New Roman"/>
                <w:color w:val="auto"/>
                <w:lang w:val="en-US" w:eastAsia="zh-CN"/>
              </w:rPr>
              <w:t>运营期内，精煤、中煤、煤泥、矸石堆存、装卸均在全封闭储库内进行，使工作中的扬尘降低到最低。同时，产品库内分别设置高压喷雾洒水装置及移动式雾炮机，保证储煤库内全覆盖，定期对煤堆喷雾降尘，保持煤堆表层湿润，确保表层含水率≥10%，喷雾洒水管道加装保温层，保证冬季喷雾装置可稳定运行，产品装卸使用移动式雾炮机降尘，防止粉尘扬散；同时控制产品落</w:t>
            </w:r>
            <w:r>
              <w:rPr>
                <w:rFonts w:hint="eastAsia" w:ascii="Times New Roman" w:hAnsi="Times New Roman" w:eastAsia="宋体" w:cs="Times New Roman"/>
                <w:color w:val="auto"/>
                <w:lang w:val="en-US" w:eastAsia="zh-CN"/>
              </w:rPr>
              <w:t>料点的落料高度，最大限度减少落料粉尘；大门设置卷闸门系统。</w:t>
            </w:r>
          </w:p>
          <w:p w14:paraId="2A7AD873">
            <w:pPr>
              <w:pStyle w:val="181"/>
              <w:wordWrap/>
              <w:spacing w:line="360" w:lineRule="auto"/>
              <w:ind w:firstLine="480"/>
              <w:rPr>
                <w:color w:val="auto"/>
              </w:rPr>
            </w:pPr>
            <w:r>
              <w:rPr>
                <w:rFonts w:hint="eastAsia" w:ascii="Times New Roman" w:hAnsi="Times New Roman" w:eastAsia="宋体" w:cs="Times New Roman"/>
                <w:color w:val="auto"/>
                <w:lang w:val="en-US" w:eastAsia="zh-CN"/>
              </w:rPr>
              <w:t>此外本项目产品含水率较高，在堆存及装卸过程中采取高压喷雾洒水和雾炮</w:t>
            </w:r>
            <w:r>
              <w:rPr>
                <w:rFonts w:hint="default" w:ascii="Times New Roman" w:hAnsi="Times New Roman" w:eastAsia="宋体" w:cs="Times New Roman"/>
                <w:color w:val="auto"/>
                <w:lang w:val="en-US" w:eastAsia="zh-CN"/>
              </w:rPr>
              <w:t>抑尘，并采用全封闭储库储存。因此产品堆存、装卸过程产生的粉尘量很小，可忽略不计。</w:t>
            </w:r>
          </w:p>
          <w:p w14:paraId="16D8DC7A">
            <w:pPr>
              <w:pStyle w:val="181"/>
              <w:keepNext w:val="0"/>
              <w:keepLines w:val="0"/>
              <w:pageBreakBefore w:val="0"/>
              <w:widowControl/>
              <w:kinsoku/>
              <w:wordWrap/>
              <w:overflowPunct/>
              <w:topLinePunct w:val="0"/>
              <w:autoSpaceDE/>
              <w:autoSpaceDN/>
              <w:bidi w:val="0"/>
              <w:adjustRightInd/>
              <w:snapToGrid/>
              <w:spacing w:line="46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2、厂区物料输送转载点扬尘</w:t>
            </w:r>
          </w:p>
          <w:p w14:paraId="497BAEAA">
            <w:pPr>
              <w:pStyle w:val="181"/>
              <w:keepNext w:val="0"/>
              <w:keepLines w:val="0"/>
              <w:pageBreakBefore w:val="0"/>
              <w:widowControl/>
              <w:kinsoku/>
              <w:wordWrap/>
              <w:overflowPunct/>
              <w:topLinePunct w:val="0"/>
              <w:autoSpaceDE/>
              <w:autoSpaceDN/>
              <w:bidi w:val="0"/>
              <w:adjustRightInd/>
              <w:snapToGrid/>
              <w:spacing w:line="46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破碎后的原煤通过密闭皮带输送廊道采用全封闭运输送至本项目密闭洗选车间，洗选后的产品经皮带输送廊道密闭运输至产品储存车间的过程中，物料在皮带输送落料时会产生粉尘。</w:t>
            </w:r>
          </w:p>
          <w:p w14:paraId="7E6E669C">
            <w:pPr>
              <w:pStyle w:val="181"/>
              <w:keepNext w:val="0"/>
              <w:keepLines w:val="0"/>
              <w:pageBreakBefore w:val="0"/>
              <w:widowControl/>
              <w:kinsoku/>
              <w:wordWrap/>
              <w:overflowPunct/>
              <w:topLinePunct w:val="0"/>
              <w:autoSpaceDE/>
              <w:autoSpaceDN/>
              <w:bidi w:val="0"/>
              <w:adjustRightInd/>
              <w:snapToGrid/>
              <w:spacing w:line="460" w:lineRule="exact"/>
              <w:ind w:firstLine="480"/>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本项目物料运输采用全封闭皮带输送廊道，在落料、输送转载点设置喷雾洒水装置，经喷雾降尘、厂房拦截后，物料输送输送转载点产生的</w:t>
            </w:r>
            <w:r>
              <w:rPr>
                <w:rFonts w:hint="default" w:ascii="Times New Roman" w:hAnsi="Times New Roman" w:eastAsia="宋体" w:cs="Times New Roman"/>
                <w:color w:val="auto"/>
                <w:lang w:val="en-US" w:eastAsia="zh-CN"/>
              </w:rPr>
              <w:t>粉尘量很小，可忽略不计。</w:t>
            </w:r>
          </w:p>
          <w:p w14:paraId="18779450">
            <w:pPr>
              <w:pStyle w:val="181"/>
              <w:keepNext w:val="0"/>
              <w:keepLines w:val="0"/>
              <w:pageBreakBefore w:val="0"/>
              <w:widowControl/>
              <w:kinsoku/>
              <w:wordWrap/>
              <w:overflowPunct/>
              <w:topLinePunct w:val="0"/>
              <w:autoSpaceDE/>
              <w:autoSpaceDN/>
              <w:bidi w:val="0"/>
              <w:adjustRightInd/>
              <w:snapToGrid/>
              <w:spacing w:line="460" w:lineRule="exact"/>
              <w:ind w:firstLine="480"/>
              <w:textAlignment w:val="auto"/>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3、道路运输扬尘</w:t>
            </w:r>
          </w:p>
          <w:p w14:paraId="32B8947D">
            <w:pPr>
              <w:keepNext w:val="0"/>
              <w:keepLines w:val="0"/>
              <w:pageBreakBefore w:val="0"/>
              <w:kinsoku/>
              <w:wordWrap/>
              <w:overflowPunct/>
              <w:topLinePunct w:val="0"/>
              <w:autoSpaceDE/>
              <w:autoSpaceDN/>
              <w:bidi w:val="0"/>
              <w:adjustRightInd/>
              <w:snapToGrid/>
              <w:spacing w:after="0" w:line="460" w:lineRule="exact"/>
              <w:ind w:firstLine="480" w:firstLineChars="200"/>
              <w:textAlignment w:val="auto"/>
              <w:rPr>
                <w:color w:val="auto"/>
              </w:rPr>
            </w:pPr>
            <w:r>
              <w:rPr>
                <w:color w:val="auto"/>
                <w:lang w:val="en-US" w:eastAsia="zh-CN"/>
              </w:rPr>
              <w:t>本项目</w:t>
            </w:r>
            <w:r>
              <w:rPr>
                <w:rFonts w:hint="default"/>
                <w:color w:val="auto"/>
                <w:lang w:val="en-US" w:eastAsia="zh-CN"/>
              </w:rPr>
              <w:t>原料运入</w:t>
            </w:r>
            <w:r>
              <w:rPr>
                <w:rFonts w:hint="eastAsia"/>
                <w:color w:val="auto"/>
                <w:lang w:val="en-US" w:eastAsia="zh-CN"/>
              </w:rPr>
              <w:t>采用全封闭运输带，</w:t>
            </w:r>
            <w:r>
              <w:rPr>
                <w:rFonts w:hint="default"/>
                <w:color w:val="auto"/>
                <w:lang w:val="en-US" w:eastAsia="zh-CN"/>
              </w:rPr>
              <w:t>产品运出</w:t>
            </w:r>
            <w:r>
              <w:rPr>
                <w:rFonts w:hint="eastAsia"/>
                <w:color w:val="auto"/>
                <w:lang w:val="en-US" w:eastAsia="zh-CN"/>
              </w:rPr>
              <w:t>采用</w:t>
            </w:r>
            <w:r>
              <w:rPr>
                <w:color w:val="auto"/>
                <w:lang w:val="en-US" w:eastAsia="zh-CN"/>
              </w:rPr>
              <w:t>汽车运输，各物料在运</w:t>
            </w:r>
            <w:r>
              <w:rPr>
                <w:rFonts w:hint="default"/>
                <w:color w:val="auto"/>
                <w:lang w:val="en-US" w:eastAsia="zh-CN"/>
              </w:rPr>
              <w:t>输过程中会产生道路扬尘。产品运出量约</w:t>
            </w:r>
            <w:r>
              <w:rPr>
                <w:rFonts w:hint="eastAsia"/>
                <w:color w:val="auto"/>
                <w:lang w:val="en-US" w:eastAsia="zh-CN"/>
              </w:rPr>
              <w:t>200</w:t>
            </w:r>
            <w:r>
              <w:rPr>
                <w:rFonts w:hint="default"/>
                <w:color w:val="auto"/>
                <w:lang w:val="en-US" w:eastAsia="zh-CN"/>
              </w:rPr>
              <w:t>万t/a，每天运输总量为</w:t>
            </w:r>
            <w:r>
              <w:rPr>
                <w:rFonts w:hint="eastAsia"/>
                <w:color w:val="auto"/>
                <w:lang w:val="en-US" w:eastAsia="zh-CN"/>
              </w:rPr>
              <w:t>6667</w:t>
            </w:r>
            <w:r>
              <w:rPr>
                <w:rFonts w:hint="default"/>
                <w:color w:val="auto"/>
                <w:lang w:val="en-US" w:eastAsia="zh-CN"/>
              </w:rPr>
              <w:t>t左右，需要载重为</w:t>
            </w:r>
            <w:r>
              <w:rPr>
                <w:rFonts w:hint="eastAsia"/>
                <w:color w:val="auto"/>
                <w:lang w:val="en-US" w:eastAsia="zh-CN"/>
              </w:rPr>
              <w:t>50</w:t>
            </w:r>
            <w:r>
              <w:rPr>
                <w:rFonts w:hint="default"/>
                <w:color w:val="auto"/>
                <w:lang w:val="en-US" w:eastAsia="zh-CN"/>
              </w:rPr>
              <w:t>t的汽车</w:t>
            </w:r>
            <w:r>
              <w:rPr>
                <w:rFonts w:hint="eastAsia"/>
                <w:color w:val="auto"/>
                <w:lang w:val="en-US" w:eastAsia="zh-CN"/>
              </w:rPr>
              <w:t>134</w:t>
            </w:r>
            <w:r>
              <w:rPr>
                <w:rFonts w:hint="default"/>
                <w:color w:val="auto"/>
                <w:lang w:val="en-US" w:eastAsia="zh-CN"/>
              </w:rPr>
              <w:t>辆·次/d。项目汽车运输量较大，载重车辆频繁进出厂区造成道路扬尘量增加。</w:t>
            </w:r>
          </w:p>
          <w:p w14:paraId="7AE73458">
            <w:pPr>
              <w:keepNext w:val="0"/>
              <w:keepLines w:val="0"/>
              <w:pageBreakBefore w:val="0"/>
              <w:widowControl/>
              <w:suppressLineNumbers w:val="0"/>
              <w:kinsoku/>
              <w:wordWrap/>
              <w:overflowPunct/>
              <w:topLinePunct w:val="0"/>
              <w:autoSpaceDE/>
              <w:autoSpaceDN/>
              <w:bidi w:val="0"/>
              <w:adjustRightInd/>
              <w:snapToGrid/>
              <w:spacing w:after="0" w:line="460" w:lineRule="exact"/>
              <w:ind w:firstLine="480" w:firstLineChars="200"/>
              <w:jc w:val="left"/>
              <w:textAlignment w:val="auto"/>
              <w:rPr>
                <w:color w:val="auto"/>
              </w:rPr>
            </w:pPr>
            <w:r>
              <w:rPr>
                <w:rFonts w:ascii="瀹嬩綋" w:hAnsi="瀹嬩綋" w:eastAsia="瀹嬩綋" w:cs="瀹嬩綋"/>
                <w:color w:val="auto"/>
                <w:kern w:val="0"/>
                <w:sz w:val="24"/>
                <w:szCs w:val="24"/>
                <w:lang w:val="en-US" w:eastAsia="zh-CN" w:bidi="ar"/>
              </w:rPr>
              <w:t>项目厂区道路起尘扬尘的计算公式如下：</w:t>
            </w:r>
          </w:p>
          <w:p w14:paraId="7E19097C">
            <w:pPr>
              <w:pStyle w:val="181"/>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hAnsi="Cambria Math" w:eastAsia="宋体" w:cs="Times New Roman"/>
                <w:i w:val="0"/>
                <w:color w:val="auto"/>
                <w:sz w:val="24"/>
                <w:lang w:val="en-US" w:eastAsia="zh-CN" w:bidi="en-US"/>
              </w:rPr>
            </w:pPr>
            <m:oMathPara>
              <m:oMath>
                <m:r>
                  <m:rPr/>
                  <w:rPr>
                    <w:rFonts w:hint="default" w:ascii="Cambria Math" w:hAnsi="Cambria Math" w:eastAsia="宋体" w:cs="Times New Roman"/>
                    <w:color w:val="auto"/>
                    <w:sz w:val="24"/>
                    <w:lang w:val="en-US" w:eastAsia="zh-CN" w:bidi="en-US"/>
                  </w:rPr>
                  <m:t>Qp=0.123(</m:t>
                </m:r>
                <m:f>
                  <m:fPr>
                    <m:ctrlPr>
                      <w:rPr>
                        <w:rFonts w:hint="default" w:ascii="Cambria Math" w:hAnsi="Cambria Math" w:eastAsia="宋体" w:cs="Times New Roman"/>
                        <w:i/>
                        <w:color w:val="auto"/>
                        <w:sz w:val="24"/>
                        <w:lang w:val="en-US" w:eastAsia="zh-CN" w:bidi="en-US"/>
                      </w:rPr>
                    </m:ctrlPr>
                  </m:fPr>
                  <m:num>
                    <m:r>
                      <m:rPr/>
                      <w:rPr>
                        <w:rFonts w:hint="default" w:ascii="Cambria Math" w:hAnsi="Cambria Math" w:eastAsia="宋体" w:cs="Times New Roman"/>
                        <w:color w:val="auto"/>
                        <w:sz w:val="24"/>
                        <w:lang w:val="en-US" w:eastAsia="zh-CN" w:bidi="en-US"/>
                      </w:rPr>
                      <m:t>v</m:t>
                    </m:r>
                    <m:ctrlPr>
                      <w:rPr>
                        <w:rFonts w:hint="default" w:ascii="Cambria Math" w:hAnsi="Cambria Math" w:eastAsia="宋体" w:cs="Times New Roman"/>
                        <w:i/>
                        <w:color w:val="auto"/>
                        <w:sz w:val="24"/>
                        <w:lang w:val="en-US" w:eastAsia="zh-CN" w:bidi="en-US"/>
                      </w:rPr>
                    </m:ctrlPr>
                  </m:num>
                  <m:den>
                    <m:r>
                      <m:rPr/>
                      <w:rPr>
                        <w:rFonts w:hint="default" w:ascii="Cambria Math" w:hAnsi="Cambria Math" w:eastAsia="宋体" w:cs="Times New Roman"/>
                        <w:color w:val="auto"/>
                        <w:sz w:val="24"/>
                        <w:lang w:val="en-US" w:eastAsia="zh-CN" w:bidi="en-US"/>
                      </w:rPr>
                      <m:t>5</m:t>
                    </m:r>
                    <m:ctrlPr>
                      <w:rPr>
                        <w:rFonts w:hint="default" w:ascii="Cambria Math" w:hAnsi="Cambria Math" w:eastAsia="宋体" w:cs="Times New Roman"/>
                        <w:i/>
                        <w:color w:val="auto"/>
                        <w:sz w:val="24"/>
                        <w:lang w:val="en-US" w:eastAsia="zh-CN" w:bidi="en-US"/>
                      </w:rPr>
                    </m:ctrlPr>
                  </m:den>
                </m:f>
                <m:r>
                  <m:rPr/>
                  <w:rPr>
                    <w:rFonts w:hint="default" w:ascii="Cambria Math" w:hAnsi="Cambria Math" w:eastAsia="宋体" w:cs="Times New Roman"/>
                    <w:color w:val="auto"/>
                    <w:sz w:val="24"/>
                    <w:lang w:val="en-US" w:eastAsia="zh-CN" w:bidi="en-US"/>
                  </w:rPr>
                  <m:t>)</m:t>
                </m:r>
                <m:r>
                  <m:rPr/>
                  <w:rPr>
                    <w:rFonts w:hint="default" w:ascii="Cambria Math" w:hAnsi="Cambria Math" w:eastAsia="宋体" w:cs="Cambria Math"/>
                    <w:color w:val="auto"/>
                    <w:sz w:val="24"/>
                    <w:lang w:val="en-US" w:eastAsia="zh-CN" w:bidi="en-US"/>
                  </w:rPr>
                  <m:t>×</m:t>
                </m:r>
                <m:sSup>
                  <m:sSupPr>
                    <m:ctrlPr>
                      <w:rPr>
                        <w:rFonts w:hint="default" w:ascii="Cambria Math" w:hAnsi="Cambria Math" w:eastAsia="宋体" w:cs="Times New Roman"/>
                        <w:i/>
                        <w:color w:val="auto"/>
                        <w:sz w:val="24"/>
                        <w:lang w:val="en-US" w:eastAsia="zh-CN" w:bidi="en-US"/>
                      </w:rPr>
                    </m:ctrlPr>
                  </m:sSupPr>
                  <m:e>
                    <m:r>
                      <m:rPr/>
                      <w:rPr>
                        <w:rFonts w:hint="default" w:ascii="Cambria Math" w:hAnsi="Cambria Math" w:eastAsia="宋体" w:cs="Times New Roman"/>
                        <w:color w:val="auto"/>
                        <w:sz w:val="24"/>
                        <w:lang w:val="en-US" w:eastAsia="zh-CN" w:bidi="en-US"/>
                      </w:rPr>
                      <m:t>(</m:t>
                    </m:r>
                    <m:f>
                      <m:fPr>
                        <m:ctrlPr>
                          <w:rPr>
                            <w:rFonts w:hint="default" w:ascii="Cambria Math" w:hAnsi="Cambria Math" w:eastAsia="宋体" w:cs="Times New Roman"/>
                            <w:i/>
                            <w:color w:val="auto"/>
                            <w:sz w:val="24"/>
                            <w:lang w:val="en-US" w:eastAsia="zh-CN" w:bidi="en-US"/>
                          </w:rPr>
                        </m:ctrlPr>
                      </m:fPr>
                      <m:num>
                        <m:r>
                          <m:rPr/>
                          <w:rPr>
                            <w:rFonts w:hint="default" w:ascii="Cambria Math" w:hAnsi="Cambria Math" w:eastAsia="宋体" w:cs="Times New Roman"/>
                            <w:color w:val="auto"/>
                            <w:sz w:val="24"/>
                            <w:lang w:val="en-US" w:eastAsia="zh-CN" w:bidi="en-US"/>
                          </w:rPr>
                          <m:t>M</m:t>
                        </m:r>
                        <m:ctrlPr>
                          <w:rPr>
                            <w:rFonts w:hint="default" w:ascii="Cambria Math" w:hAnsi="Cambria Math" w:eastAsia="宋体" w:cs="Times New Roman"/>
                            <w:i/>
                            <w:color w:val="auto"/>
                            <w:sz w:val="24"/>
                            <w:lang w:val="en-US" w:eastAsia="zh-CN" w:bidi="en-US"/>
                          </w:rPr>
                        </m:ctrlPr>
                      </m:num>
                      <m:den>
                        <m:r>
                          <m:rPr/>
                          <w:rPr>
                            <w:rFonts w:hint="default" w:ascii="Cambria Math" w:hAnsi="Cambria Math" w:eastAsia="宋体" w:cs="Times New Roman"/>
                            <w:color w:val="auto"/>
                            <w:sz w:val="24"/>
                            <w:lang w:val="en-US" w:eastAsia="zh-CN" w:bidi="en-US"/>
                          </w:rPr>
                          <m:t>6.8</m:t>
                        </m:r>
                        <m:ctrlPr>
                          <w:rPr>
                            <w:rFonts w:hint="default" w:ascii="Cambria Math" w:hAnsi="Cambria Math" w:eastAsia="宋体" w:cs="Times New Roman"/>
                            <w:i/>
                            <w:color w:val="auto"/>
                            <w:sz w:val="24"/>
                            <w:lang w:val="en-US" w:eastAsia="zh-CN" w:bidi="en-US"/>
                          </w:rPr>
                        </m:ctrlPr>
                      </m:den>
                    </m:f>
                    <m:r>
                      <m:rPr/>
                      <w:rPr>
                        <w:rFonts w:hint="default" w:ascii="Cambria Math" w:hAnsi="Cambria Math" w:eastAsia="宋体" w:cs="Times New Roman"/>
                        <w:color w:val="auto"/>
                        <w:sz w:val="24"/>
                        <w:lang w:val="en-US" w:eastAsia="zh-CN" w:bidi="en-US"/>
                      </w:rPr>
                      <m:t>)</m:t>
                    </m:r>
                    <m:ctrlPr>
                      <w:rPr>
                        <w:rFonts w:hint="default" w:ascii="Cambria Math" w:hAnsi="Cambria Math" w:eastAsia="宋体" w:cs="Times New Roman"/>
                        <w:i/>
                        <w:color w:val="auto"/>
                        <w:sz w:val="24"/>
                        <w:lang w:val="en-US" w:eastAsia="zh-CN" w:bidi="en-US"/>
                      </w:rPr>
                    </m:ctrlPr>
                  </m:e>
                  <m:sup>
                    <m:r>
                      <m:rPr/>
                      <w:rPr>
                        <w:rFonts w:hint="default" w:ascii="Cambria Math" w:hAnsi="Cambria Math" w:eastAsia="宋体" w:cs="Times New Roman"/>
                        <w:color w:val="auto"/>
                        <w:sz w:val="24"/>
                        <w:lang w:val="en-US" w:eastAsia="zh-CN" w:bidi="en-US"/>
                      </w:rPr>
                      <m:t>0.85</m:t>
                    </m:r>
                    <m:ctrlPr>
                      <w:rPr>
                        <w:rFonts w:hint="default" w:ascii="Cambria Math" w:hAnsi="Cambria Math" w:eastAsia="宋体" w:cs="Times New Roman"/>
                        <w:i/>
                        <w:color w:val="auto"/>
                        <w:sz w:val="24"/>
                        <w:lang w:val="en-US" w:eastAsia="zh-CN" w:bidi="en-US"/>
                      </w:rPr>
                    </m:ctrlPr>
                  </m:sup>
                </m:sSup>
                <m:r>
                  <m:rPr/>
                  <w:rPr>
                    <w:rFonts w:hint="default" w:ascii="Cambria Math" w:hAnsi="Cambria Math" w:eastAsia="宋体" w:cs="Cambria Math"/>
                    <w:color w:val="auto"/>
                    <w:sz w:val="24"/>
                    <w:lang w:val="en-US" w:eastAsia="zh-CN" w:bidi="en-US"/>
                  </w:rPr>
                  <m:t>×</m:t>
                </m:r>
                <m:sSup>
                  <m:sSupPr>
                    <m:ctrlPr>
                      <w:rPr>
                        <w:rFonts w:hint="default" w:ascii="Cambria Math" w:hAnsi="Cambria Math" w:eastAsia="宋体" w:cs="Times New Roman"/>
                        <w:i/>
                        <w:color w:val="auto"/>
                        <w:sz w:val="24"/>
                        <w:lang w:val="en-US" w:eastAsia="zh-CN" w:bidi="en-US"/>
                      </w:rPr>
                    </m:ctrlPr>
                  </m:sSupPr>
                  <m:e>
                    <m:r>
                      <m:rPr/>
                      <w:rPr>
                        <w:rFonts w:hint="default" w:ascii="Cambria Math" w:hAnsi="Cambria Math" w:eastAsia="宋体" w:cs="Times New Roman"/>
                        <w:color w:val="auto"/>
                        <w:sz w:val="24"/>
                        <w:lang w:val="en-US" w:eastAsia="zh-CN" w:bidi="en-US"/>
                      </w:rPr>
                      <m:t>(</m:t>
                    </m:r>
                    <m:f>
                      <m:fPr>
                        <m:ctrlPr>
                          <w:rPr>
                            <w:rFonts w:hint="default" w:ascii="Cambria Math" w:hAnsi="Cambria Math" w:eastAsia="宋体" w:cs="Times New Roman"/>
                            <w:i/>
                            <w:color w:val="auto"/>
                            <w:sz w:val="24"/>
                            <w:lang w:val="en-US" w:eastAsia="zh-CN" w:bidi="en-US"/>
                          </w:rPr>
                        </m:ctrlPr>
                      </m:fPr>
                      <m:num>
                        <m:r>
                          <m:rPr/>
                          <w:rPr>
                            <w:rFonts w:hint="default" w:ascii="Cambria Math" w:hAnsi="Cambria Math" w:eastAsia="宋体" w:cs="Times New Roman"/>
                            <w:color w:val="auto"/>
                            <w:sz w:val="24"/>
                            <w:lang w:val="en-US" w:eastAsia="zh-CN" w:bidi="en-US"/>
                          </w:rPr>
                          <m:t>P</m:t>
                        </m:r>
                        <m:ctrlPr>
                          <w:rPr>
                            <w:rFonts w:hint="default" w:ascii="Cambria Math" w:hAnsi="Cambria Math" w:eastAsia="宋体" w:cs="Times New Roman"/>
                            <w:i/>
                            <w:color w:val="auto"/>
                            <w:sz w:val="24"/>
                            <w:lang w:val="en-US" w:eastAsia="zh-CN" w:bidi="en-US"/>
                          </w:rPr>
                        </m:ctrlPr>
                      </m:num>
                      <m:den>
                        <m:r>
                          <m:rPr/>
                          <w:rPr>
                            <w:rFonts w:hint="default" w:ascii="Cambria Math" w:hAnsi="Cambria Math" w:eastAsia="宋体" w:cs="Times New Roman"/>
                            <w:color w:val="auto"/>
                            <w:sz w:val="24"/>
                            <w:lang w:val="en-US" w:eastAsia="zh-CN" w:bidi="en-US"/>
                          </w:rPr>
                          <m:t>0.5</m:t>
                        </m:r>
                        <m:ctrlPr>
                          <w:rPr>
                            <w:rFonts w:hint="default" w:ascii="Cambria Math" w:hAnsi="Cambria Math" w:eastAsia="宋体" w:cs="Times New Roman"/>
                            <w:i/>
                            <w:color w:val="auto"/>
                            <w:sz w:val="24"/>
                            <w:lang w:val="en-US" w:eastAsia="zh-CN" w:bidi="en-US"/>
                          </w:rPr>
                        </m:ctrlPr>
                      </m:den>
                    </m:f>
                    <m:r>
                      <m:rPr/>
                      <w:rPr>
                        <w:rFonts w:hint="default" w:ascii="Cambria Math" w:hAnsi="Cambria Math" w:eastAsia="宋体" w:cs="Times New Roman"/>
                        <w:color w:val="auto"/>
                        <w:sz w:val="24"/>
                        <w:lang w:val="en-US" w:eastAsia="zh-CN" w:bidi="en-US"/>
                      </w:rPr>
                      <m:t>)</m:t>
                    </m:r>
                    <m:ctrlPr>
                      <w:rPr>
                        <w:rFonts w:hint="default" w:ascii="Cambria Math" w:hAnsi="Cambria Math" w:eastAsia="宋体" w:cs="Times New Roman"/>
                        <w:i/>
                        <w:color w:val="auto"/>
                        <w:sz w:val="24"/>
                        <w:lang w:val="en-US" w:eastAsia="zh-CN" w:bidi="en-US"/>
                      </w:rPr>
                    </m:ctrlPr>
                  </m:e>
                  <m:sup>
                    <m:r>
                      <m:rPr/>
                      <w:rPr>
                        <w:rFonts w:hint="default" w:ascii="Cambria Math" w:hAnsi="Cambria Math" w:eastAsia="宋体" w:cs="Times New Roman"/>
                        <w:color w:val="auto"/>
                        <w:sz w:val="24"/>
                        <w:lang w:val="en-US" w:eastAsia="zh-CN" w:bidi="en-US"/>
                      </w:rPr>
                      <m:t>0.72</m:t>
                    </m:r>
                    <m:ctrlPr>
                      <w:rPr>
                        <w:rFonts w:hint="default" w:ascii="Cambria Math" w:hAnsi="Cambria Math" w:eastAsia="宋体" w:cs="Times New Roman"/>
                        <w:i/>
                        <w:color w:val="auto"/>
                        <w:sz w:val="24"/>
                        <w:lang w:val="en-US" w:eastAsia="zh-CN" w:bidi="en-US"/>
                      </w:rPr>
                    </m:ctrlPr>
                  </m:sup>
                </m:sSup>
              </m:oMath>
            </m:oMathPara>
          </w:p>
          <w:p w14:paraId="5276882F">
            <w:pPr>
              <w:pStyle w:val="181"/>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default" w:hAnsi="Cambria Math" w:eastAsia="宋体" w:cs="Cambria Math"/>
                <w:i w:val="0"/>
                <w:color w:val="auto"/>
                <w:sz w:val="24"/>
                <w:lang w:val="en-US" w:eastAsia="zh-CN" w:bidi="en-US"/>
              </w:rPr>
            </w:pPr>
            <m:oMathPara>
              <m:oMath>
                <m:r>
                  <m:rPr/>
                  <w:rPr>
                    <w:rFonts w:hint="default" w:ascii="Cambria Math" w:hAnsi="Cambria Math" w:eastAsia="宋体" w:cs="Times New Roman"/>
                    <w:color w:val="auto"/>
                    <w:sz w:val="24"/>
                    <w:lang w:val="en-US" w:eastAsia="zh-CN" w:bidi="en-US"/>
                  </w:rPr>
                  <m:t>Qp'=Qp</m:t>
                </m:r>
                <m:r>
                  <m:rPr/>
                  <w:rPr>
                    <w:rFonts w:hint="default" w:ascii="Cambria Math" w:hAnsi="Cambria Math" w:eastAsia="宋体" w:cs="Cambria Math"/>
                    <w:color w:val="auto"/>
                    <w:sz w:val="24"/>
                    <w:lang w:val="en-US" w:eastAsia="zh-CN" w:bidi="en-US"/>
                  </w:rPr>
                  <m:t>×</m:t>
                </m:r>
                <m:r>
                  <m:rPr/>
                  <w:rPr>
                    <w:rFonts w:hint="default" w:ascii="Cambria Math" w:hAnsi="Cambria Math" w:eastAsia="宋体" w:cs="Times New Roman"/>
                    <w:color w:val="auto"/>
                    <w:sz w:val="24"/>
                    <w:lang w:val="en-US" w:eastAsia="zh-CN" w:bidi="en-US"/>
                  </w:rPr>
                  <m:t>L</m:t>
                </m:r>
                <m:r>
                  <m:rPr/>
                  <w:rPr>
                    <w:rFonts w:hint="default" w:ascii="Cambria Math" w:hAnsi="Cambria Math" w:eastAsia="宋体" w:cs="Cambria Math"/>
                    <w:color w:val="auto"/>
                    <w:sz w:val="24"/>
                    <w:lang w:val="en-US" w:eastAsia="zh-CN" w:bidi="en-US"/>
                  </w:rPr>
                  <m:t>×</m:t>
                </m:r>
                <m:f>
                  <m:fPr>
                    <m:ctrlPr>
                      <w:rPr>
                        <w:rFonts w:hint="default" w:ascii="Cambria Math" w:hAnsi="Cambria Math" w:eastAsia="宋体" w:cs="Cambria Math"/>
                        <w:i/>
                        <w:color w:val="auto"/>
                        <w:sz w:val="24"/>
                        <w:lang w:val="en-US" w:eastAsia="zh-CN" w:bidi="en-US"/>
                      </w:rPr>
                    </m:ctrlPr>
                  </m:fPr>
                  <m:num>
                    <m:r>
                      <m:rPr/>
                      <w:rPr>
                        <w:rFonts w:hint="default" w:ascii="Cambria Math" w:hAnsi="Cambria Math" w:eastAsia="宋体" w:cs="Cambria Math"/>
                        <w:color w:val="auto"/>
                        <w:sz w:val="24"/>
                        <w:lang w:val="en-US" w:eastAsia="zh-CN" w:bidi="en-US"/>
                      </w:rPr>
                      <m:t>Q</m:t>
                    </m:r>
                    <m:ctrlPr>
                      <w:rPr>
                        <w:rFonts w:hint="default" w:ascii="Cambria Math" w:hAnsi="Cambria Math" w:eastAsia="宋体" w:cs="Cambria Math"/>
                        <w:i/>
                        <w:color w:val="auto"/>
                        <w:sz w:val="24"/>
                        <w:lang w:val="en-US" w:eastAsia="zh-CN" w:bidi="en-US"/>
                      </w:rPr>
                    </m:ctrlPr>
                  </m:num>
                  <m:den>
                    <m:r>
                      <m:rPr/>
                      <w:rPr>
                        <w:rFonts w:hint="default" w:ascii="Cambria Math" w:hAnsi="Cambria Math" w:eastAsia="宋体" w:cs="Cambria Math"/>
                        <w:color w:val="auto"/>
                        <w:sz w:val="24"/>
                        <w:lang w:val="en-US" w:eastAsia="zh-CN" w:bidi="en-US"/>
                      </w:rPr>
                      <m:t>M</m:t>
                    </m:r>
                    <m:ctrlPr>
                      <w:rPr>
                        <w:rFonts w:hint="default" w:ascii="Cambria Math" w:hAnsi="Cambria Math" w:eastAsia="宋体" w:cs="Cambria Math"/>
                        <w:i/>
                        <w:color w:val="auto"/>
                        <w:sz w:val="24"/>
                        <w:lang w:val="en-US" w:eastAsia="zh-CN" w:bidi="en-US"/>
                      </w:rPr>
                    </m:ctrlPr>
                  </m:den>
                </m:f>
              </m:oMath>
            </m:oMathPara>
          </w:p>
          <w:p w14:paraId="7287D622">
            <w:pPr>
              <w:keepNext w:val="0"/>
              <w:keepLines w:val="0"/>
              <w:pageBreakBefore w:val="0"/>
              <w:kinsoku/>
              <w:wordWrap/>
              <w:overflowPunct/>
              <w:topLinePunct w:val="0"/>
              <w:autoSpaceDE/>
              <w:autoSpaceDN/>
              <w:bidi w:val="0"/>
              <w:adjustRightInd/>
              <w:snapToGrid/>
              <w:spacing w:after="0" w:line="460" w:lineRule="exact"/>
              <w:ind w:firstLine="480" w:firstLineChars="200"/>
              <w:textAlignment w:val="auto"/>
              <w:rPr>
                <w:rFonts w:hint="eastAsia"/>
                <w:color w:val="auto"/>
                <w:lang w:val="en-US" w:eastAsia="zh-CN"/>
              </w:rPr>
            </w:pPr>
            <w:r>
              <w:rPr>
                <w:rFonts w:hint="eastAsia"/>
                <w:color w:val="auto"/>
                <w:lang w:val="en-US" w:eastAsia="zh-CN"/>
              </w:rPr>
              <w:t>式中：Qp</w:t>
            </w:r>
            <w:r>
              <w:rPr>
                <w:rFonts w:hint="default"/>
                <w:color w:val="auto"/>
                <w:lang w:val="en-US" w:eastAsia="zh-CN"/>
              </w:rPr>
              <w:t>’</w:t>
            </w:r>
            <w:r>
              <w:rPr>
                <w:rFonts w:hint="eastAsia"/>
                <w:color w:val="auto"/>
                <w:lang w:val="en-US" w:eastAsia="zh-CN"/>
              </w:rPr>
              <w:t>：道路总扬尘量，kg/a；</w:t>
            </w:r>
          </w:p>
          <w:p w14:paraId="65A91960">
            <w:pPr>
              <w:keepNext w:val="0"/>
              <w:keepLines w:val="0"/>
              <w:pageBreakBefore w:val="0"/>
              <w:kinsoku/>
              <w:wordWrap/>
              <w:overflowPunct/>
              <w:topLinePunct w:val="0"/>
              <w:autoSpaceDE/>
              <w:autoSpaceDN/>
              <w:bidi w:val="0"/>
              <w:adjustRightInd/>
              <w:snapToGrid/>
              <w:spacing w:after="0" w:line="460" w:lineRule="exact"/>
              <w:ind w:firstLine="1200" w:firstLineChars="500"/>
              <w:textAlignment w:val="auto"/>
              <w:rPr>
                <w:rFonts w:hint="eastAsia"/>
                <w:color w:val="auto"/>
                <w:lang w:eastAsia="zh-CN"/>
              </w:rPr>
            </w:pPr>
            <w:r>
              <w:rPr>
                <w:rFonts w:hint="eastAsia"/>
                <w:color w:val="auto"/>
                <w:lang w:val="en-US" w:eastAsia="zh-CN"/>
              </w:rPr>
              <w:t>Qp：</w:t>
            </w:r>
            <w:r>
              <w:rPr>
                <w:color w:val="auto"/>
              </w:rPr>
              <w:t>单位长度道路的单次车辆通行起尘量</w:t>
            </w:r>
            <w:r>
              <w:rPr>
                <w:rFonts w:hint="eastAsia"/>
                <w:color w:val="auto"/>
                <w:lang w:eastAsia="zh-CN"/>
              </w:rPr>
              <w:t>，</w:t>
            </w:r>
            <w:r>
              <w:rPr>
                <w:color w:val="auto"/>
              </w:rPr>
              <w:t>kg/km・次</w:t>
            </w:r>
            <w:r>
              <w:rPr>
                <w:rFonts w:hint="eastAsia"/>
                <w:color w:val="auto"/>
                <w:lang w:eastAsia="zh-CN"/>
              </w:rPr>
              <w:t>；</w:t>
            </w:r>
          </w:p>
          <w:p w14:paraId="7304A982">
            <w:pPr>
              <w:keepNext w:val="0"/>
              <w:keepLines w:val="0"/>
              <w:pageBreakBefore w:val="0"/>
              <w:kinsoku/>
              <w:wordWrap/>
              <w:overflowPunct/>
              <w:topLinePunct w:val="0"/>
              <w:autoSpaceDE/>
              <w:autoSpaceDN/>
              <w:bidi w:val="0"/>
              <w:adjustRightInd/>
              <w:snapToGrid/>
              <w:spacing w:after="0" w:line="460" w:lineRule="exact"/>
              <w:ind w:firstLine="1200" w:firstLineChars="500"/>
              <w:textAlignment w:val="auto"/>
              <w:rPr>
                <w:rFonts w:hint="default" w:eastAsia="宋体"/>
                <w:color w:val="auto"/>
                <w:lang w:val="en-US" w:eastAsia="zh-CN"/>
              </w:rPr>
            </w:pPr>
            <w:r>
              <w:rPr>
                <w:color w:val="auto"/>
              </w:rPr>
              <w:t>v：车辆行驶速度</w:t>
            </w:r>
            <w:r>
              <w:rPr>
                <w:rFonts w:hint="eastAsia"/>
                <w:color w:val="auto"/>
                <w:lang w:eastAsia="zh-CN"/>
              </w:rPr>
              <w:t>，</w:t>
            </w:r>
            <w:r>
              <w:rPr>
                <w:color w:val="auto"/>
              </w:rPr>
              <w:t>km/h</w:t>
            </w:r>
            <w:r>
              <w:rPr>
                <w:rFonts w:hint="eastAsia"/>
                <w:color w:val="auto"/>
                <w:lang w:eastAsia="zh-CN"/>
              </w:rPr>
              <w:t>；本项目取</w:t>
            </w:r>
            <w:r>
              <w:rPr>
                <w:rFonts w:hint="eastAsia"/>
                <w:color w:val="auto"/>
                <w:lang w:val="en-US" w:eastAsia="zh-CN"/>
              </w:rPr>
              <w:t>10km/h；</w:t>
            </w:r>
          </w:p>
          <w:p w14:paraId="7B1944D1">
            <w:pPr>
              <w:keepNext w:val="0"/>
              <w:keepLines w:val="0"/>
              <w:pageBreakBefore w:val="0"/>
              <w:kinsoku/>
              <w:wordWrap/>
              <w:overflowPunct/>
              <w:topLinePunct w:val="0"/>
              <w:autoSpaceDE/>
              <w:autoSpaceDN/>
              <w:bidi w:val="0"/>
              <w:adjustRightInd/>
              <w:snapToGrid/>
              <w:spacing w:after="0" w:line="460" w:lineRule="exact"/>
              <w:ind w:firstLine="1200" w:firstLineChars="500"/>
              <w:textAlignment w:val="auto"/>
              <w:rPr>
                <w:rFonts w:hint="default" w:eastAsia="宋体"/>
                <w:color w:val="auto"/>
                <w:lang w:val="en-US" w:eastAsia="zh-CN"/>
              </w:rPr>
            </w:pPr>
            <w:r>
              <w:rPr>
                <w:rFonts w:hint="default"/>
                <w:color w:val="auto"/>
              </w:rPr>
              <w:t>M：车辆</w:t>
            </w:r>
            <w:r>
              <w:rPr>
                <w:rFonts w:hint="eastAsia"/>
                <w:color w:val="auto"/>
                <w:lang w:eastAsia="zh-CN"/>
              </w:rPr>
              <w:t>载重，</w:t>
            </w:r>
            <w:r>
              <w:rPr>
                <w:rFonts w:hint="default"/>
                <w:color w:val="auto"/>
              </w:rPr>
              <w:t>t</w:t>
            </w:r>
            <w:r>
              <w:rPr>
                <w:rFonts w:hint="eastAsia"/>
                <w:color w:val="auto"/>
                <w:lang w:eastAsia="zh-CN"/>
              </w:rPr>
              <w:t>；本项目取</w:t>
            </w:r>
            <w:r>
              <w:rPr>
                <w:rFonts w:hint="eastAsia"/>
                <w:color w:val="auto"/>
                <w:lang w:val="en-US" w:eastAsia="zh-CN"/>
              </w:rPr>
              <w:t>50t/辆；</w:t>
            </w:r>
          </w:p>
          <w:p w14:paraId="7BA17FBE">
            <w:pPr>
              <w:keepNext w:val="0"/>
              <w:keepLines w:val="0"/>
              <w:pageBreakBefore w:val="0"/>
              <w:widowControl/>
              <w:suppressLineNumbers w:val="0"/>
              <w:kinsoku/>
              <w:wordWrap/>
              <w:overflowPunct/>
              <w:topLinePunct w:val="0"/>
              <w:autoSpaceDE/>
              <w:autoSpaceDN/>
              <w:bidi w:val="0"/>
              <w:adjustRightInd/>
              <w:snapToGrid/>
              <w:spacing w:after="0" w:line="460" w:lineRule="exact"/>
              <w:ind w:firstLine="1200" w:firstLineChars="500"/>
              <w:jc w:val="left"/>
              <w:textAlignment w:val="auto"/>
              <w:rPr>
                <w:color w:val="auto"/>
              </w:rPr>
            </w:pPr>
            <w:r>
              <w:rPr>
                <w:rFonts w:hint="default"/>
                <w:color w:val="auto"/>
              </w:rPr>
              <w:t>P：</w:t>
            </w:r>
            <w:r>
              <w:rPr>
                <w:rFonts w:ascii="瀹嬩綋" w:hAnsi="瀹嬩綋" w:eastAsia="瀹嬩綋" w:cs="瀹嬩綋"/>
                <w:color w:val="auto"/>
                <w:kern w:val="0"/>
                <w:sz w:val="24"/>
                <w:szCs w:val="24"/>
                <w:lang w:val="en-US" w:eastAsia="zh-CN" w:bidi="ar"/>
              </w:rPr>
              <w:t>路面状况，以每平方米路面灰尘覆盖率表示，</w:t>
            </w:r>
            <w:r>
              <w:rPr>
                <w:rFonts w:hint="default" w:ascii="Times New Roman" w:hAnsi="Times New Roman" w:eastAsia="宋体" w:cs="Times New Roman"/>
                <w:color w:val="auto"/>
                <w:kern w:val="0"/>
                <w:sz w:val="24"/>
                <w:szCs w:val="24"/>
                <w:lang w:val="en-US" w:eastAsia="zh-CN" w:bidi="ar"/>
              </w:rPr>
              <w:t>kg/m</w:t>
            </w:r>
            <w:r>
              <w:rPr>
                <w:rFonts w:hint="eastAsia" w:ascii="Times New Roman" w:hAnsi="Times New Roman" w:eastAsia="宋体" w:cs="Times New Roman"/>
                <w:color w:val="auto"/>
                <w:kern w:val="0"/>
                <w:sz w:val="24"/>
                <w:szCs w:val="24"/>
                <w:vertAlign w:val="superscript"/>
                <w:lang w:val="en-US" w:eastAsia="zh-CN" w:bidi="ar"/>
              </w:rPr>
              <w:t>2</w:t>
            </w:r>
            <w:r>
              <w:rPr>
                <w:rFonts w:hint="default" w:ascii="瀹嬩綋" w:hAnsi="瀹嬩綋" w:eastAsia="瀹嬩綋" w:cs="瀹嬩綋"/>
                <w:color w:val="auto"/>
                <w:kern w:val="0"/>
                <w:sz w:val="24"/>
                <w:szCs w:val="24"/>
                <w:lang w:val="en-US" w:eastAsia="zh-CN" w:bidi="ar"/>
              </w:rPr>
              <w:t xml:space="preserve">（以 </w:t>
            </w:r>
            <w:r>
              <w:rPr>
                <w:rFonts w:hint="default" w:ascii="Times New Roman" w:hAnsi="Times New Roman" w:eastAsia="宋体" w:cs="Times New Roman"/>
                <w:color w:val="auto"/>
                <w:kern w:val="0"/>
                <w:sz w:val="24"/>
                <w:szCs w:val="24"/>
                <w:lang w:val="en-US" w:eastAsia="zh-CN" w:bidi="ar"/>
              </w:rPr>
              <w:t>0.06kg/m</w:t>
            </w:r>
            <w:r>
              <w:rPr>
                <w:rFonts w:hint="eastAsia" w:ascii="Times New Roman" w:hAnsi="Times New Roman" w:eastAsia="宋体" w:cs="Times New Roman"/>
                <w:color w:val="auto"/>
                <w:kern w:val="0"/>
                <w:sz w:val="24"/>
                <w:szCs w:val="24"/>
                <w:vertAlign w:val="superscript"/>
                <w:lang w:val="en-US" w:eastAsia="zh-CN" w:bidi="ar"/>
              </w:rPr>
              <w:t>2</w:t>
            </w:r>
            <w:r>
              <w:rPr>
                <w:rFonts w:hint="default" w:ascii="瀹嬩綋" w:hAnsi="瀹嬩綋" w:eastAsia="瀹嬩綋" w:cs="瀹嬩綋"/>
                <w:color w:val="auto"/>
                <w:kern w:val="0"/>
                <w:sz w:val="24"/>
                <w:szCs w:val="24"/>
                <w:lang w:val="en-US" w:eastAsia="zh-CN" w:bidi="ar"/>
              </w:rPr>
              <w:t>计）；</w:t>
            </w:r>
          </w:p>
          <w:p w14:paraId="136019B5">
            <w:pPr>
              <w:keepNext w:val="0"/>
              <w:keepLines w:val="0"/>
              <w:pageBreakBefore w:val="0"/>
              <w:kinsoku/>
              <w:wordWrap/>
              <w:overflowPunct/>
              <w:topLinePunct w:val="0"/>
              <w:autoSpaceDE/>
              <w:autoSpaceDN/>
              <w:bidi w:val="0"/>
              <w:adjustRightInd/>
              <w:snapToGrid/>
              <w:spacing w:after="0" w:line="460" w:lineRule="exact"/>
              <w:ind w:firstLine="1200" w:firstLineChars="500"/>
              <w:textAlignment w:val="auto"/>
              <w:rPr>
                <w:rFonts w:hint="default" w:eastAsia="宋体"/>
                <w:color w:val="auto"/>
                <w:lang w:val="en-US" w:eastAsia="zh-CN"/>
              </w:rPr>
            </w:pPr>
            <w:r>
              <w:rPr>
                <w:color w:val="auto"/>
              </w:rPr>
              <w:t>L：道路长度</w:t>
            </w:r>
            <w:r>
              <w:rPr>
                <w:rFonts w:hint="eastAsia"/>
                <w:color w:val="auto"/>
                <w:lang w:eastAsia="zh-CN"/>
              </w:rPr>
              <w:t>，</w:t>
            </w:r>
            <w:r>
              <w:rPr>
                <w:color w:val="auto"/>
              </w:rPr>
              <w:t>km</w:t>
            </w:r>
            <w:r>
              <w:rPr>
                <w:rFonts w:hint="eastAsia"/>
                <w:color w:val="auto"/>
                <w:lang w:eastAsia="zh-CN"/>
              </w:rPr>
              <w:t>；本项目取</w:t>
            </w:r>
            <w:r>
              <w:rPr>
                <w:rFonts w:hint="eastAsia"/>
                <w:color w:val="auto"/>
                <w:lang w:val="en-US" w:eastAsia="zh-CN"/>
              </w:rPr>
              <w:t>0.4km；</w:t>
            </w:r>
          </w:p>
          <w:p w14:paraId="7664DA1B">
            <w:pPr>
              <w:keepNext w:val="0"/>
              <w:keepLines w:val="0"/>
              <w:pageBreakBefore w:val="0"/>
              <w:kinsoku/>
              <w:wordWrap/>
              <w:overflowPunct/>
              <w:topLinePunct w:val="0"/>
              <w:autoSpaceDE/>
              <w:autoSpaceDN/>
              <w:bidi w:val="0"/>
              <w:adjustRightInd/>
              <w:snapToGrid/>
              <w:spacing w:after="0" w:line="460" w:lineRule="exact"/>
              <w:ind w:firstLine="1200" w:firstLineChars="500"/>
              <w:textAlignment w:val="auto"/>
              <w:rPr>
                <w:color w:val="auto"/>
              </w:rPr>
            </w:pPr>
            <w:r>
              <w:rPr>
                <w:rFonts w:hint="default"/>
                <w:color w:val="auto"/>
              </w:rPr>
              <w:t>Q：</w:t>
            </w:r>
            <w:r>
              <w:rPr>
                <w:rFonts w:hint="eastAsia"/>
                <w:color w:val="auto"/>
                <w:lang w:eastAsia="zh-CN"/>
              </w:rPr>
              <w:t>运输量</w:t>
            </w:r>
            <w:r>
              <w:rPr>
                <w:rFonts w:hint="default"/>
                <w:color w:val="auto"/>
              </w:rPr>
              <w:t>（</w:t>
            </w:r>
            <w:r>
              <w:rPr>
                <w:rFonts w:hint="eastAsia"/>
                <w:color w:val="auto"/>
                <w:lang w:val="en-US" w:eastAsia="zh-CN"/>
              </w:rPr>
              <w:t>2000000t/a</w:t>
            </w:r>
            <w:r>
              <w:rPr>
                <w:rFonts w:hint="default"/>
                <w:color w:val="auto"/>
              </w:rPr>
              <w:t>）</w:t>
            </w:r>
          </w:p>
          <w:p w14:paraId="0E51AE69">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color w:val="auto"/>
              </w:rPr>
            </w:pPr>
            <w:r>
              <w:rPr>
                <w:color w:val="auto"/>
                <w:lang w:val="en-US" w:eastAsia="zh-CN"/>
              </w:rPr>
              <w:t>经估算可知，项目运输车辆满载状态下预计运输产尘量</w:t>
            </w:r>
            <w:r>
              <w:rPr>
                <w:rFonts w:hint="eastAsia"/>
                <w:color w:val="auto"/>
                <w:lang w:val="en-US" w:eastAsia="zh-CN"/>
              </w:rPr>
              <w:t>0.291</w:t>
            </w:r>
            <w:r>
              <w:rPr>
                <w:rFonts w:hint="default"/>
                <w:color w:val="auto"/>
                <w:lang w:val="en-US" w:eastAsia="zh-CN"/>
              </w:rPr>
              <w:t>kg/km·辆。本项目每</w:t>
            </w:r>
            <w:r>
              <w:rPr>
                <w:rFonts w:hint="eastAsia"/>
                <w:color w:val="auto"/>
                <w:lang w:val="en-US" w:eastAsia="zh-CN"/>
              </w:rPr>
              <w:t>天</w:t>
            </w:r>
            <w:r>
              <w:rPr>
                <w:rFonts w:hint="default"/>
                <w:color w:val="auto"/>
                <w:lang w:val="en-US" w:eastAsia="zh-CN"/>
              </w:rPr>
              <w:t>运输约</w:t>
            </w:r>
            <w:r>
              <w:rPr>
                <w:rFonts w:hint="eastAsia"/>
                <w:color w:val="auto"/>
                <w:lang w:val="en-US" w:eastAsia="zh-CN"/>
              </w:rPr>
              <w:t>134</w:t>
            </w:r>
            <w:r>
              <w:rPr>
                <w:rFonts w:hint="default"/>
                <w:color w:val="auto"/>
                <w:lang w:val="en-US" w:eastAsia="zh-CN"/>
              </w:rPr>
              <w:t>车次，本项目厂区内道路约</w:t>
            </w:r>
            <w:r>
              <w:rPr>
                <w:rFonts w:hint="eastAsia"/>
                <w:color w:val="auto"/>
                <w:lang w:val="en-US" w:eastAsia="zh-CN"/>
              </w:rPr>
              <w:t>0.4k</w:t>
            </w:r>
            <w:r>
              <w:rPr>
                <w:rFonts w:hint="default"/>
                <w:color w:val="auto"/>
                <w:lang w:val="en-US" w:eastAsia="zh-CN"/>
              </w:rPr>
              <w:t>m。经计算可知，本项目车辆满载运输时产生的总扬尘量为</w:t>
            </w:r>
            <w:r>
              <w:rPr>
                <w:rFonts w:hint="eastAsia"/>
                <w:color w:val="auto"/>
                <w:lang w:val="en-US" w:eastAsia="zh-CN"/>
              </w:rPr>
              <w:t>4.66</w:t>
            </w:r>
            <w:r>
              <w:rPr>
                <w:rFonts w:hint="default"/>
                <w:color w:val="auto"/>
                <w:lang w:val="en-US" w:eastAsia="zh-CN"/>
              </w:rPr>
              <w:t>t/a。</w:t>
            </w:r>
          </w:p>
          <w:p w14:paraId="13821AF7">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rFonts w:hint="eastAsia" w:eastAsia="宋体"/>
                <w:color w:val="auto"/>
                <w:lang w:val="en-US" w:eastAsia="zh-CN"/>
              </w:rPr>
            </w:pPr>
            <w:r>
              <w:rPr>
                <w:rFonts w:hint="default"/>
                <w:color w:val="auto"/>
                <w:lang w:val="en-US" w:eastAsia="zh-CN"/>
              </w:rPr>
              <w:t>本项目采取运输车辆采用加盖苫布、厂区道路硬化并且定期洒水降尘的措施后，颗粒物的去除效率≥80%，本项目厂区内汽车运输扬尘排放量为0.</w:t>
            </w:r>
            <w:r>
              <w:rPr>
                <w:rFonts w:hint="eastAsia"/>
                <w:color w:val="auto"/>
                <w:lang w:val="en-US" w:eastAsia="zh-CN"/>
              </w:rPr>
              <w:t>16</w:t>
            </w:r>
            <w:r>
              <w:rPr>
                <w:rFonts w:hint="default"/>
                <w:color w:val="auto"/>
                <w:lang w:val="en-US" w:eastAsia="zh-CN"/>
              </w:rPr>
              <w:t>kg/h，</w:t>
            </w:r>
            <w:r>
              <w:rPr>
                <w:rFonts w:hint="eastAsia"/>
                <w:color w:val="auto"/>
                <w:lang w:val="en-US" w:eastAsia="zh-CN"/>
              </w:rPr>
              <w:t>0.93</w:t>
            </w:r>
            <w:r>
              <w:rPr>
                <w:rFonts w:hint="default"/>
                <w:color w:val="auto"/>
                <w:lang w:val="en-US" w:eastAsia="zh-CN"/>
              </w:rPr>
              <w:t>t/a。</w:t>
            </w:r>
          </w:p>
          <w:p w14:paraId="006961A5">
            <w:pPr>
              <w:keepNext w:val="0"/>
              <w:keepLines w:val="0"/>
              <w:pageBreakBefore w:val="0"/>
              <w:widowControl w:val="0"/>
              <w:kinsoku/>
              <w:wordWrap/>
              <w:overflowPunct/>
              <w:topLinePunct w:val="0"/>
              <w:autoSpaceDE/>
              <w:autoSpaceDN/>
              <w:bidi w:val="0"/>
              <w:adjustRightInd/>
              <w:snapToGrid/>
              <w:spacing w:after="0" w:line="460" w:lineRule="exact"/>
              <w:ind w:left="0" w:leftChars="0" w:right="0" w:rightChars="0" w:firstLine="482" w:firstLineChars="200"/>
              <w:jc w:val="both"/>
              <w:textAlignment w:val="auto"/>
              <w:outlineLvl w:val="9"/>
              <w:rPr>
                <w:rFonts w:hint="eastAsia" w:ascii="Times New Roman" w:hAnsi="Times New Roman" w:eastAsia="宋体" w:cs="Times New Roman"/>
                <w:b/>
                <w:color w:val="auto"/>
                <w:sz w:val="24"/>
                <w:lang w:val="en-US" w:eastAsia="zh-CN" w:bidi="en-US"/>
              </w:rPr>
            </w:pPr>
            <w:r>
              <w:rPr>
                <w:rFonts w:hint="eastAsia" w:ascii="Times New Roman" w:hAnsi="Times New Roman" w:eastAsia="宋体" w:cs="Times New Roman"/>
                <w:b/>
                <w:color w:val="auto"/>
                <w:sz w:val="24"/>
                <w:lang w:val="en-US" w:eastAsia="zh-CN" w:bidi="en-US"/>
              </w:rPr>
              <w:t>4.2.2废气排放治理措施可行性分析</w:t>
            </w:r>
          </w:p>
          <w:p w14:paraId="166751B9">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rFonts w:hint="eastAsia"/>
                <w:color w:val="auto"/>
                <w:lang w:val="en-US" w:eastAsia="zh-CN"/>
              </w:rPr>
            </w:pPr>
            <w:r>
              <w:rPr>
                <w:color w:val="auto"/>
              </w:rPr>
              <w:t>参照《排污许可证申请与核发技术规范 总则》</w:t>
            </w:r>
            <w:r>
              <w:rPr>
                <w:rFonts w:hint="eastAsia"/>
                <w:color w:val="auto"/>
              </w:rPr>
              <w:t>（</w:t>
            </w:r>
            <w:r>
              <w:rPr>
                <w:color w:val="auto"/>
              </w:rPr>
              <w:t>HJ942-2018</w:t>
            </w:r>
            <w:r>
              <w:rPr>
                <w:rFonts w:hint="eastAsia"/>
                <w:color w:val="auto"/>
              </w:rPr>
              <w:t>）</w:t>
            </w:r>
            <w:r>
              <w:rPr>
                <w:rFonts w:hint="eastAsia"/>
                <w:color w:val="auto"/>
                <w:lang w:eastAsia="zh-CN"/>
              </w:rPr>
              <w:t>及</w:t>
            </w:r>
            <w:r>
              <w:rPr>
                <w:rFonts w:hint="default"/>
                <w:color w:val="auto"/>
                <w:lang w:val="en-US" w:eastAsia="zh-CN"/>
              </w:rPr>
              <w:t>《清洁生产标准-煤炭采选业》（HJ446-2008），</w:t>
            </w:r>
            <w:r>
              <w:rPr>
                <w:rFonts w:hint="eastAsia"/>
                <w:color w:val="auto"/>
                <w:lang w:val="en-US" w:eastAsia="zh-CN"/>
              </w:rPr>
              <w:t>本项目所采用</w:t>
            </w:r>
            <w:r>
              <w:rPr>
                <w:rFonts w:hint="eastAsia" w:eastAsia="宋体"/>
                <w:color w:val="auto"/>
                <w:lang w:val="en-US" w:eastAsia="zh-CN"/>
              </w:rPr>
              <w:t>的废气排放治理措施可行性分析</w:t>
            </w:r>
            <w:r>
              <w:rPr>
                <w:rFonts w:hint="default" w:eastAsia="宋体"/>
                <w:color w:val="auto"/>
                <w:lang w:val="en-US" w:eastAsia="zh-CN"/>
              </w:rPr>
              <w:t>具</w:t>
            </w:r>
            <w:r>
              <w:rPr>
                <w:rFonts w:hint="default"/>
                <w:color w:val="auto"/>
                <w:lang w:val="en-US" w:eastAsia="zh-CN"/>
              </w:rPr>
              <w:t>体详见下表。</w:t>
            </w:r>
          </w:p>
          <w:p w14:paraId="378A971A">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4</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1</w:t>
            </w:r>
            <w:r>
              <w:rPr>
                <w:color w:val="auto"/>
              </w:rPr>
              <w:fldChar w:fldCharType="end"/>
            </w:r>
            <w:r>
              <w:rPr>
                <w:rFonts w:hint="eastAsia" w:ascii="Times New Roman" w:hAnsi="Times New Roman" w:eastAsia="宋体" w:cs="Times New Roman"/>
                <w:b/>
                <w:color w:val="auto"/>
                <w:sz w:val="21"/>
                <w:szCs w:val="20"/>
                <w:lang w:val="en-US" w:eastAsia="zh-CN" w:bidi="ar-SA"/>
              </w:rPr>
              <w:t xml:space="preserve"> 废气治理技术可行性对照表</w:t>
            </w:r>
          </w:p>
          <w:tbl>
            <w:tblPr>
              <w:tblStyle w:val="5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5"/>
              <w:gridCol w:w="3746"/>
              <w:gridCol w:w="2767"/>
              <w:gridCol w:w="885"/>
            </w:tblGrid>
            <w:tr w14:paraId="35409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561" w:type="pct"/>
                  <w:vAlign w:val="center"/>
                </w:tcPr>
                <w:p w14:paraId="04E46BA4">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18"/>
                      <w:szCs w:val="18"/>
                      <w:highlight w:val="none"/>
                      <w:vertAlign w:val="baseline"/>
                      <w:lang w:val="en-US" w:eastAsia="zh-CN"/>
                    </w:rPr>
                  </w:pPr>
                  <w:r>
                    <w:rPr>
                      <w:rFonts w:hint="eastAsia" w:cs="Times New Roman"/>
                      <w:color w:val="auto"/>
                      <w:sz w:val="18"/>
                      <w:szCs w:val="18"/>
                      <w:highlight w:val="none"/>
                      <w:vertAlign w:val="baseline"/>
                      <w:lang w:val="en-US" w:eastAsia="zh-CN"/>
                    </w:rPr>
                    <w:t>类别</w:t>
                  </w:r>
                </w:p>
              </w:tc>
              <w:tc>
                <w:tcPr>
                  <w:tcW w:w="2247" w:type="pct"/>
                  <w:vAlign w:val="center"/>
                </w:tcPr>
                <w:p w14:paraId="43832C8D">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18"/>
                      <w:szCs w:val="18"/>
                      <w:highlight w:val="none"/>
                      <w:vertAlign w:val="baseline"/>
                      <w:lang w:val="en-US" w:eastAsia="zh-CN"/>
                    </w:rPr>
                  </w:pPr>
                  <w:r>
                    <w:rPr>
                      <w:rFonts w:hint="default" w:ascii="Times New Roman" w:hAnsi="Times New Roman" w:eastAsia="宋体" w:cs="Times New Roman"/>
                      <w:color w:val="auto"/>
                      <w:sz w:val="18"/>
                      <w:szCs w:val="18"/>
                      <w:highlight w:val="none"/>
                      <w:vertAlign w:val="baseline"/>
                      <w:lang w:val="en-US" w:eastAsia="zh-CN"/>
                    </w:rPr>
                    <w:t>清洁生产指标要求</w:t>
                  </w:r>
                </w:p>
              </w:tc>
              <w:tc>
                <w:tcPr>
                  <w:tcW w:w="1660" w:type="pct"/>
                  <w:vAlign w:val="center"/>
                </w:tcPr>
                <w:p w14:paraId="6E818DFE">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18"/>
                      <w:szCs w:val="18"/>
                      <w:highlight w:val="none"/>
                      <w:vertAlign w:val="baseline"/>
                      <w:lang w:val="en-US" w:eastAsia="zh-CN"/>
                    </w:rPr>
                  </w:pPr>
                  <w:r>
                    <w:rPr>
                      <w:rFonts w:hint="default" w:ascii="Times New Roman" w:hAnsi="Times New Roman" w:eastAsia="宋体" w:cs="Times New Roman"/>
                      <w:color w:val="auto"/>
                      <w:sz w:val="18"/>
                      <w:szCs w:val="18"/>
                      <w:highlight w:val="none"/>
                      <w:vertAlign w:val="baseline"/>
                      <w:lang w:val="en-US" w:eastAsia="zh-CN"/>
                    </w:rPr>
                    <w:t>本项目生产指标</w:t>
                  </w:r>
                </w:p>
              </w:tc>
              <w:tc>
                <w:tcPr>
                  <w:tcW w:w="531" w:type="pct"/>
                  <w:vAlign w:val="center"/>
                </w:tcPr>
                <w:p w14:paraId="04BEC8CC">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18"/>
                      <w:szCs w:val="18"/>
                      <w:highlight w:val="none"/>
                      <w:vertAlign w:val="baseline"/>
                      <w:lang w:val="en-US" w:eastAsia="zh-CN"/>
                    </w:rPr>
                  </w:pPr>
                  <w:r>
                    <w:rPr>
                      <w:rFonts w:hint="default" w:ascii="Times New Roman" w:hAnsi="Times New Roman" w:eastAsia="宋体" w:cs="Times New Roman"/>
                      <w:color w:val="auto"/>
                      <w:sz w:val="18"/>
                      <w:szCs w:val="18"/>
                      <w:highlight w:val="none"/>
                      <w:vertAlign w:val="baseline"/>
                      <w:lang w:val="en-US" w:eastAsia="zh-CN"/>
                    </w:rPr>
                    <w:t>可行性</w:t>
                  </w:r>
                </w:p>
              </w:tc>
            </w:tr>
            <w:tr w14:paraId="53A4A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trPr>
              <w:tc>
                <w:tcPr>
                  <w:tcW w:w="561" w:type="pct"/>
                  <w:vMerge w:val="restart"/>
                  <w:vAlign w:val="center"/>
                </w:tcPr>
                <w:p w14:paraId="22AEA534">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18"/>
                      <w:szCs w:val="18"/>
                      <w:highlight w:val="none"/>
                      <w:vertAlign w:val="baseline"/>
                      <w:lang w:val="en-US" w:eastAsia="zh-CN"/>
                    </w:rPr>
                  </w:pPr>
                  <w:r>
                    <w:rPr>
                      <w:rFonts w:hint="default" w:ascii="Times New Roman" w:hAnsi="Times New Roman" w:eastAsia="宋体" w:cs="Times New Roman"/>
                      <w:color w:val="auto"/>
                      <w:sz w:val="18"/>
                      <w:szCs w:val="18"/>
                      <w:highlight w:val="none"/>
                    </w:rPr>
                    <w:t>精煤、中煤、矸石、煤泥贮存</w:t>
                  </w:r>
                </w:p>
              </w:tc>
              <w:tc>
                <w:tcPr>
                  <w:tcW w:w="2247" w:type="pct"/>
                  <w:vAlign w:val="center"/>
                </w:tcPr>
                <w:p w14:paraId="7FA40FA9">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both"/>
                    <w:textAlignment w:val="auto"/>
                    <w:outlineLvl w:val="9"/>
                    <w:rPr>
                      <w:rFonts w:hint="default" w:ascii="Times New Roman" w:hAnsi="Times New Roman" w:eastAsia="宋体" w:cs="Times New Roman"/>
                      <w:color w:val="auto"/>
                      <w:sz w:val="18"/>
                      <w:szCs w:val="18"/>
                      <w:highlight w:val="none"/>
                      <w:vertAlign w:val="baseline"/>
                      <w:lang w:val="en-US" w:eastAsia="zh-CN"/>
                    </w:rPr>
                  </w:pPr>
                  <w:r>
                    <w:rPr>
                      <w:rFonts w:hint="default" w:ascii="Times New Roman" w:hAnsi="Times New Roman" w:eastAsia="宋体" w:cs="Times New Roman"/>
                      <w:color w:val="auto"/>
                      <w:sz w:val="18"/>
                      <w:szCs w:val="18"/>
                      <w:highlight w:val="none"/>
                      <w:vertAlign w:val="baseline"/>
                      <w:lang w:val="en-US" w:eastAsia="zh-CN"/>
                    </w:rPr>
                    <w:t>一级、二级：精煤、中煤、矸石分别进入封闭的精煤仓、中煤仓、矸石仓或封闭的贮场，多余矸石进入排矸场处置，煤泥经压滤处理后进入封闭的煤泥贮存场。</w:t>
                  </w:r>
                </w:p>
              </w:tc>
              <w:tc>
                <w:tcPr>
                  <w:tcW w:w="1660" w:type="pct"/>
                  <w:vMerge w:val="restart"/>
                  <w:vAlign w:val="center"/>
                </w:tcPr>
                <w:p w14:paraId="697A5E44">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both"/>
                    <w:textAlignment w:val="auto"/>
                    <w:outlineLvl w:val="9"/>
                    <w:rPr>
                      <w:rFonts w:hint="default" w:ascii="Times New Roman" w:hAnsi="Times New Roman" w:eastAsia="宋体" w:cs="Times New Roman"/>
                      <w:color w:val="auto"/>
                      <w:sz w:val="18"/>
                      <w:szCs w:val="18"/>
                      <w:highlight w:val="none"/>
                      <w:vertAlign w:val="baseline"/>
                      <w:lang w:val="en-US" w:eastAsia="zh-CN"/>
                    </w:rPr>
                  </w:pPr>
                  <w:r>
                    <w:rPr>
                      <w:rFonts w:hint="default" w:ascii="Times New Roman" w:hAnsi="Times New Roman" w:eastAsia="宋体" w:cs="Times New Roman"/>
                      <w:color w:val="auto"/>
                      <w:sz w:val="18"/>
                      <w:szCs w:val="18"/>
                      <w:highlight w:val="none"/>
                      <w:vertAlign w:val="baseline"/>
                      <w:lang w:val="en-US" w:eastAsia="zh-CN"/>
                    </w:rPr>
                    <w:t>本项目</w:t>
                  </w:r>
                  <w:r>
                    <w:rPr>
                      <w:rFonts w:hint="default" w:ascii="Times New Roman" w:hAnsi="Times New Roman" w:eastAsia="宋体" w:cs="Times New Roman"/>
                      <w:color w:val="auto"/>
                      <w:sz w:val="18"/>
                      <w:szCs w:val="18"/>
                      <w:highlight w:val="none"/>
                    </w:rPr>
                    <w:t>精煤、中煤、矸石分别进入中煤、</w:t>
                  </w:r>
                  <w:r>
                    <w:rPr>
                      <w:rFonts w:hint="default" w:ascii="Times New Roman" w:hAnsi="Times New Roman" w:eastAsia="宋体" w:cs="Times New Roman"/>
                      <w:color w:val="auto"/>
                      <w:sz w:val="18"/>
                      <w:szCs w:val="18"/>
                      <w:highlight w:val="none"/>
                      <w:lang w:eastAsia="zh-CN"/>
                    </w:rPr>
                    <w:t>精煤、</w:t>
                  </w:r>
                  <w:r>
                    <w:rPr>
                      <w:rFonts w:hint="default" w:ascii="Times New Roman" w:hAnsi="Times New Roman" w:eastAsia="宋体" w:cs="Times New Roman"/>
                      <w:color w:val="auto"/>
                      <w:sz w:val="18"/>
                      <w:szCs w:val="18"/>
                      <w:highlight w:val="none"/>
                    </w:rPr>
                    <w:t>矸石堆棚，为全封闭结构并采取洒水喷淋等措施</w:t>
                  </w:r>
                  <w:r>
                    <w:rPr>
                      <w:rFonts w:hint="eastAsia" w:ascii="Times New Roman" w:hAnsi="Times New Roman" w:eastAsia="宋体" w:cs="Times New Roman"/>
                      <w:color w:val="auto"/>
                      <w:sz w:val="18"/>
                      <w:szCs w:val="18"/>
                      <w:highlight w:val="none"/>
                      <w:lang w:eastAsia="zh-CN"/>
                    </w:rPr>
                    <w:t>；</w:t>
                  </w:r>
                  <w:r>
                    <w:rPr>
                      <w:rFonts w:hint="default" w:ascii="Times New Roman" w:hAnsi="Times New Roman" w:eastAsia="宋体" w:cs="Times New Roman"/>
                      <w:color w:val="auto"/>
                      <w:sz w:val="18"/>
                      <w:szCs w:val="18"/>
                      <w:highlight w:val="none"/>
                    </w:rPr>
                    <w:t>经压滤处理后的</w:t>
                  </w:r>
                  <w:r>
                    <w:rPr>
                      <w:rFonts w:hint="default" w:ascii="Times New Roman" w:hAnsi="Times New Roman" w:eastAsia="宋体" w:cs="Times New Roman"/>
                      <w:color w:val="auto"/>
                      <w:sz w:val="18"/>
                      <w:szCs w:val="18"/>
                      <w:highlight w:val="none"/>
                      <w:lang w:val="en-US" w:eastAsia="zh-CN"/>
                    </w:rPr>
                    <w:t>产生的</w:t>
                  </w:r>
                  <w:r>
                    <w:rPr>
                      <w:rFonts w:hint="default" w:ascii="Times New Roman" w:hAnsi="Times New Roman" w:eastAsia="宋体" w:cs="Times New Roman"/>
                      <w:color w:val="auto"/>
                      <w:sz w:val="18"/>
                      <w:szCs w:val="18"/>
                      <w:highlight w:val="none"/>
                    </w:rPr>
                    <w:t>煤泥</w:t>
                  </w:r>
                  <w:r>
                    <w:rPr>
                      <w:rFonts w:hint="default" w:ascii="Times New Roman" w:hAnsi="Times New Roman" w:eastAsia="宋体" w:cs="Times New Roman"/>
                      <w:color w:val="auto"/>
                      <w:sz w:val="18"/>
                      <w:szCs w:val="18"/>
                      <w:highlight w:val="none"/>
                      <w:lang w:val="en-US" w:eastAsia="zh-CN"/>
                    </w:rPr>
                    <w:t>直接装车</w:t>
                  </w:r>
                  <w:r>
                    <w:rPr>
                      <w:rFonts w:hint="eastAsia" w:cs="Times New Roman"/>
                      <w:color w:val="auto"/>
                      <w:sz w:val="18"/>
                      <w:szCs w:val="18"/>
                      <w:highlight w:val="none"/>
                      <w:lang w:val="en-US" w:eastAsia="zh-CN"/>
                    </w:rPr>
                    <w:t>由</w:t>
                  </w:r>
                  <w:r>
                    <w:rPr>
                      <w:rFonts w:hint="eastAsia" w:ascii="Times New Roman" w:hAnsi="Times New Roman" w:eastAsia="宋体" w:cs="Times New Roman"/>
                      <w:color w:val="auto"/>
                      <w:sz w:val="18"/>
                      <w:szCs w:val="18"/>
                      <w:highlight w:val="none"/>
                      <w:lang w:eastAsia="zh-CN"/>
                    </w:rPr>
                    <w:t>淮南舜岳水泥有限责任公司</w:t>
                  </w:r>
                  <w:r>
                    <w:rPr>
                      <w:rFonts w:hint="eastAsia" w:cs="Times New Roman"/>
                      <w:color w:val="auto"/>
                      <w:sz w:val="18"/>
                      <w:szCs w:val="18"/>
                      <w:highlight w:val="none"/>
                      <w:lang w:eastAsia="zh-CN"/>
                    </w:rPr>
                    <w:t>综合利用</w:t>
                  </w:r>
                  <w:r>
                    <w:rPr>
                      <w:rFonts w:hint="default" w:ascii="Times New Roman" w:hAnsi="Times New Roman" w:eastAsia="宋体" w:cs="Times New Roman"/>
                      <w:color w:val="auto"/>
                      <w:sz w:val="18"/>
                      <w:szCs w:val="18"/>
                      <w:highlight w:val="none"/>
                      <w:lang w:val="en-US" w:eastAsia="zh-CN"/>
                    </w:rPr>
                    <w:t>，日产日清不在厂区暂存</w:t>
                  </w:r>
                  <w:r>
                    <w:rPr>
                      <w:rFonts w:hint="default" w:ascii="Times New Roman" w:hAnsi="Times New Roman" w:eastAsia="宋体" w:cs="Times New Roman"/>
                      <w:color w:val="auto"/>
                      <w:sz w:val="18"/>
                      <w:szCs w:val="18"/>
                      <w:highlight w:val="none"/>
                    </w:rPr>
                    <w:t>。</w:t>
                  </w:r>
                </w:p>
              </w:tc>
              <w:tc>
                <w:tcPr>
                  <w:tcW w:w="531" w:type="pct"/>
                  <w:vMerge w:val="restart"/>
                  <w:vAlign w:val="center"/>
                </w:tcPr>
                <w:p w14:paraId="477EC865">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18"/>
                      <w:szCs w:val="18"/>
                      <w:highlight w:val="none"/>
                      <w:vertAlign w:val="baseline"/>
                      <w:lang w:val="en-US" w:eastAsia="zh-CN"/>
                    </w:rPr>
                  </w:pPr>
                  <w:r>
                    <w:rPr>
                      <w:rFonts w:hint="default" w:ascii="Times New Roman" w:hAnsi="Times New Roman" w:eastAsia="宋体" w:cs="Times New Roman"/>
                      <w:color w:val="auto"/>
                      <w:sz w:val="18"/>
                      <w:szCs w:val="18"/>
                      <w:highlight w:val="none"/>
                      <w:vertAlign w:val="baseline"/>
                      <w:lang w:val="en-US" w:eastAsia="zh-CN"/>
                    </w:rPr>
                    <w:t>可行</w:t>
                  </w:r>
                </w:p>
              </w:tc>
            </w:tr>
            <w:tr w14:paraId="002C2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trPr>
              <w:tc>
                <w:tcPr>
                  <w:tcW w:w="561" w:type="pct"/>
                  <w:vMerge w:val="continue"/>
                  <w:vAlign w:val="center"/>
                </w:tcPr>
                <w:p w14:paraId="0C9C639D">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18"/>
                      <w:szCs w:val="18"/>
                      <w:highlight w:val="none"/>
                      <w:vertAlign w:val="baseline"/>
                      <w:lang w:val="en-US" w:eastAsia="zh-CN"/>
                    </w:rPr>
                  </w:pPr>
                </w:p>
              </w:tc>
              <w:tc>
                <w:tcPr>
                  <w:tcW w:w="2247" w:type="pct"/>
                  <w:vAlign w:val="center"/>
                </w:tcPr>
                <w:p w14:paraId="6B685B59">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both"/>
                    <w:textAlignment w:val="auto"/>
                    <w:outlineLvl w:val="9"/>
                    <w:rPr>
                      <w:rFonts w:hint="default" w:ascii="Times New Roman" w:hAnsi="Times New Roman" w:eastAsia="宋体" w:cs="Times New Roman"/>
                      <w:color w:val="auto"/>
                      <w:sz w:val="18"/>
                      <w:szCs w:val="18"/>
                      <w:highlight w:val="none"/>
                      <w:vertAlign w:val="baseline"/>
                      <w:lang w:val="en-US" w:eastAsia="zh-CN"/>
                    </w:rPr>
                  </w:pPr>
                  <w:r>
                    <w:rPr>
                      <w:rFonts w:hint="default" w:ascii="Times New Roman" w:hAnsi="Times New Roman" w:eastAsia="宋体" w:cs="Times New Roman"/>
                      <w:color w:val="auto"/>
                      <w:sz w:val="18"/>
                      <w:szCs w:val="18"/>
                      <w:highlight w:val="none"/>
                      <w:vertAlign w:val="baseline"/>
                      <w:lang w:val="en-US" w:eastAsia="zh-CN"/>
                    </w:rPr>
                    <w:t>三级：精煤、中煤、矸石和经压滤处理后的煤泥分别进入设有挡风抑尘措施的储存场。多余矸石进入排矸场处置。</w:t>
                  </w:r>
                </w:p>
              </w:tc>
              <w:tc>
                <w:tcPr>
                  <w:tcW w:w="1660" w:type="pct"/>
                  <w:vMerge w:val="continue"/>
                  <w:vAlign w:val="center"/>
                </w:tcPr>
                <w:p w14:paraId="3E61FF52">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both"/>
                    <w:textAlignment w:val="auto"/>
                    <w:outlineLvl w:val="9"/>
                    <w:rPr>
                      <w:rFonts w:hint="default" w:ascii="Times New Roman" w:hAnsi="Times New Roman" w:eastAsia="宋体" w:cs="Times New Roman"/>
                      <w:color w:val="auto"/>
                      <w:sz w:val="18"/>
                      <w:szCs w:val="18"/>
                      <w:highlight w:val="none"/>
                      <w:vertAlign w:val="baseline"/>
                      <w:lang w:val="en-US" w:eastAsia="zh-CN"/>
                    </w:rPr>
                  </w:pPr>
                </w:p>
              </w:tc>
              <w:tc>
                <w:tcPr>
                  <w:tcW w:w="531" w:type="pct"/>
                  <w:vMerge w:val="continue"/>
                  <w:vAlign w:val="center"/>
                </w:tcPr>
                <w:p w14:paraId="26521780">
                  <w:pPr>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outlineLvl w:val="9"/>
                    <w:rPr>
                      <w:rFonts w:hint="default" w:ascii="Times New Roman" w:hAnsi="Times New Roman" w:eastAsia="宋体" w:cs="Times New Roman"/>
                      <w:color w:val="auto"/>
                      <w:sz w:val="18"/>
                      <w:szCs w:val="18"/>
                      <w:highlight w:val="none"/>
                      <w:vertAlign w:val="baseline"/>
                      <w:lang w:val="en-US" w:eastAsia="zh-CN"/>
                    </w:rPr>
                  </w:pPr>
                </w:p>
              </w:tc>
            </w:tr>
          </w:tbl>
          <w:p w14:paraId="550375EA">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综上所述，本项目采取的废气治理措施可行。</w:t>
            </w:r>
          </w:p>
          <w:p w14:paraId="3029E6EC">
            <w:pPr>
              <w:keepNext w:val="0"/>
              <w:keepLines w:val="0"/>
              <w:pageBreakBefore w:val="0"/>
              <w:widowControl w:val="0"/>
              <w:kinsoku/>
              <w:wordWrap/>
              <w:overflowPunct/>
              <w:topLinePunct w:val="0"/>
              <w:autoSpaceDE/>
              <w:autoSpaceDN/>
              <w:bidi w:val="0"/>
              <w:adjustRightInd/>
              <w:snapToGrid/>
              <w:spacing w:after="0" w:line="460" w:lineRule="exact"/>
              <w:ind w:firstLine="482" w:firstLineChars="200"/>
              <w:textAlignment w:val="auto"/>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4.2.3环境影响分析</w:t>
            </w:r>
          </w:p>
          <w:p w14:paraId="45A46855">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rFonts w:hint="default"/>
                <w:color w:val="auto"/>
                <w:lang w:eastAsia="zh-CN"/>
              </w:rPr>
            </w:pPr>
            <w:r>
              <w:rPr>
                <w:rFonts w:hint="eastAsia" w:ascii="Times New Roman" w:hAnsi="Times New Roman" w:eastAsia="宋体" w:cs="Times New Roman"/>
                <w:color w:val="auto"/>
                <w:highlight w:val="none"/>
                <w:lang w:val="en-US" w:eastAsia="zh-CN"/>
              </w:rPr>
              <w:t>项目边界向外延伸500m范围内涉及的主要大气环境保护目标</w:t>
            </w:r>
            <w:r>
              <w:rPr>
                <w:rFonts w:hint="eastAsia"/>
                <w:color w:val="auto"/>
                <w:highlight w:val="none"/>
                <w:lang w:val="en-US" w:eastAsia="zh-CN"/>
              </w:rPr>
              <w:t>为</w:t>
            </w:r>
            <w:r>
              <w:rPr>
                <w:rFonts w:hint="eastAsia" w:ascii="Times New Roman" w:hAnsi="Times New Roman" w:eastAsia="宋体" w:cs="Times New Roman"/>
                <w:color w:val="auto"/>
                <w:highlight w:val="none"/>
                <w:lang w:val="en-US" w:eastAsia="zh-CN"/>
              </w:rPr>
              <w:t>风景名胜区</w:t>
            </w:r>
            <w:r>
              <w:rPr>
                <w:rFonts w:hint="eastAsia" w:cs="Times New Roman"/>
                <w:color w:val="auto"/>
                <w:highlight w:val="none"/>
                <w:lang w:val="en-US" w:eastAsia="zh-CN"/>
              </w:rPr>
              <w:t>、</w:t>
            </w:r>
            <w:r>
              <w:rPr>
                <w:rFonts w:hint="eastAsia"/>
                <w:color w:val="auto"/>
                <w:highlight w:val="none"/>
                <w:lang w:val="en-US" w:eastAsia="zh-CN"/>
              </w:rPr>
              <w:t>周边村庄和居民区</w:t>
            </w:r>
            <w:r>
              <w:rPr>
                <w:rFonts w:hint="eastAsia"/>
                <w:color w:val="auto"/>
                <w:lang w:val="en-US" w:eastAsia="zh-CN"/>
              </w:rPr>
              <w:t>，本项目采取的防治措施有：</w:t>
            </w:r>
            <w:r>
              <w:rPr>
                <w:rFonts w:hint="eastAsia" w:ascii="Times New Roman" w:hAnsi="Times New Roman" w:eastAsia="宋体" w:cs="Times New Roman"/>
                <w:color w:val="auto"/>
                <w:lang w:val="en-US" w:eastAsia="zh-CN"/>
              </w:rPr>
              <w:t>物料运输采用全封闭皮带输送廊道，在落料、输送转载点设置喷雾洒水装置</w:t>
            </w:r>
            <w:r>
              <w:rPr>
                <w:rFonts w:hint="eastAsia"/>
                <w:color w:val="auto"/>
                <w:lang w:eastAsia="zh-CN"/>
              </w:rPr>
              <w:t>；</w:t>
            </w:r>
            <w:r>
              <w:rPr>
                <w:rFonts w:hint="default"/>
                <w:color w:val="auto"/>
              </w:rPr>
              <w:t>中煤、</w:t>
            </w:r>
            <w:r>
              <w:rPr>
                <w:rFonts w:hint="eastAsia"/>
                <w:color w:val="auto"/>
                <w:lang w:eastAsia="zh-CN"/>
              </w:rPr>
              <w:t>精煤、</w:t>
            </w:r>
            <w:r>
              <w:rPr>
                <w:rFonts w:hint="default"/>
                <w:color w:val="auto"/>
              </w:rPr>
              <w:t>矸石堆棚采取地面硬化措施，为全封闭结构并采取洒水喷淋等措施</w:t>
            </w:r>
            <w:r>
              <w:rPr>
                <w:rFonts w:hint="eastAsia"/>
                <w:color w:val="auto"/>
                <w:lang w:val="en-US" w:eastAsia="zh-CN"/>
              </w:rPr>
              <w:t>；车辆运输道路及厂内全部硬化，</w:t>
            </w:r>
            <w:r>
              <w:rPr>
                <w:rFonts w:hint="default"/>
                <w:color w:val="auto"/>
              </w:rPr>
              <w:t>同时对厂区地面进行硬化，并定时对路面进行洒水，同时企业加强管理，禁止车辆超载、超速。在认真落实上述措施的基础上，</w:t>
            </w:r>
            <w:r>
              <w:rPr>
                <w:rFonts w:hint="eastAsia"/>
                <w:color w:val="auto"/>
                <w:lang w:eastAsia="zh-CN"/>
              </w:rPr>
              <w:t>颗粒物</w:t>
            </w:r>
            <w:r>
              <w:rPr>
                <w:rFonts w:hint="default"/>
                <w:color w:val="auto"/>
              </w:rPr>
              <w:t>排放可以满足《煤炭工业污染物排放标准》（GB20426-2006）标准要求</w:t>
            </w:r>
            <w:r>
              <w:rPr>
                <w:rFonts w:hint="default"/>
                <w:color w:val="auto"/>
                <w:lang w:eastAsia="zh-CN"/>
              </w:rPr>
              <w:t>。</w:t>
            </w:r>
          </w:p>
          <w:p w14:paraId="3949E819">
            <w:pPr>
              <w:keepNext w:val="0"/>
              <w:keepLines w:val="0"/>
              <w:pageBreakBefore w:val="0"/>
              <w:widowControl w:val="0"/>
              <w:kinsoku/>
              <w:wordWrap/>
              <w:overflowPunct/>
              <w:topLinePunct w:val="0"/>
              <w:autoSpaceDE/>
              <w:autoSpaceDN/>
              <w:bidi w:val="0"/>
              <w:adjustRightInd/>
              <w:snapToGrid/>
              <w:spacing w:after="0" w:line="460" w:lineRule="exact"/>
              <w:ind w:firstLine="480" w:firstLineChars="200"/>
              <w:textAlignment w:val="auto"/>
              <w:rPr>
                <w:rFonts w:hint="eastAsia"/>
                <w:color w:val="auto"/>
                <w:lang w:val="en-US" w:eastAsia="zh-CN"/>
              </w:rPr>
            </w:pPr>
            <w:r>
              <w:rPr>
                <w:rFonts w:hint="default"/>
                <w:color w:val="auto"/>
              </w:rPr>
              <w:t>通过采取以上措施，各大气环境污染物均可达标排放，对周围环境影响较小，不会改变区域环境空气质量，</w:t>
            </w:r>
            <w:r>
              <w:rPr>
                <w:rFonts w:hint="eastAsia"/>
                <w:color w:val="auto"/>
                <w:lang w:eastAsia="zh-CN"/>
              </w:rPr>
              <w:t>项目周边</w:t>
            </w:r>
            <w:r>
              <w:rPr>
                <w:rFonts w:hint="default"/>
                <w:color w:val="auto"/>
              </w:rPr>
              <w:t>环境空气质量</w:t>
            </w:r>
            <w:r>
              <w:rPr>
                <w:rFonts w:hint="eastAsia"/>
                <w:color w:val="auto"/>
                <w:lang w:eastAsia="zh-CN"/>
              </w:rPr>
              <w:t>均</w:t>
            </w:r>
            <w:r>
              <w:rPr>
                <w:rFonts w:hint="default"/>
                <w:color w:val="auto"/>
              </w:rPr>
              <w:t>能够满足</w:t>
            </w:r>
            <w:r>
              <w:rPr>
                <w:rFonts w:hint="eastAsia"/>
                <w:color w:val="auto"/>
                <w:lang w:eastAsia="zh-CN"/>
              </w:rPr>
              <w:t>相关</w:t>
            </w:r>
            <w:r>
              <w:rPr>
                <w:rFonts w:hint="default"/>
                <w:color w:val="auto"/>
              </w:rPr>
              <w:t>标准限值要求，项目建设对</w:t>
            </w:r>
            <w:r>
              <w:rPr>
                <w:rFonts w:hint="eastAsia"/>
                <w:color w:val="auto"/>
                <w:lang w:eastAsia="zh-CN"/>
              </w:rPr>
              <w:t>周边</w:t>
            </w:r>
            <w:r>
              <w:rPr>
                <w:rFonts w:hint="default"/>
                <w:color w:val="auto"/>
              </w:rPr>
              <w:t>环境影响较小。</w:t>
            </w:r>
          </w:p>
          <w:p w14:paraId="63918D06">
            <w:pPr>
              <w:pStyle w:val="180"/>
              <w:ind w:firstLine="482"/>
              <w:rPr>
                <w:color w:val="auto"/>
              </w:rPr>
            </w:pPr>
            <w:r>
              <w:rPr>
                <w:color w:val="auto"/>
              </w:rPr>
              <w:t>4.2.</w:t>
            </w:r>
            <w:r>
              <w:rPr>
                <w:rFonts w:hint="eastAsia" w:eastAsiaTheme="minorEastAsia"/>
                <w:color w:val="auto"/>
                <w:lang w:val="en-US" w:eastAsia="zh-CN"/>
              </w:rPr>
              <w:t>4</w:t>
            </w:r>
            <w:r>
              <w:rPr>
                <w:color w:val="auto"/>
              </w:rPr>
              <w:t xml:space="preserve"> </w:t>
            </w:r>
            <w:r>
              <w:rPr>
                <w:rFonts w:hint="eastAsia"/>
                <w:color w:val="auto"/>
                <w:lang w:eastAsia="zh-CN"/>
              </w:rPr>
              <w:t>废气</w:t>
            </w:r>
            <w:r>
              <w:rPr>
                <w:rFonts w:hint="eastAsia" w:ascii="宋体" w:hAnsi="宋体" w:cs="宋体"/>
                <w:color w:val="auto"/>
              </w:rPr>
              <w:t>监测计划</w:t>
            </w:r>
          </w:p>
          <w:p w14:paraId="33594788">
            <w:pPr>
              <w:pStyle w:val="181"/>
              <w:keepNext w:val="0"/>
              <w:keepLines w:val="0"/>
              <w:pageBreakBefore w:val="0"/>
              <w:widowControl/>
              <w:kinsoku/>
              <w:wordWrap/>
              <w:overflowPunct/>
              <w:topLinePunct w:val="0"/>
              <w:autoSpaceDE/>
              <w:autoSpaceDN/>
              <w:bidi w:val="0"/>
              <w:adjustRightInd/>
              <w:snapToGrid/>
              <w:ind w:firstLine="480"/>
              <w:textAlignment w:val="auto"/>
              <w:rPr>
                <w:rFonts w:hint="eastAsia" w:ascii="Times New Roman" w:hAnsi="Times New Roman" w:eastAsia="宋体" w:cs="Times New Roman"/>
                <w:color w:val="auto"/>
                <w:sz w:val="24"/>
                <w:lang w:val="en-US" w:eastAsia="zh-CN" w:bidi="ar-SA"/>
              </w:rPr>
            </w:pPr>
            <w:r>
              <w:rPr>
                <w:rFonts w:hint="eastAsia" w:ascii="Times New Roman" w:hAnsi="Times New Roman" w:eastAsia="宋体" w:cs="Times New Roman"/>
                <w:color w:val="auto"/>
                <w:sz w:val="24"/>
                <w:lang w:val="en-US" w:eastAsia="zh-CN" w:bidi="ar-SA"/>
              </w:rPr>
              <w:t>对照</w:t>
            </w:r>
            <w:r>
              <w:rPr>
                <w:rFonts w:hint="default" w:ascii="Times New Roman" w:hAnsi="Times New Roman" w:eastAsia="宋体" w:cs="Times New Roman"/>
                <w:color w:val="auto"/>
                <w:sz w:val="24"/>
                <w:lang w:val="en-US" w:eastAsia="zh-CN" w:bidi="ar-SA"/>
              </w:rPr>
              <w:t>《排污单位自行监测技术指南总则》（HJ819-2017）</w:t>
            </w:r>
            <w:r>
              <w:rPr>
                <w:rFonts w:hint="eastAsia" w:ascii="Times New Roman" w:hAnsi="Times New Roman" w:eastAsia="宋体" w:cs="Times New Roman"/>
                <w:color w:val="auto"/>
                <w:sz w:val="24"/>
                <w:lang w:val="en-US" w:eastAsia="zh-CN" w:bidi="ar-SA"/>
              </w:rPr>
              <w:t>中相关监测要求，本项目废气监测要求如下表。</w:t>
            </w:r>
          </w:p>
          <w:p w14:paraId="0EE21EA3">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4</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2</w:t>
            </w:r>
            <w:r>
              <w:rPr>
                <w:color w:val="auto"/>
              </w:rPr>
              <w:fldChar w:fldCharType="end"/>
            </w:r>
            <w:r>
              <w:rPr>
                <w:color w:val="auto"/>
              </w:rPr>
              <w:t xml:space="preserve"> </w:t>
            </w:r>
            <w:r>
              <w:rPr>
                <w:rFonts w:hint="eastAsia"/>
                <w:color w:val="auto"/>
                <w:lang w:eastAsia="zh-CN"/>
              </w:rPr>
              <w:t>项目运营期废气监测计划一览表</w:t>
            </w:r>
          </w:p>
          <w:tbl>
            <w:tblPr>
              <w:tblStyle w:val="53"/>
              <w:tblpPr w:leftFromText="180" w:rightFromText="180" w:vertAnchor="text" w:tblpXSpec="center" w:tblpY="1"/>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88"/>
              <w:gridCol w:w="1934"/>
              <w:gridCol w:w="885"/>
              <w:gridCol w:w="1114"/>
              <w:gridCol w:w="3912"/>
            </w:tblGrid>
            <w:tr w14:paraId="5CFC2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293" w:type="pct"/>
                  <w:vAlign w:val="center"/>
                </w:tcPr>
                <w:p w14:paraId="04F5D99C">
                  <w:pPr>
                    <w:pStyle w:val="287"/>
                    <w:framePr w:hSpace="0" w:wrap="auto" w:vAnchor="margin" w:hAnchor="text" w:xAlign="left" w:yAlign="inline"/>
                    <w:rPr>
                      <w:color w:val="auto"/>
                    </w:rPr>
                  </w:pPr>
                  <w:r>
                    <w:rPr>
                      <w:color w:val="auto"/>
                    </w:rPr>
                    <w:t>序号</w:t>
                  </w:r>
                </w:p>
              </w:tc>
              <w:tc>
                <w:tcPr>
                  <w:tcW w:w="1160" w:type="pct"/>
                  <w:vAlign w:val="center"/>
                </w:tcPr>
                <w:p w14:paraId="790B2388">
                  <w:pPr>
                    <w:pStyle w:val="287"/>
                    <w:framePr w:hSpace="0" w:wrap="auto" w:vAnchor="margin" w:hAnchor="text" w:xAlign="left" w:yAlign="inline"/>
                    <w:rPr>
                      <w:color w:val="auto"/>
                    </w:rPr>
                  </w:pPr>
                  <w:r>
                    <w:rPr>
                      <w:color w:val="auto"/>
                    </w:rPr>
                    <w:t>监测点位</w:t>
                  </w:r>
                </w:p>
              </w:tc>
              <w:tc>
                <w:tcPr>
                  <w:tcW w:w="531" w:type="pct"/>
                  <w:vAlign w:val="center"/>
                </w:tcPr>
                <w:p w14:paraId="3F91B35E">
                  <w:pPr>
                    <w:pStyle w:val="287"/>
                    <w:framePr w:hSpace="0" w:wrap="auto" w:vAnchor="margin" w:hAnchor="text" w:xAlign="left" w:yAlign="inline"/>
                    <w:rPr>
                      <w:rFonts w:hint="eastAsia" w:eastAsia="宋体"/>
                      <w:color w:val="auto"/>
                      <w:lang w:eastAsia="zh-CN"/>
                    </w:rPr>
                  </w:pPr>
                  <w:r>
                    <w:rPr>
                      <w:rFonts w:hint="eastAsia"/>
                      <w:color w:val="auto"/>
                      <w:lang w:eastAsia="zh-CN"/>
                    </w:rPr>
                    <w:t>监测指标</w:t>
                  </w:r>
                </w:p>
              </w:tc>
              <w:tc>
                <w:tcPr>
                  <w:tcW w:w="668" w:type="pct"/>
                  <w:vAlign w:val="center"/>
                </w:tcPr>
                <w:p w14:paraId="2453238C">
                  <w:pPr>
                    <w:pStyle w:val="287"/>
                    <w:framePr w:hSpace="0" w:wrap="auto" w:vAnchor="margin" w:hAnchor="text" w:xAlign="left" w:yAlign="inline"/>
                    <w:rPr>
                      <w:color w:val="auto"/>
                    </w:rPr>
                  </w:pPr>
                  <w:r>
                    <w:rPr>
                      <w:color w:val="auto"/>
                    </w:rPr>
                    <w:t>监测频次</w:t>
                  </w:r>
                </w:p>
              </w:tc>
              <w:tc>
                <w:tcPr>
                  <w:tcW w:w="2346" w:type="pct"/>
                  <w:vAlign w:val="center"/>
                </w:tcPr>
                <w:p w14:paraId="7C89CDF4">
                  <w:pPr>
                    <w:pStyle w:val="287"/>
                    <w:framePr w:hSpace="0" w:wrap="auto" w:vAnchor="margin" w:hAnchor="text" w:xAlign="left" w:yAlign="inline"/>
                    <w:rPr>
                      <w:color w:val="auto"/>
                    </w:rPr>
                  </w:pPr>
                  <w:r>
                    <w:rPr>
                      <w:color w:val="auto"/>
                    </w:rPr>
                    <w:t>执行标准</w:t>
                  </w:r>
                </w:p>
              </w:tc>
            </w:tr>
            <w:tr w14:paraId="1654D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293" w:type="pct"/>
                  <w:vAlign w:val="center"/>
                </w:tcPr>
                <w:p w14:paraId="05775980">
                  <w:pPr>
                    <w:pStyle w:val="287"/>
                    <w:framePr w:hSpace="0" w:wrap="auto" w:vAnchor="margin" w:hAnchor="text" w:xAlign="left" w:yAlign="inline"/>
                    <w:rPr>
                      <w:rFonts w:hint="eastAsia" w:eastAsia="宋体"/>
                      <w:color w:val="auto"/>
                      <w:lang w:eastAsia="zh-CN"/>
                    </w:rPr>
                  </w:pPr>
                  <w:r>
                    <w:rPr>
                      <w:rFonts w:hint="eastAsia"/>
                      <w:color w:val="auto"/>
                      <w:lang w:val="en-US" w:eastAsia="zh-CN"/>
                    </w:rPr>
                    <w:t>1</w:t>
                  </w:r>
                </w:p>
              </w:tc>
              <w:tc>
                <w:tcPr>
                  <w:tcW w:w="1160" w:type="pct"/>
                  <w:vAlign w:val="center"/>
                </w:tcPr>
                <w:p w14:paraId="0D542DBC">
                  <w:pPr>
                    <w:pStyle w:val="287"/>
                    <w:framePr w:hSpace="0" w:wrap="auto" w:vAnchor="margin" w:hAnchor="text" w:xAlign="left" w:yAlign="inline"/>
                    <w:rPr>
                      <w:color w:val="auto"/>
                    </w:rPr>
                  </w:pPr>
                  <w:r>
                    <w:rPr>
                      <w:rFonts w:hint="eastAsia" w:ascii="Times New Roman" w:hAnsi="Times New Roman" w:eastAsia="宋体" w:cs="Times New Roman"/>
                      <w:color w:val="auto"/>
                      <w:sz w:val="18"/>
                      <w:szCs w:val="18"/>
                      <w:highlight w:val="none"/>
                      <w:lang w:eastAsia="zh-CN"/>
                    </w:rPr>
                    <w:t>厂界</w:t>
                  </w:r>
                  <w:r>
                    <w:rPr>
                      <w:rFonts w:hint="default" w:ascii="Times New Roman" w:hAnsi="Times New Roman" w:eastAsia="宋体" w:cs="Times New Roman"/>
                      <w:color w:val="auto"/>
                      <w:sz w:val="18"/>
                      <w:szCs w:val="18"/>
                      <w:highlight w:val="none"/>
                    </w:rPr>
                    <w:t>上风向1个参照点，下风向</w:t>
                  </w:r>
                  <w:r>
                    <w:rPr>
                      <w:rFonts w:hint="eastAsia" w:ascii="Times New Roman" w:hAnsi="Times New Roman" w:eastAsia="宋体" w:cs="Times New Roman"/>
                      <w:color w:val="auto"/>
                      <w:sz w:val="18"/>
                      <w:szCs w:val="18"/>
                      <w:highlight w:val="none"/>
                      <w:lang w:val="en-US" w:eastAsia="zh-CN"/>
                    </w:rPr>
                    <w:t>4个</w:t>
                  </w:r>
                  <w:r>
                    <w:rPr>
                      <w:rFonts w:hint="default" w:ascii="Times New Roman" w:hAnsi="Times New Roman" w:eastAsia="宋体" w:cs="Times New Roman"/>
                      <w:color w:val="auto"/>
                      <w:sz w:val="18"/>
                      <w:szCs w:val="18"/>
                      <w:highlight w:val="none"/>
                    </w:rPr>
                    <w:t>监控点</w:t>
                  </w:r>
                </w:p>
              </w:tc>
              <w:tc>
                <w:tcPr>
                  <w:tcW w:w="531" w:type="pct"/>
                  <w:vAlign w:val="center"/>
                </w:tcPr>
                <w:p w14:paraId="6FA786AE">
                  <w:pPr>
                    <w:pStyle w:val="287"/>
                    <w:framePr w:hSpace="0" w:wrap="auto" w:vAnchor="margin" w:hAnchor="text" w:xAlign="left" w:yAlign="inline"/>
                    <w:rPr>
                      <w:color w:val="auto"/>
                    </w:rPr>
                  </w:pPr>
                  <w:r>
                    <w:rPr>
                      <w:color w:val="auto"/>
                    </w:rPr>
                    <w:t>颗粒物</w:t>
                  </w:r>
                </w:p>
              </w:tc>
              <w:tc>
                <w:tcPr>
                  <w:tcW w:w="668" w:type="pct"/>
                  <w:vAlign w:val="center"/>
                </w:tcPr>
                <w:p w14:paraId="43BCB7E0">
                  <w:pPr>
                    <w:pStyle w:val="287"/>
                    <w:framePr w:hSpace="0" w:wrap="auto" w:vAnchor="margin" w:hAnchor="text" w:xAlign="left" w:yAlign="inline"/>
                    <w:rPr>
                      <w:color w:val="auto"/>
                    </w:rPr>
                  </w:pPr>
                  <w:r>
                    <w:rPr>
                      <w:color w:val="auto"/>
                    </w:rPr>
                    <w:t>1次/年</w:t>
                  </w:r>
                </w:p>
              </w:tc>
              <w:tc>
                <w:tcPr>
                  <w:tcW w:w="2346" w:type="pct"/>
                  <w:vAlign w:val="center"/>
                </w:tcPr>
                <w:p w14:paraId="5C3AE284">
                  <w:pPr>
                    <w:pStyle w:val="287"/>
                    <w:framePr w:hSpace="0" w:wrap="auto" w:vAnchor="margin" w:hAnchor="text" w:xAlign="left" w:yAlign="inline"/>
                    <w:rPr>
                      <w:color w:val="auto"/>
                    </w:rPr>
                  </w:pPr>
                  <w:r>
                    <w:rPr>
                      <w:rFonts w:hint="default" w:ascii="Times New Roman" w:hAnsi="Times New Roman" w:eastAsia="宋体" w:cs="Times New Roman"/>
                      <w:color w:val="auto"/>
                      <w:sz w:val="18"/>
                      <w:szCs w:val="18"/>
                      <w:highlight w:val="none"/>
                    </w:rPr>
                    <w:t>《煤炭工业污染物排放标准》（GB20426-2006）表5中标准</w:t>
                  </w:r>
                </w:p>
              </w:tc>
            </w:tr>
          </w:tbl>
          <w:p w14:paraId="61A2CAD0">
            <w:pPr>
              <w:keepNext w:val="0"/>
              <w:keepLines w:val="0"/>
              <w:pageBreakBefore w:val="0"/>
              <w:widowControl w:val="0"/>
              <w:kinsoku/>
              <w:wordWrap/>
              <w:overflowPunct/>
              <w:topLinePunct w:val="0"/>
              <w:autoSpaceDE/>
              <w:autoSpaceDN/>
              <w:bidi w:val="0"/>
              <w:adjustRightInd/>
              <w:snapToGrid/>
              <w:spacing w:after="0" w:line="460" w:lineRule="exact"/>
              <w:textAlignment w:val="auto"/>
              <w:rPr>
                <w:b/>
                <w:bCs/>
                <w:color w:val="auto"/>
                <w:kern w:val="2"/>
                <w:szCs w:val="24"/>
              </w:rPr>
            </w:pPr>
            <w:r>
              <w:rPr>
                <w:b/>
                <w:bCs/>
                <w:color w:val="auto"/>
                <w:kern w:val="2"/>
                <w:szCs w:val="24"/>
              </w:rPr>
              <w:t>4.3废水</w:t>
            </w:r>
          </w:p>
          <w:p w14:paraId="5A39EB84">
            <w:pPr>
              <w:keepNext w:val="0"/>
              <w:keepLines w:val="0"/>
              <w:pageBreakBefore w:val="0"/>
              <w:widowControl w:val="0"/>
              <w:kinsoku/>
              <w:wordWrap/>
              <w:overflowPunct/>
              <w:topLinePunct w:val="0"/>
              <w:autoSpaceDE/>
              <w:autoSpaceDN/>
              <w:bidi w:val="0"/>
              <w:adjustRightInd/>
              <w:snapToGrid/>
              <w:spacing w:after="0" w:line="460" w:lineRule="exact"/>
              <w:ind w:firstLine="482" w:firstLineChars="200"/>
              <w:textAlignment w:val="auto"/>
              <w:rPr>
                <w:b/>
                <w:bCs/>
                <w:color w:val="auto"/>
                <w:kern w:val="2"/>
                <w:szCs w:val="24"/>
              </w:rPr>
            </w:pPr>
            <w:r>
              <w:rPr>
                <w:b/>
                <w:bCs/>
                <w:color w:val="auto"/>
                <w:kern w:val="2"/>
                <w:szCs w:val="24"/>
              </w:rPr>
              <w:t>4.3.1</w:t>
            </w:r>
            <w:r>
              <w:rPr>
                <w:rFonts w:hint="eastAsia"/>
                <w:b/>
                <w:bCs/>
                <w:color w:val="auto"/>
                <w:kern w:val="2"/>
                <w:szCs w:val="24"/>
              </w:rPr>
              <w:t>废水污染源强</w:t>
            </w:r>
          </w:p>
          <w:p w14:paraId="7A0B2713">
            <w:pPr>
              <w:keepNext w:val="0"/>
              <w:keepLines w:val="0"/>
              <w:pageBreakBefore w:val="0"/>
              <w:widowControl/>
              <w:suppressLineNumbers w:val="0"/>
              <w:kinsoku/>
              <w:wordWrap/>
              <w:overflowPunct/>
              <w:topLinePunct w:val="0"/>
              <w:autoSpaceDE/>
              <w:autoSpaceDN/>
              <w:bidi w:val="0"/>
              <w:adjustRightInd/>
              <w:snapToGrid/>
              <w:spacing w:after="0" w:line="460" w:lineRule="exact"/>
              <w:ind w:left="0" w:right="0" w:firstLine="480" w:firstLineChars="200"/>
              <w:jc w:val="both"/>
              <w:textAlignment w:val="auto"/>
              <w:rPr>
                <w:rFonts w:hint="default" w:ascii="Times New Roman" w:hAnsi="Times New Roman" w:eastAsia="宋体" w:cs="Times New Roman"/>
                <w:color w:val="auto"/>
                <w:kern w:val="2"/>
                <w:sz w:val="24"/>
                <w:szCs w:val="24"/>
                <w:lang w:val="en-US" w:eastAsia="zh-CN"/>
              </w:rPr>
            </w:pPr>
            <w:r>
              <w:rPr>
                <w:rFonts w:hint="default" w:ascii="Times New Roman" w:hAnsi="Times New Roman" w:eastAsia="宋体" w:cs="Times New Roman"/>
                <w:color w:val="auto"/>
                <w:kern w:val="2"/>
                <w:sz w:val="24"/>
                <w:szCs w:val="24"/>
                <w:lang w:val="en-US" w:eastAsia="zh-CN"/>
              </w:rPr>
              <w:t>本项目运营期产生的废水主要为生产废水、</w:t>
            </w:r>
            <w:r>
              <w:rPr>
                <w:rFonts w:hint="eastAsia" w:cs="Times New Roman"/>
                <w:color w:val="auto"/>
                <w:kern w:val="2"/>
                <w:sz w:val="24"/>
                <w:szCs w:val="24"/>
                <w:lang w:val="en-US" w:eastAsia="zh-CN"/>
              </w:rPr>
              <w:t>生活污水</w:t>
            </w:r>
            <w:r>
              <w:rPr>
                <w:rFonts w:hint="default" w:ascii="Times New Roman" w:hAnsi="Times New Roman" w:eastAsia="宋体" w:cs="Times New Roman"/>
                <w:color w:val="auto"/>
                <w:kern w:val="2"/>
                <w:sz w:val="24"/>
                <w:szCs w:val="24"/>
                <w:lang w:val="en-US" w:eastAsia="zh-CN"/>
              </w:rPr>
              <w:t>和初期雨水。其中生产废水包括洗煤废水、</w:t>
            </w:r>
            <w:r>
              <w:rPr>
                <w:rFonts w:hint="eastAsia" w:cs="Times New Roman"/>
                <w:color w:val="auto"/>
                <w:kern w:val="2"/>
                <w:sz w:val="24"/>
                <w:szCs w:val="24"/>
                <w:lang w:val="en-US" w:eastAsia="zh-CN"/>
              </w:rPr>
              <w:t>洒水抑尘废水</w:t>
            </w:r>
            <w:r>
              <w:rPr>
                <w:rFonts w:hint="default" w:ascii="Times New Roman" w:hAnsi="Times New Roman" w:eastAsia="宋体" w:cs="Times New Roman"/>
                <w:color w:val="auto"/>
                <w:kern w:val="2"/>
                <w:sz w:val="24"/>
                <w:szCs w:val="24"/>
                <w:lang w:val="en-US" w:eastAsia="zh-CN"/>
              </w:rPr>
              <w:t>，</w:t>
            </w:r>
            <w:r>
              <w:rPr>
                <w:rFonts w:hint="default" w:ascii="Times New Roman" w:hAnsi="Times New Roman" w:eastAsia="宋体" w:cs="Times New Roman"/>
                <w:color w:val="auto"/>
                <w:kern w:val="0"/>
                <w:sz w:val="24"/>
                <w:szCs w:val="24"/>
                <w:lang w:val="en-US" w:eastAsia="zh-CN" w:bidi="ar"/>
              </w:rPr>
              <w:t>污染物以SS为主；</w:t>
            </w:r>
            <w:r>
              <w:rPr>
                <w:rFonts w:hint="default" w:ascii="Times New Roman" w:hAnsi="Times New Roman" w:eastAsia="宋体" w:cs="Times New Roman"/>
                <w:color w:val="auto"/>
                <w:kern w:val="2"/>
                <w:sz w:val="24"/>
                <w:szCs w:val="24"/>
                <w:lang w:val="en-US" w:eastAsia="zh-CN"/>
              </w:rPr>
              <w:t>生活污水污染物以SS、COD、BOD</w:t>
            </w:r>
            <w:r>
              <w:rPr>
                <w:rFonts w:hint="default" w:ascii="Times New Roman" w:hAnsi="Times New Roman" w:eastAsia="宋体" w:cs="Times New Roman"/>
                <w:color w:val="auto"/>
                <w:kern w:val="2"/>
                <w:sz w:val="24"/>
                <w:szCs w:val="24"/>
                <w:vertAlign w:val="subscript"/>
                <w:lang w:val="en-US" w:eastAsia="zh-CN"/>
              </w:rPr>
              <w:t>5</w:t>
            </w:r>
            <w:r>
              <w:rPr>
                <w:rFonts w:hint="default" w:ascii="Times New Roman" w:hAnsi="Times New Roman" w:eastAsia="宋体" w:cs="Times New Roman"/>
                <w:color w:val="auto"/>
                <w:kern w:val="2"/>
                <w:sz w:val="24"/>
                <w:szCs w:val="24"/>
                <w:lang w:val="en-US" w:eastAsia="zh-CN"/>
              </w:rPr>
              <w:t>、氨氮等为主</w:t>
            </w:r>
            <w:r>
              <w:rPr>
                <w:rFonts w:hint="eastAsia" w:cs="Times New Roman"/>
                <w:color w:val="auto"/>
                <w:kern w:val="2"/>
                <w:sz w:val="24"/>
                <w:szCs w:val="24"/>
                <w:lang w:val="en-US" w:eastAsia="zh-CN"/>
              </w:rPr>
              <w:t>；初期雨水污染物以</w:t>
            </w:r>
            <w:r>
              <w:rPr>
                <w:rFonts w:hint="default" w:ascii="Times New Roman" w:hAnsi="Times New Roman" w:eastAsia="宋体" w:cs="Times New Roman"/>
                <w:color w:val="auto"/>
                <w:kern w:val="2"/>
                <w:sz w:val="24"/>
                <w:szCs w:val="24"/>
                <w:lang w:val="en-US" w:eastAsia="zh-CN"/>
              </w:rPr>
              <w:t>COD、氨氮、SS</w:t>
            </w:r>
            <w:r>
              <w:rPr>
                <w:rFonts w:hint="eastAsia" w:ascii="Times New Roman" w:hAnsi="Times New Roman" w:eastAsia="宋体" w:cs="Times New Roman"/>
                <w:color w:val="auto"/>
                <w:kern w:val="2"/>
                <w:sz w:val="24"/>
                <w:szCs w:val="24"/>
                <w:lang w:val="en-US" w:eastAsia="zh-CN"/>
              </w:rPr>
              <w:t>为主</w:t>
            </w:r>
            <w:r>
              <w:rPr>
                <w:rFonts w:hint="default" w:ascii="Times New Roman" w:hAnsi="Times New Roman" w:eastAsia="宋体" w:cs="Times New Roman"/>
                <w:color w:val="auto"/>
                <w:kern w:val="2"/>
                <w:sz w:val="24"/>
                <w:szCs w:val="24"/>
                <w:lang w:val="en-US" w:eastAsia="zh-CN"/>
              </w:rPr>
              <w:t>。本项目运输车辆由淮南市八公山区</w:t>
            </w:r>
            <w:r>
              <w:rPr>
                <w:rFonts w:hint="default" w:ascii="Times New Roman" w:hAnsi="Times New Roman" w:eastAsia="宋体" w:cs="Times New Roman"/>
                <w:bCs/>
                <w:color w:val="auto"/>
                <w:sz w:val="24"/>
                <w:szCs w:val="24"/>
                <w:lang w:val="en-US" w:eastAsia="zh-CN"/>
              </w:rPr>
              <w:t>淮南</w:t>
            </w:r>
            <w:r>
              <w:rPr>
                <w:rFonts w:hint="default" w:ascii="Times New Roman" w:hAnsi="Times New Roman" w:eastAsia="宋体" w:cs="Times New Roman"/>
                <w:color w:val="auto"/>
                <w:sz w:val="24"/>
                <w:szCs w:val="24"/>
                <w:lang w:eastAsia="zh-CN"/>
              </w:rPr>
              <w:t>舜岳水泥有限责任公司</w:t>
            </w:r>
            <w:r>
              <w:rPr>
                <w:rFonts w:hint="default" w:ascii="Times New Roman" w:hAnsi="Times New Roman" w:eastAsia="宋体" w:cs="Times New Roman"/>
                <w:color w:val="auto"/>
                <w:kern w:val="2"/>
                <w:sz w:val="24"/>
                <w:szCs w:val="24"/>
                <w:lang w:val="en-US" w:eastAsia="zh-CN"/>
              </w:rPr>
              <w:t>调用，车辆冲洗</w:t>
            </w:r>
            <w:r>
              <w:rPr>
                <w:rFonts w:hint="eastAsia" w:cs="Times New Roman"/>
                <w:color w:val="auto"/>
                <w:kern w:val="2"/>
                <w:sz w:val="24"/>
                <w:szCs w:val="24"/>
                <w:lang w:val="en-US" w:eastAsia="zh-CN"/>
              </w:rPr>
              <w:t>依托</w:t>
            </w:r>
            <w:r>
              <w:rPr>
                <w:rFonts w:hint="default" w:ascii="Times New Roman" w:hAnsi="Times New Roman" w:eastAsia="宋体" w:cs="Times New Roman"/>
                <w:color w:val="auto"/>
                <w:kern w:val="2"/>
                <w:sz w:val="24"/>
                <w:szCs w:val="24"/>
                <w:lang w:val="en-US" w:eastAsia="zh-CN"/>
              </w:rPr>
              <w:t>舜岳水泥厂区</w:t>
            </w:r>
            <w:r>
              <w:rPr>
                <w:rFonts w:hint="eastAsia" w:cs="Times New Roman"/>
                <w:color w:val="auto"/>
                <w:kern w:val="2"/>
                <w:sz w:val="24"/>
                <w:szCs w:val="24"/>
                <w:lang w:val="en-US" w:eastAsia="zh-CN"/>
              </w:rPr>
              <w:t>出入口</w:t>
            </w:r>
            <w:r>
              <w:rPr>
                <w:rFonts w:hint="default" w:ascii="Times New Roman" w:hAnsi="Times New Roman" w:eastAsia="宋体" w:cs="Times New Roman"/>
                <w:color w:val="auto"/>
                <w:kern w:val="2"/>
                <w:sz w:val="24"/>
                <w:szCs w:val="24"/>
                <w:lang w:val="en-US" w:eastAsia="zh-CN"/>
              </w:rPr>
              <w:t>的洗车平台，无新增车辆冲洗用水。</w:t>
            </w:r>
            <w:r>
              <w:rPr>
                <w:rFonts w:hint="eastAsia" w:cs="Times New Roman"/>
                <w:color w:val="auto"/>
                <w:kern w:val="2"/>
                <w:sz w:val="24"/>
                <w:szCs w:val="24"/>
                <w:lang w:val="en-US" w:eastAsia="zh-CN"/>
              </w:rPr>
              <w:t>本项目厂区范围内不设置洗手池、卫生间等设施，职工生活污水依托</w:t>
            </w:r>
            <w:r>
              <w:rPr>
                <w:rFonts w:hint="eastAsia" w:cs="Times New Roman"/>
                <w:bCs/>
                <w:color w:val="auto"/>
                <w:lang w:val="en-US" w:eastAsia="zh-CN"/>
              </w:rPr>
              <w:t>淮南</w:t>
            </w:r>
            <w:r>
              <w:rPr>
                <w:rFonts w:hint="eastAsia"/>
                <w:color w:val="auto"/>
                <w:lang w:eastAsia="zh-CN"/>
              </w:rPr>
              <w:t>舜岳水泥有限责任公司</w:t>
            </w:r>
            <w:r>
              <w:rPr>
                <w:rFonts w:hint="eastAsia"/>
                <w:color w:val="auto"/>
                <w:kern w:val="2"/>
                <w:szCs w:val="24"/>
                <w:lang w:eastAsia="zh-CN"/>
              </w:rPr>
              <w:t>内现有</w:t>
            </w:r>
            <w:r>
              <w:rPr>
                <w:rFonts w:hint="eastAsia" w:cs="Times New Roman"/>
                <w:color w:val="auto"/>
                <w:kern w:val="2"/>
                <w:sz w:val="24"/>
                <w:szCs w:val="24"/>
                <w:lang w:val="en-US" w:eastAsia="zh-CN"/>
              </w:rPr>
              <w:t>化粪池处理后排放。</w:t>
            </w:r>
          </w:p>
          <w:p w14:paraId="623389A3">
            <w:pPr>
              <w:keepNext w:val="0"/>
              <w:keepLines w:val="0"/>
              <w:pageBreakBefore w:val="0"/>
              <w:kinsoku/>
              <w:wordWrap/>
              <w:overflowPunct/>
              <w:topLinePunct w:val="0"/>
              <w:autoSpaceDE/>
              <w:autoSpaceDN/>
              <w:bidi w:val="0"/>
              <w:adjustRightInd/>
              <w:snapToGrid/>
              <w:spacing w:after="0" w:line="460" w:lineRule="exact"/>
              <w:ind w:left="0" w:right="0" w:firstLine="480" w:firstLineChars="200"/>
              <w:jc w:val="both"/>
              <w:textAlignment w:val="auto"/>
              <w:rPr>
                <w:rFonts w:hint="default" w:ascii="Times New Roman" w:hAnsi="Times New Roman" w:eastAsia="宋体" w:cs="Times New Roman"/>
                <w:color w:val="auto"/>
                <w:kern w:val="2"/>
                <w:sz w:val="24"/>
                <w:szCs w:val="24"/>
                <w:lang w:val="en-US" w:eastAsia="zh-CN"/>
              </w:rPr>
            </w:pPr>
            <w:r>
              <w:rPr>
                <w:rFonts w:hint="default" w:ascii="Times New Roman" w:hAnsi="Times New Roman" w:eastAsia="宋体" w:cs="Times New Roman"/>
                <w:color w:val="auto"/>
                <w:kern w:val="2"/>
                <w:sz w:val="24"/>
                <w:szCs w:val="24"/>
                <w:lang w:val="en-US" w:eastAsia="zh-CN"/>
              </w:rPr>
              <w:t>1、生产废水</w:t>
            </w:r>
          </w:p>
          <w:p w14:paraId="6432354A">
            <w:pPr>
              <w:pStyle w:val="21"/>
              <w:keepNext w:val="0"/>
              <w:keepLines w:val="0"/>
              <w:pageBreakBefore w:val="0"/>
              <w:widowControl/>
              <w:kinsoku/>
              <w:wordWrap/>
              <w:overflowPunct/>
              <w:topLinePunct w:val="0"/>
              <w:autoSpaceDE/>
              <w:autoSpaceDN/>
              <w:bidi w:val="0"/>
              <w:adjustRightInd/>
              <w:snapToGrid/>
              <w:spacing w:before="0" w:after="0" w:line="460" w:lineRule="exact"/>
              <w:ind w:left="0" w:right="0" w:firstLine="480" w:firstLineChars="200"/>
              <w:jc w:val="both"/>
              <w:textAlignment w:val="auto"/>
              <w:rPr>
                <w:rFonts w:hint="default" w:ascii="Times New Roman" w:hAnsi="Times New Roman" w:eastAsia="宋体" w:cs="Times New Roman"/>
                <w:color w:val="auto"/>
                <w:kern w:val="2"/>
                <w:sz w:val="24"/>
                <w:szCs w:val="24"/>
                <w:lang w:val="en-US" w:eastAsia="zh-CN"/>
              </w:rPr>
            </w:pPr>
            <w:r>
              <w:rPr>
                <w:rFonts w:hint="default" w:ascii="Times New Roman" w:hAnsi="Times New Roman" w:eastAsia="宋体" w:cs="Times New Roman"/>
                <w:color w:val="auto"/>
                <w:sz w:val="24"/>
                <w:szCs w:val="24"/>
                <w:lang w:val="en-US" w:eastAsia="zh-CN"/>
              </w:rPr>
              <w:t>①</w:t>
            </w:r>
            <w:r>
              <w:rPr>
                <w:rFonts w:hint="default" w:ascii="Times New Roman" w:hAnsi="Times New Roman" w:eastAsia="宋体" w:cs="Times New Roman"/>
                <w:color w:val="auto"/>
                <w:kern w:val="2"/>
                <w:sz w:val="24"/>
                <w:szCs w:val="24"/>
                <w:lang w:val="en-US" w:eastAsia="zh-CN"/>
              </w:rPr>
              <w:t>洗煤废水</w:t>
            </w:r>
          </w:p>
          <w:p w14:paraId="7EF7C5A1">
            <w:pPr>
              <w:keepNext w:val="0"/>
              <w:keepLines w:val="0"/>
              <w:pageBreakBefore w:val="0"/>
              <w:widowControl/>
              <w:suppressLineNumbers w:val="0"/>
              <w:kinsoku/>
              <w:wordWrap/>
              <w:overflowPunct/>
              <w:topLinePunct w:val="0"/>
              <w:autoSpaceDE/>
              <w:autoSpaceDN/>
              <w:bidi w:val="0"/>
              <w:adjustRightInd/>
              <w:snapToGrid/>
              <w:spacing w:after="0" w:line="460" w:lineRule="exact"/>
              <w:ind w:left="0" w:right="0" w:firstLine="480" w:firstLineChars="200"/>
              <w:jc w:val="both"/>
              <w:textAlignment w:val="auto"/>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color w:val="auto"/>
                <w:kern w:val="0"/>
                <w:sz w:val="24"/>
                <w:szCs w:val="24"/>
                <w:lang w:val="en-US" w:eastAsia="zh-CN" w:bidi="ar"/>
              </w:rPr>
              <w:t>项目生产废水主要为</w:t>
            </w:r>
            <w:r>
              <w:rPr>
                <w:rFonts w:hint="eastAsia" w:ascii="Times New Roman" w:hAnsi="Times New Roman" w:eastAsia="宋体" w:cs="Times New Roman"/>
                <w:color w:val="auto"/>
                <w:kern w:val="0"/>
                <w:sz w:val="24"/>
                <w:szCs w:val="24"/>
                <w:lang w:val="en-US" w:eastAsia="zh-CN" w:bidi="ar"/>
              </w:rPr>
              <w:t>洗选</w:t>
            </w:r>
            <w:r>
              <w:rPr>
                <w:rFonts w:hint="default" w:ascii="Times New Roman" w:hAnsi="Times New Roman" w:eastAsia="宋体" w:cs="Times New Roman"/>
                <w:color w:val="auto"/>
                <w:kern w:val="0"/>
                <w:sz w:val="24"/>
                <w:szCs w:val="24"/>
                <w:lang w:val="en-US" w:eastAsia="zh-CN" w:bidi="ar"/>
              </w:rPr>
              <w:t>工序产生的</w:t>
            </w:r>
            <w:r>
              <w:rPr>
                <w:rFonts w:hint="eastAsia" w:ascii="Times New Roman" w:hAnsi="Times New Roman" w:eastAsia="宋体" w:cs="Times New Roman"/>
                <w:color w:val="auto"/>
                <w:kern w:val="0"/>
                <w:sz w:val="24"/>
                <w:szCs w:val="24"/>
                <w:lang w:val="en-US" w:eastAsia="zh-CN" w:bidi="ar"/>
              </w:rPr>
              <w:t>洗煤废水</w:t>
            </w:r>
            <w:r>
              <w:rPr>
                <w:rFonts w:hint="default" w:ascii="Times New Roman" w:hAnsi="Times New Roman" w:eastAsia="宋体" w:cs="Times New Roman"/>
                <w:color w:val="auto"/>
                <w:kern w:val="0"/>
                <w:sz w:val="24"/>
                <w:szCs w:val="24"/>
                <w:lang w:val="en-US" w:eastAsia="zh-CN" w:bidi="ar"/>
              </w:rPr>
              <w:t>，主要污染物为</w:t>
            </w:r>
            <w:r>
              <w:rPr>
                <w:rFonts w:hint="eastAsia" w:ascii="Times New Roman" w:hAnsi="Times New Roman" w:eastAsia="宋体" w:cs="Times New Roman"/>
                <w:color w:val="auto"/>
                <w:kern w:val="0"/>
                <w:sz w:val="24"/>
                <w:szCs w:val="24"/>
                <w:lang w:val="en-US" w:eastAsia="zh-CN" w:bidi="ar"/>
              </w:rPr>
              <w:t>SS</w:t>
            </w:r>
            <w:r>
              <w:rPr>
                <w:rFonts w:hint="default" w:ascii="Times New Roman" w:hAnsi="Times New Roman" w:eastAsia="宋体" w:cs="Times New Roman"/>
                <w:color w:val="auto"/>
                <w:kern w:val="0"/>
                <w:sz w:val="24"/>
                <w:szCs w:val="24"/>
                <w:lang w:val="en-US" w:eastAsia="zh-CN" w:bidi="ar"/>
              </w:rPr>
              <w:t>。</w:t>
            </w:r>
            <w:r>
              <w:rPr>
                <w:rFonts w:hint="eastAsia" w:ascii="Times New Roman" w:hAnsi="Times New Roman" w:eastAsia="宋体" w:cs="Times New Roman"/>
                <w:color w:val="auto"/>
                <w:kern w:val="0"/>
                <w:sz w:val="24"/>
                <w:szCs w:val="24"/>
                <w:lang w:val="en-US" w:eastAsia="zh-CN" w:bidi="ar"/>
              </w:rPr>
              <w:t>洗煤废水</w:t>
            </w:r>
            <w:r>
              <w:rPr>
                <w:rFonts w:hint="default" w:ascii="Times New Roman" w:hAnsi="Times New Roman" w:eastAsia="宋体" w:cs="Times New Roman"/>
                <w:color w:val="auto"/>
                <w:kern w:val="0"/>
                <w:sz w:val="24"/>
                <w:szCs w:val="24"/>
                <w:lang w:val="en-US" w:eastAsia="zh-CN" w:bidi="ar"/>
              </w:rPr>
              <w:t>采用洗水闭路循环系统，经浓缩、压滤后进入</w:t>
            </w:r>
            <w:r>
              <w:rPr>
                <w:rFonts w:hint="eastAsia" w:ascii="Times New Roman" w:hAnsi="Times New Roman" w:eastAsia="宋体" w:cs="Times New Roman"/>
                <w:color w:val="auto"/>
                <w:kern w:val="0"/>
                <w:sz w:val="24"/>
                <w:szCs w:val="24"/>
                <w:lang w:val="en-US" w:eastAsia="zh-CN" w:bidi="ar"/>
              </w:rPr>
              <w:t>循环</w:t>
            </w:r>
            <w:r>
              <w:rPr>
                <w:rFonts w:hint="default" w:ascii="Times New Roman" w:hAnsi="Times New Roman" w:eastAsia="宋体" w:cs="Times New Roman"/>
                <w:color w:val="auto"/>
                <w:kern w:val="0"/>
                <w:sz w:val="24"/>
                <w:szCs w:val="24"/>
                <w:lang w:val="en-US" w:eastAsia="zh-CN" w:bidi="ar"/>
              </w:rPr>
              <w:t>水池，回用于生产，在设计上达到洗煤水不外排的要求。</w:t>
            </w:r>
          </w:p>
          <w:p w14:paraId="5893CCEB">
            <w:pPr>
              <w:keepNext w:val="0"/>
              <w:keepLines w:val="0"/>
              <w:pageBreakBefore w:val="0"/>
              <w:widowControl/>
              <w:suppressLineNumbers w:val="0"/>
              <w:kinsoku/>
              <w:wordWrap/>
              <w:overflowPunct/>
              <w:topLinePunct w:val="0"/>
              <w:autoSpaceDE/>
              <w:autoSpaceDN/>
              <w:bidi w:val="0"/>
              <w:adjustRightInd/>
              <w:snapToGrid/>
              <w:spacing w:after="0" w:line="460" w:lineRule="exact"/>
              <w:ind w:left="0" w:right="0" w:firstLine="480" w:firstLineChars="200"/>
              <w:jc w:val="both"/>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根据</w:t>
            </w:r>
            <w:r>
              <w:rPr>
                <w:rFonts w:hint="eastAsia"/>
                <w:color w:val="auto"/>
              </w:rPr>
              <w:t>《安徽省行业用水定额》（DB34/T679-20</w:t>
            </w:r>
            <w:r>
              <w:rPr>
                <w:rFonts w:hint="eastAsia"/>
                <w:color w:val="auto"/>
                <w:lang w:val="en-US" w:eastAsia="zh-CN"/>
              </w:rPr>
              <w:t>25</w:t>
            </w:r>
            <w:r>
              <w:rPr>
                <w:rFonts w:hint="eastAsia"/>
                <w:color w:val="auto"/>
              </w:rPr>
              <w:t>）</w:t>
            </w:r>
            <w:r>
              <w:rPr>
                <w:rFonts w:hint="default" w:ascii="Times New Roman" w:hAnsi="Times New Roman" w:eastAsia="宋体" w:cs="Times New Roman"/>
                <w:color w:val="auto"/>
              </w:rPr>
              <w:t>，参照烟煤和无烟煤的开采洗选用水量中动力煤选煤厂数据，按0.09m</w:t>
            </w:r>
            <w:r>
              <w:rPr>
                <w:rFonts w:hint="default" w:ascii="Times New Roman" w:hAnsi="Times New Roman" w:eastAsia="宋体" w:cs="Times New Roman"/>
                <w:color w:val="auto"/>
                <w:vertAlign w:val="superscript"/>
              </w:rPr>
              <w:t>3</w:t>
            </w:r>
            <w:r>
              <w:rPr>
                <w:rFonts w:hint="default" w:ascii="Times New Roman" w:hAnsi="Times New Roman" w:eastAsia="宋体" w:cs="Times New Roman"/>
                <w:color w:val="auto"/>
              </w:rPr>
              <w:t>/t计算，本项目洗选原煤量为</w:t>
            </w:r>
            <w:r>
              <w:rPr>
                <w:rFonts w:hint="eastAsia" w:ascii="Times New Roman" w:hAnsi="Times New Roman" w:eastAsia="宋体" w:cs="Times New Roman"/>
                <w:color w:val="auto"/>
                <w:lang w:val="en-US" w:eastAsia="zh-CN"/>
              </w:rPr>
              <w:t>200</w:t>
            </w:r>
            <w:r>
              <w:rPr>
                <w:rFonts w:hint="default" w:ascii="Times New Roman" w:hAnsi="Times New Roman" w:eastAsia="宋体" w:cs="Times New Roman"/>
                <w:color w:val="auto"/>
              </w:rPr>
              <w:t>万吨/年，因此本项目洗煤用水量为</w:t>
            </w:r>
            <w:r>
              <w:rPr>
                <w:rFonts w:hint="eastAsia" w:ascii="Times New Roman" w:hAnsi="Times New Roman" w:eastAsia="宋体" w:cs="Times New Roman"/>
                <w:color w:val="auto"/>
                <w:lang w:val="en-US" w:eastAsia="zh-CN"/>
              </w:rPr>
              <w:t>180</w:t>
            </w:r>
            <w:r>
              <w:rPr>
                <w:rFonts w:hint="default" w:ascii="Times New Roman" w:hAnsi="Times New Roman" w:eastAsia="宋体" w:cs="Times New Roman"/>
                <w:color w:val="auto"/>
              </w:rPr>
              <w:t>000t/a，平均每天洗煤用水量约</w:t>
            </w:r>
            <w:r>
              <w:rPr>
                <w:rFonts w:hint="eastAsia" w:ascii="Times New Roman" w:hAnsi="Times New Roman" w:eastAsia="宋体" w:cs="Times New Roman"/>
                <w:color w:val="auto"/>
                <w:lang w:val="en-US" w:eastAsia="zh-CN"/>
              </w:rPr>
              <w:t>600t</w:t>
            </w:r>
            <w:r>
              <w:rPr>
                <w:rFonts w:hint="default" w:ascii="Times New Roman" w:hAnsi="Times New Roman" w:eastAsia="宋体" w:cs="Times New Roman"/>
                <w:color w:val="auto"/>
              </w:rPr>
              <w:t>。</w:t>
            </w:r>
            <w:r>
              <w:rPr>
                <w:rFonts w:hint="eastAsia" w:cs="Times New Roman"/>
                <w:color w:val="auto"/>
                <w:lang w:eastAsia="zh-CN"/>
              </w:rPr>
              <w:t>产品生产会带出一部分水量，经前文分析</w:t>
            </w:r>
            <w:r>
              <w:rPr>
                <w:rFonts w:hint="default" w:ascii="Times New Roman" w:hAnsi="Times New Roman" w:eastAsia="宋体" w:cs="Times New Roman"/>
                <w:color w:val="auto"/>
              </w:rPr>
              <w:t>计算，补水量为</w:t>
            </w:r>
            <w:r>
              <w:rPr>
                <w:rFonts w:hint="eastAsia" w:cs="Times New Roman"/>
                <w:color w:val="auto"/>
                <w:lang w:val="en-US" w:eastAsia="zh-CN"/>
              </w:rPr>
              <w:t>140</w:t>
            </w:r>
            <w:r>
              <w:rPr>
                <w:rFonts w:hint="eastAsia" w:ascii="Times New Roman" w:hAnsi="Times New Roman" w:eastAsia="宋体" w:cs="Times New Roman"/>
                <w:color w:val="auto"/>
                <w:lang w:val="en-US" w:eastAsia="zh-CN"/>
              </w:rPr>
              <w:t>t</w:t>
            </w:r>
            <w:r>
              <w:rPr>
                <w:rFonts w:hint="default" w:ascii="Times New Roman" w:hAnsi="Times New Roman" w:eastAsia="宋体" w:cs="Times New Roman"/>
                <w:color w:val="auto"/>
              </w:rPr>
              <w:t>/d。</w:t>
            </w:r>
          </w:p>
          <w:p w14:paraId="3A7B4D72">
            <w:pPr>
              <w:pStyle w:val="181"/>
              <w:keepNext w:val="0"/>
              <w:keepLines w:val="0"/>
              <w:pageBreakBefore w:val="0"/>
              <w:kinsoku/>
              <w:wordWrap/>
              <w:overflowPunct/>
              <w:topLinePunct w:val="0"/>
              <w:autoSpaceDE/>
              <w:autoSpaceDN/>
              <w:bidi w:val="0"/>
              <w:adjustRightInd/>
              <w:spacing w:line="460" w:lineRule="exact"/>
              <w:ind w:firstLine="480"/>
              <w:textAlignment w:val="auto"/>
              <w:rPr>
                <w:rFonts w:hint="eastAsia" w:ascii="Times New Roman" w:hAnsi="Times New Roman" w:eastAsia="宋体" w:cs="Times New Roman"/>
                <w:color w:val="auto"/>
                <w:lang w:eastAsia="zh-CN"/>
              </w:rPr>
            </w:pPr>
            <w:r>
              <w:rPr>
                <w:rFonts w:hint="eastAsia" w:cs="Times New Roman"/>
                <w:color w:val="auto"/>
                <w:lang w:eastAsia="zh-CN"/>
              </w:rPr>
              <w:t>②</w:t>
            </w:r>
            <w:r>
              <w:rPr>
                <w:rFonts w:hint="default" w:ascii="Times New Roman" w:hAnsi="Times New Roman" w:eastAsia="宋体" w:cs="Times New Roman"/>
                <w:color w:val="auto"/>
              </w:rPr>
              <w:t>洒水抑尘</w:t>
            </w:r>
            <w:r>
              <w:rPr>
                <w:rFonts w:hint="eastAsia" w:ascii="Times New Roman" w:hAnsi="Times New Roman" w:eastAsia="宋体" w:cs="Times New Roman"/>
                <w:color w:val="auto"/>
                <w:lang w:eastAsia="zh-CN"/>
              </w:rPr>
              <w:t>废水</w:t>
            </w:r>
          </w:p>
          <w:p w14:paraId="61C0714B">
            <w:pPr>
              <w:keepNext w:val="0"/>
              <w:keepLines w:val="0"/>
              <w:pageBreakBefore w:val="0"/>
              <w:widowControl/>
              <w:suppressLineNumbers w:val="0"/>
              <w:kinsoku/>
              <w:wordWrap/>
              <w:overflowPunct/>
              <w:topLinePunct w:val="0"/>
              <w:autoSpaceDE/>
              <w:autoSpaceDN/>
              <w:bidi w:val="0"/>
              <w:adjustRightInd/>
              <w:snapToGrid/>
              <w:spacing w:after="0" w:line="460" w:lineRule="exact"/>
              <w:ind w:left="0" w:right="0" w:firstLine="480" w:firstLineChars="200"/>
              <w:jc w:val="both"/>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本项目转载点起尘处需洒水抑尘，对运输路面等也要进行定期洒水。</w:t>
            </w:r>
            <w:r>
              <w:rPr>
                <w:rFonts w:hint="eastAsia" w:cs="Times New Roman"/>
                <w:color w:val="auto"/>
                <w:lang w:eastAsia="zh-CN"/>
              </w:rPr>
              <w:t>日常对</w:t>
            </w:r>
            <w:r>
              <w:rPr>
                <w:rFonts w:hint="default" w:ascii="Times New Roman" w:hAnsi="Times New Roman" w:eastAsia="宋体" w:cs="Times New Roman"/>
                <w:color w:val="auto"/>
                <w:lang w:val="en-US" w:eastAsia="zh-CN"/>
              </w:rPr>
              <w:t>中煤</w:t>
            </w:r>
            <w:r>
              <w:rPr>
                <w:rFonts w:hint="eastAsia" w:ascii="Times New Roman" w:hAnsi="Times New Roman" w:eastAsia="宋体" w:cs="Times New Roman"/>
                <w:color w:val="auto"/>
                <w:lang w:val="en-US" w:eastAsia="zh-CN"/>
              </w:rPr>
              <w:t>堆棚</w:t>
            </w:r>
            <w:r>
              <w:rPr>
                <w:rFonts w:hint="default" w:ascii="Times New Roman" w:hAnsi="Times New Roman" w:eastAsia="宋体" w:cs="Times New Roman"/>
                <w:color w:val="auto"/>
                <w:lang w:val="en-US" w:eastAsia="zh-CN"/>
              </w:rPr>
              <w:t>、</w:t>
            </w:r>
            <w:r>
              <w:rPr>
                <w:rFonts w:hint="eastAsia" w:cs="Times New Roman"/>
                <w:color w:val="auto"/>
                <w:lang w:val="en-US" w:eastAsia="zh-CN"/>
              </w:rPr>
              <w:t>生产车间</w:t>
            </w:r>
            <w:r>
              <w:rPr>
                <w:rFonts w:hint="default" w:ascii="Times New Roman" w:hAnsi="Times New Roman" w:eastAsia="宋体" w:cs="Times New Roman"/>
                <w:color w:val="auto"/>
                <w:lang w:val="en-US" w:eastAsia="zh-CN"/>
              </w:rPr>
              <w:t>、</w:t>
            </w:r>
            <w:r>
              <w:rPr>
                <w:rFonts w:hint="eastAsia" w:ascii="Times New Roman" w:hAnsi="Times New Roman" w:eastAsia="宋体" w:cs="Times New Roman"/>
                <w:color w:val="auto"/>
                <w:lang w:val="en-US" w:eastAsia="zh-CN"/>
              </w:rPr>
              <w:t>精煤堆棚</w:t>
            </w:r>
            <w:r>
              <w:rPr>
                <w:rFonts w:hint="default" w:ascii="Times New Roman" w:hAnsi="Times New Roman" w:eastAsia="宋体" w:cs="Times New Roman"/>
                <w:color w:val="auto"/>
                <w:lang w:val="en-US" w:eastAsia="zh-CN"/>
              </w:rPr>
              <w:t>、矸石</w:t>
            </w:r>
            <w:r>
              <w:rPr>
                <w:rFonts w:hint="eastAsia" w:ascii="Times New Roman" w:hAnsi="Times New Roman" w:eastAsia="宋体" w:cs="Times New Roman"/>
                <w:color w:val="auto"/>
                <w:lang w:val="en-US" w:eastAsia="zh-CN"/>
              </w:rPr>
              <w:t>堆棚</w:t>
            </w:r>
            <w:r>
              <w:rPr>
                <w:rFonts w:hint="eastAsia" w:cs="Times New Roman"/>
                <w:color w:val="auto"/>
                <w:lang w:val="en-US" w:eastAsia="zh-CN"/>
              </w:rPr>
              <w:t>及厂区路面</w:t>
            </w:r>
            <w:r>
              <w:rPr>
                <w:rFonts w:hint="default" w:ascii="Times New Roman" w:hAnsi="Times New Roman" w:eastAsia="宋体" w:cs="Times New Roman"/>
                <w:color w:val="auto"/>
                <w:lang w:val="en-US" w:eastAsia="zh-CN"/>
              </w:rPr>
              <w:t>等</w:t>
            </w:r>
            <w:r>
              <w:rPr>
                <w:rFonts w:hint="eastAsia" w:cs="Times New Roman"/>
                <w:color w:val="auto"/>
                <w:lang w:val="en-US" w:eastAsia="zh-CN"/>
              </w:rPr>
              <w:t>区域</w:t>
            </w:r>
            <w:r>
              <w:rPr>
                <w:rFonts w:hint="default" w:ascii="Times New Roman" w:hAnsi="Times New Roman" w:eastAsia="宋体" w:cs="Times New Roman"/>
                <w:color w:val="auto"/>
                <w:lang w:val="en-US" w:eastAsia="zh-CN"/>
              </w:rPr>
              <w:t>降尘洒水，降尘用水按</w:t>
            </w:r>
            <w:r>
              <w:rPr>
                <w:rFonts w:hint="eastAsia" w:ascii="Times New Roman" w:hAnsi="Times New Roman" w:eastAsia="宋体" w:cs="Times New Roman"/>
                <w:color w:val="auto"/>
                <w:lang w:val="en-US" w:eastAsia="zh-CN"/>
              </w:rPr>
              <w:t>2.5</w:t>
            </w:r>
            <w:r>
              <w:rPr>
                <w:rFonts w:hint="default" w:ascii="Times New Roman" w:hAnsi="Times New Roman" w:eastAsia="宋体" w:cs="Times New Roman"/>
                <w:color w:val="auto"/>
                <w:lang w:val="en-US" w:eastAsia="zh-CN"/>
              </w:rPr>
              <w:t>L/m</w:t>
            </w:r>
            <w:r>
              <w:rPr>
                <w:rFonts w:hint="default"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val="en-US" w:eastAsia="zh-CN"/>
              </w:rPr>
              <w:t>·d 计，总洒水降尘面积共计约为</w:t>
            </w:r>
            <w:r>
              <w:rPr>
                <w:rFonts w:hint="eastAsia" w:ascii="Times New Roman" w:hAnsi="Times New Roman" w:eastAsia="宋体" w:cs="Times New Roman"/>
                <w:color w:val="auto"/>
                <w:lang w:val="en-US" w:eastAsia="zh-CN"/>
              </w:rPr>
              <w:t>100</w:t>
            </w:r>
            <w:r>
              <w:rPr>
                <w:rFonts w:hint="default" w:ascii="Times New Roman" w:hAnsi="Times New Roman" w:eastAsia="宋体" w:cs="Times New Roman"/>
                <w:color w:val="auto"/>
                <w:lang w:val="en-US" w:eastAsia="zh-CN"/>
              </w:rPr>
              <w:t>00m</w:t>
            </w:r>
            <w:r>
              <w:rPr>
                <w:rFonts w:hint="default" w:ascii="Times New Roman" w:hAnsi="Times New Roman" w:eastAsia="宋体" w:cs="Times New Roman"/>
                <w:color w:val="auto"/>
                <w:vertAlign w:val="superscript"/>
                <w:lang w:val="en-US" w:eastAsia="zh-CN"/>
              </w:rPr>
              <w:t>2</w:t>
            </w:r>
            <w:r>
              <w:rPr>
                <w:rFonts w:hint="default" w:ascii="Times New Roman" w:hAnsi="Times New Roman" w:eastAsia="宋体" w:cs="Times New Roman"/>
                <w:color w:val="auto"/>
                <w:lang w:val="en-US" w:eastAsia="zh-CN"/>
              </w:rPr>
              <w:t>，</w:t>
            </w:r>
            <w:r>
              <w:rPr>
                <w:rFonts w:hint="default" w:ascii="Times New Roman" w:hAnsi="Times New Roman" w:eastAsia="宋体" w:cs="Times New Roman"/>
                <w:color w:val="auto"/>
              </w:rPr>
              <w:t>每天用于洒水抑尘的水量约</w:t>
            </w:r>
            <w:r>
              <w:rPr>
                <w:rFonts w:hint="eastAsia" w:ascii="Times New Roman" w:hAnsi="Times New Roman" w:eastAsia="宋体" w:cs="Times New Roman"/>
                <w:color w:val="auto"/>
                <w:lang w:val="en-US" w:eastAsia="zh-CN"/>
              </w:rPr>
              <w:t>25t</w:t>
            </w:r>
            <w:r>
              <w:rPr>
                <w:rFonts w:hint="default" w:ascii="Times New Roman" w:hAnsi="Times New Roman" w:eastAsia="宋体" w:cs="Times New Roman"/>
                <w:color w:val="auto"/>
              </w:rPr>
              <w:t>/d，</w:t>
            </w:r>
            <w:r>
              <w:rPr>
                <w:rFonts w:hint="eastAsia" w:ascii="Times New Roman" w:hAnsi="Times New Roman" w:eastAsia="宋体" w:cs="Times New Roman"/>
                <w:color w:val="auto"/>
                <w:lang w:val="en-US" w:eastAsia="zh-CN"/>
              </w:rPr>
              <w:t>7500t</w:t>
            </w:r>
            <w:r>
              <w:rPr>
                <w:rFonts w:hint="default" w:ascii="Times New Roman" w:hAnsi="Times New Roman" w:eastAsia="宋体" w:cs="Times New Roman"/>
                <w:color w:val="auto"/>
              </w:rPr>
              <w:t>/a。洒水抑尘</w:t>
            </w:r>
            <w:r>
              <w:rPr>
                <w:rFonts w:hint="eastAsia" w:ascii="Times New Roman" w:hAnsi="Times New Roman" w:eastAsia="宋体" w:cs="Times New Roman"/>
                <w:color w:val="auto"/>
                <w:lang w:eastAsia="zh-CN"/>
              </w:rPr>
              <w:t>废水全部蒸发消耗，不</w:t>
            </w:r>
            <w:r>
              <w:rPr>
                <w:rFonts w:hint="eastAsia" w:ascii="Times New Roman" w:hAnsi="Times New Roman" w:eastAsia="宋体" w:cs="Times New Roman"/>
                <w:color w:val="auto"/>
                <w:lang w:val="en-US" w:eastAsia="zh-CN"/>
              </w:rPr>
              <w:t>外排。</w:t>
            </w:r>
          </w:p>
          <w:p w14:paraId="4C47F71F">
            <w:pPr>
              <w:keepNext w:val="0"/>
              <w:keepLines w:val="0"/>
              <w:pageBreakBefore w:val="0"/>
              <w:kinsoku/>
              <w:wordWrap/>
              <w:overflowPunct/>
              <w:topLinePunct w:val="0"/>
              <w:autoSpaceDE/>
              <w:autoSpaceDN/>
              <w:bidi w:val="0"/>
              <w:adjustRightInd/>
              <w:spacing w:after="0" w:line="460" w:lineRule="exact"/>
              <w:ind w:firstLine="480" w:firstLineChars="200"/>
              <w:textAlignment w:val="auto"/>
              <w:rPr>
                <w:rFonts w:hint="eastAsia"/>
                <w:color w:val="auto"/>
                <w:kern w:val="2"/>
                <w:szCs w:val="24"/>
                <w:lang w:val="en-US" w:eastAsia="zh-CN"/>
              </w:rPr>
            </w:pPr>
            <w:r>
              <w:rPr>
                <w:rFonts w:hint="eastAsia"/>
                <w:color w:val="auto"/>
                <w:kern w:val="2"/>
                <w:szCs w:val="24"/>
                <w:lang w:val="en-US" w:eastAsia="zh-CN"/>
              </w:rPr>
              <w:t>2、生活污水</w:t>
            </w:r>
          </w:p>
          <w:p w14:paraId="0127AB0B">
            <w:pPr>
              <w:pStyle w:val="181"/>
              <w:keepNext w:val="0"/>
              <w:keepLines w:val="0"/>
              <w:pageBreakBefore w:val="0"/>
              <w:kinsoku/>
              <w:wordWrap/>
              <w:overflowPunct/>
              <w:topLinePunct w:val="0"/>
              <w:autoSpaceDE/>
              <w:autoSpaceDN/>
              <w:bidi w:val="0"/>
              <w:adjustRightInd/>
              <w:spacing w:line="460" w:lineRule="exact"/>
              <w:ind w:firstLine="480"/>
              <w:textAlignment w:val="auto"/>
              <w:rPr>
                <w:rFonts w:hint="eastAsia" w:ascii="Times New Roman" w:hAnsi="Times New Roman" w:eastAsia="宋体" w:cs="Times New Roman"/>
                <w:color w:val="auto"/>
                <w:kern w:val="2"/>
                <w:sz w:val="24"/>
                <w:szCs w:val="24"/>
                <w:lang w:val="en-US" w:eastAsia="zh-CN" w:bidi="ar-SA"/>
              </w:rPr>
            </w:pPr>
            <w:r>
              <w:rPr>
                <w:color w:val="auto"/>
                <w:kern w:val="2"/>
                <w:szCs w:val="24"/>
              </w:rPr>
              <w:t>本项目劳动定员为</w:t>
            </w:r>
            <w:r>
              <w:rPr>
                <w:rFonts w:hint="eastAsia"/>
                <w:color w:val="auto"/>
                <w:lang w:val="en-US" w:eastAsia="zh-CN"/>
              </w:rPr>
              <w:t>26</w:t>
            </w:r>
            <w:r>
              <w:rPr>
                <w:rFonts w:hint="eastAsia"/>
                <w:color w:val="auto"/>
                <w:kern w:val="2"/>
                <w:szCs w:val="24"/>
              </w:rPr>
              <w:t>名，根据《安徽省行业用水定额》（DB34/T679-20</w:t>
            </w:r>
            <w:r>
              <w:rPr>
                <w:rFonts w:hint="eastAsia"/>
                <w:color w:val="auto"/>
                <w:kern w:val="2"/>
                <w:szCs w:val="24"/>
                <w:lang w:val="en-US" w:eastAsia="zh-CN"/>
              </w:rPr>
              <w:t>25</w:t>
            </w:r>
            <w:r>
              <w:rPr>
                <w:rFonts w:hint="eastAsia"/>
                <w:color w:val="auto"/>
                <w:kern w:val="2"/>
                <w:szCs w:val="24"/>
              </w:rPr>
              <w:t>）中的相关内容，办公用水定额取</w:t>
            </w:r>
            <w:r>
              <w:rPr>
                <w:rFonts w:hint="eastAsia"/>
                <w:color w:val="auto"/>
                <w:kern w:val="2"/>
                <w:szCs w:val="24"/>
                <w:lang w:val="en-US" w:eastAsia="zh-CN"/>
              </w:rPr>
              <w:t>38</w:t>
            </w:r>
            <w:r>
              <w:rPr>
                <w:rFonts w:hint="eastAsia"/>
                <w:color w:val="auto"/>
                <w:kern w:val="2"/>
                <w:szCs w:val="24"/>
              </w:rPr>
              <w:t>L/人·d。则生活用水量大约为</w:t>
            </w:r>
            <w:r>
              <w:rPr>
                <w:rFonts w:hint="eastAsia"/>
                <w:color w:val="auto"/>
                <w:kern w:val="2"/>
                <w:szCs w:val="24"/>
                <w:lang w:val="en-US" w:eastAsia="zh-CN"/>
              </w:rPr>
              <w:t>296.4</w:t>
            </w:r>
            <w:r>
              <w:rPr>
                <w:rFonts w:hint="eastAsia"/>
                <w:color w:val="auto"/>
                <w:kern w:val="2"/>
                <w:szCs w:val="24"/>
              </w:rPr>
              <w:t>t/a</w:t>
            </w:r>
            <w:r>
              <w:rPr>
                <w:rFonts w:hint="eastAsia"/>
                <w:color w:val="auto"/>
                <w:kern w:val="2"/>
                <w:szCs w:val="24"/>
                <w:lang w:eastAsia="zh-CN"/>
              </w:rPr>
              <w:t>（</w:t>
            </w:r>
            <w:r>
              <w:rPr>
                <w:rFonts w:hint="eastAsia"/>
                <w:color w:val="auto"/>
                <w:kern w:val="2"/>
                <w:szCs w:val="24"/>
                <w:lang w:val="en-US" w:eastAsia="zh-CN"/>
              </w:rPr>
              <w:t>0.988t/d</w:t>
            </w:r>
            <w:r>
              <w:rPr>
                <w:rFonts w:hint="eastAsia"/>
                <w:color w:val="auto"/>
                <w:kern w:val="2"/>
                <w:szCs w:val="24"/>
                <w:lang w:eastAsia="zh-CN"/>
              </w:rPr>
              <w:t>）</w:t>
            </w:r>
            <w:r>
              <w:rPr>
                <w:rFonts w:hint="eastAsia"/>
                <w:color w:val="auto"/>
                <w:kern w:val="2"/>
                <w:szCs w:val="24"/>
              </w:rPr>
              <w:t>；</w:t>
            </w:r>
            <w:r>
              <w:rPr>
                <w:rFonts w:ascii="Times New Roman" w:hAnsi="Times New Roman"/>
                <w:color w:val="auto"/>
                <w:sz w:val="24"/>
                <w:szCs w:val="24"/>
              </w:rPr>
              <w:t>生活污水排污系数《排放源统计调查产排污核算方法和系数手册-生活源产排污核算系数手册》中第一部分城镇生活源水污染物产生系数：人均日生活用水量≤150升/人·天时，</w:t>
            </w:r>
            <w:r>
              <w:rPr>
                <w:rFonts w:hint="eastAsia"/>
                <w:color w:val="auto"/>
                <w:sz w:val="24"/>
                <w:szCs w:val="24"/>
                <w:lang w:val="en-US" w:eastAsia="zh-CN"/>
              </w:rPr>
              <w:t>产</w:t>
            </w:r>
            <w:r>
              <w:rPr>
                <w:rFonts w:ascii="Times New Roman" w:hAnsi="Times New Roman"/>
                <w:color w:val="auto"/>
                <w:sz w:val="24"/>
                <w:szCs w:val="24"/>
              </w:rPr>
              <w:t>污系数取0.8</w:t>
            </w:r>
            <w:r>
              <w:rPr>
                <w:rFonts w:hint="eastAsia"/>
                <w:color w:val="auto"/>
                <w:kern w:val="2"/>
                <w:szCs w:val="24"/>
              </w:rPr>
              <w:t>，则生活污水产生量为</w:t>
            </w:r>
            <w:r>
              <w:rPr>
                <w:rFonts w:hint="eastAsia"/>
                <w:color w:val="auto"/>
                <w:kern w:val="2"/>
                <w:szCs w:val="24"/>
                <w:lang w:val="en-US" w:eastAsia="zh-CN"/>
              </w:rPr>
              <w:t>234.3</w:t>
            </w:r>
            <w:r>
              <w:rPr>
                <w:rFonts w:hint="eastAsia"/>
                <w:color w:val="auto"/>
                <w:kern w:val="2"/>
                <w:szCs w:val="24"/>
              </w:rPr>
              <w:t>t/a</w:t>
            </w:r>
            <w:r>
              <w:rPr>
                <w:rFonts w:hint="eastAsia"/>
                <w:color w:val="auto"/>
                <w:kern w:val="2"/>
                <w:szCs w:val="24"/>
                <w:lang w:eastAsia="zh-CN"/>
              </w:rPr>
              <w:t>（</w:t>
            </w:r>
            <w:r>
              <w:rPr>
                <w:rFonts w:hint="eastAsia"/>
                <w:color w:val="auto"/>
                <w:kern w:val="2"/>
                <w:szCs w:val="24"/>
                <w:lang w:val="en-US" w:eastAsia="zh-CN"/>
              </w:rPr>
              <w:t>0.79t/d</w:t>
            </w:r>
            <w:r>
              <w:rPr>
                <w:rFonts w:hint="eastAsia"/>
                <w:color w:val="auto"/>
                <w:kern w:val="2"/>
                <w:szCs w:val="24"/>
                <w:lang w:eastAsia="zh-CN"/>
              </w:rPr>
              <w:t>）</w:t>
            </w:r>
            <w:r>
              <w:rPr>
                <w:rFonts w:hint="eastAsia" w:ascii="Times New Roman" w:hAnsi="Times New Roman" w:eastAsia="宋体" w:cs="Times New Roman"/>
                <w:color w:val="auto"/>
                <w:kern w:val="2"/>
                <w:sz w:val="24"/>
                <w:szCs w:val="24"/>
                <w:lang w:val="en-US" w:eastAsia="zh-CN" w:bidi="ar-SA"/>
              </w:rPr>
              <w:t>。</w:t>
            </w:r>
          </w:p>
          <w:p w14:paraId="46EC6540">
            <w:pPr>
              <w:pStyle w:val="181"/>
              <w:keepNext w:val="0"/>
              <w:keepLines w:val="0"/>
              <w:pageBreakBefore w:val="0"/>
              <w:kinsoku/>
              <w:wordWrap/>
              <w:overflowPunct/>
              <w:topLinePunct w:val="0"/>
              <w:autoSpaceDE/>
              <w:autoSpaceDN/>
              <w:bidi w:val="0"/>
              <w:adjustRightInd/>
              <w:spacing w:line="460" w:lineRule="exact"/>
              <w:ind w:firstLine="480"/>
              <w:textAlignment w:val="auto"/>
              <w:rPr>
                <w:rFonts w:hint="eastAsia" w:ascii="Times New Roman" w:hAnsi="Times New Roman" w:eastAsia="宋体" w:cs="Times New Roman"/>
                <w:color w:val="auto"/>
              </w:rPr>
            </w:pPr>
            <w:r>
              <w:rPr>
                <w:rFonts w:hint="eastAsia" w:cs="Times New Roman"/>
                <w:color w:val="auto"/>
                <w:kern w:val="2"/>
                <w:sz w:val="24"/>
                <w:szCs w:val="24"/>
                <w:lang w:val="en-US" w:eastAsia="zh-CN"/>
              </w:rPr>
              <w:t>本项目厂区范围内不设置洗手池、卫生间等，</w:t>
            </w:r>
            <w:r>
              <w:rPr>
                <w:rFonts w:hint="eastAsia" w:ascii="宋体" w:hAnsi="宋体"/>
                <w:color w:val="auto"/>
              </w:rPr>
              <w:t>生活</w:t>
            </w:r>
            <w:r>
              <w:rPr>
                <w:rFonts w:hint="eastAsia"/>
                <w:color w:val="auto"/>
                <w:kern w:val="2"/>
                <w:szCs w:val="24"/>
              </w:rPr>
              <w:t>污水</w:t>
            </w:r>
            <w:r>
              <w:rPr>
                <w:rFonts w:hint="eastAsia"/>
                <w:color w:val="auto"/>
                <w:kern w:val="2"/>
                <w:szCs w:val="24"/>
                <w:lang w:eastAsia="zh-CN"/>
              </w:rPr>
              <w:t>依托淮南市八公山区</w:t>
            </w:r>
            <w:r>
              <w:rPr>
                <w:rFonts w:hint="eastAsia" w:cs="Times New Roman"/>
                <w:bCs/>
                <w:color w:val="auto"/>
                <w:lang w:val="en-US" w:eastAsia="zh-CN"/>
              </w:rPr>
              <w:t>淮南</w:t>
            </w:r>
            <w:r>
              <w:rPr>
                <w:rFonts w:hint="eastAsia"/>
                <w:color w:val="auto"/>
                <w:lang w:eastAsia="zh-CN"/>
              </w:rPr>
              <w:t>舜岳水泥有限责任公司</w:t>
            </w:r>
            <w:r>
              <w:rPr>
                <w:rFonts w:hint="eastAsia"/>
                <w:color w:val="auto"/>
                <w:kern w:val="2"/>
                <w:szCs w:val="24"/>
                <w:lang w:eastAsia="zh-CN"/>
              </w:rPr>
              <w:t>内现有地埋式化粪池处理后接入市政污水管网，进入八公山污水处理厂处理。</w:t>
            </w:r>
            <w:r>
              <w:rPr>
                <w:rFonts w:hint="eastAsia" w:cs="Times New Roman"/>
                <w:color w:val="auto"/>
                <w:kern w:val="2"/>
                <w:sz w:val="24"/>
                <w:szCs w:val="24"/>
                <w:lang w:val="en-US" w:eastAsia="zh-CN" w:bidi="ar-SA"/>
              </w:rPr>
              <w:t>本项目</w:t>
            </w:r>
            <w:r>
              <w:rPr>
                <w:rFonts w:hint="eastAsia"/>
                <w:color w:val="auto"/>
                <w:kern w:val="2"/>
                <w:szCs w:val="24"/>
                <w:lang w:eastAsia="zh-CN"/>
              </w:rPr>
              <w:t>不新增排污口。</w:t>
            </w:r>
          </w:p>
          <w:p w14:paraId="02729390">
            <w:pPr>
              <w:pStyle w:val="771"/>
              <w:keepNext w:val="0"/>
              <w:keepLines w:val="0"/>
              <w:pageBreakBefore w:val="0"/>
              <w:kinsoku/>
              <w:wordWrap/>
              <w:overflowPunct/>
              <w:topLinePunct w:val="0"/>
              <w:autoSpaceDE/>
              <w:autoSpaceDN/>
              <w:bidi w:val="0"/>
              <w:adjustRightInd/>
              <w:spacing w:line="460" w:lineRule="exact"/>
              <w:textAlignment w:val="auto"/>
              <w:rPr>
                <w:rFonts w:hint="eastAsia"/>
                <w:color w:val="auto"/>
                <w:lang w:val="en-US" w:eastAsia="zh-CN"/>
              </w:rPr>
            </w:pPr>
            <w:r>
              <w:rPr>
                <w:rFonts w:hint="eastAsia"/>
                <w:color w:val="auto"/>
                <w:lang w:val="en-US" w:eastAsia="zh-CN"/>
              </w:rPr>
              <w:t>3、初期雨水</w:t>
            </w:r>
          </w:p>
          <w:p w14:paraId="4318F129">
            <w:pPr>
              <w:pStyle w:val="771"/>
              <w:keepNext w:val="0"/>
              <w:keepLines w:val="0"/>
              <w:pageBreakBefore w:val="0"/>
              <w:kinsoku/>
              <w:wordWrap/>
              <w:overflowPunct/>
              <w:topLinePunct w:val="0"/>
              <w:autoSpaceDE/>
              <w:autoSpaceDN/>
              <w:bidi w:val="0"/>
              <w:adjustRightInd/>
              <w:spacing w:line="460" w:lineRule="exact"/>
              <w:textAlignment w:val="auto"/>
              <w:rPr>
                <w:rFonts w:hint="eastAsia"/>
                <w:color w:val="auto"/>
                <w:lang w:val="en-US" w:eastAsia="zh-CN"/>
              </w:rPr>
            </w:pPr>
            <w:r>
              <w:rPr>
                <w:rFonts w:hint="eastAsia" w:ascii="Times New Roman" w:hAnsi="Times New Roman" w:eastAsia="宋体" w:cs="Times New Roman"/>
                <w:b w:val="0"/>
                <w:bCs w:val="0"/>
                <w:color w:val="auto"/>
                <w:sz w:val="24"/>
                <w:highlight w:val="none"/>
                <w:lang w:val="en-US" w:eastAsia="zh-CN"/>
              </w:rPr>
              <w:t>降雨初期，厂内会产生初期雨水。采用</w:t>
            </w:r>
            <w:r>
              <w:rPr>
                <w:rFonts w:hint="default" w:ascii="Times New Roman" w:hAnsi="Times New Roman" w:cs="Times New Roman"/>
                <w:color w:val="auto"/>
              </w:rPr>
              <w:t>淮南市暴雨强度计算公式初步估算如下</w:t>
            </w:r>
            <w:r>
              <w:rPr>
                <w:rFonts w:hint="eastAsia" w:ascii="Times New Roman" w:hAnsi="Times New Roman" w:eastAsia="宋体" w:cs="Times New Roman"/>
                <w:b w:val="0"/>
                <w:bCs w:val="0"/>
                <w:color w:val="auto"/>
                <w:sz w:val="24"/>
                <w:highlight w:val="none"/>
                <w:lang w:val="en-US" w:eastAsia="zh-CN"/>
              </w:rPr>
              <w:t>：</w:t>
            </w:r>
          </w:p>
          <w:p w14:paraId="03C747FC">
            <w:pPr>
              <w:ind w:firstLine="480" w:firstLineChars="200"/>
              <w:jc w:val="center"/>
              <w:rPr>
                <w:color w:val="auto"/>
                <w:vertAlign w:val="superscript"/>
              </w:rPr>
            </w:pPr>
            <m:oMathPara>
              <m:oMath>
                <m:r>
                  <m:rPr>
                    <m:sty m:val="p"/>
                  </m:rPr>
                  <w:rPr>
                    <w:rFonts w:hint="default" w:ascii="Cambria Math" w:hAnsi="Cambria Math"/>
                    <w:color w:val="auto"/>
                    <w:sz w:val="24"/>
                  </w:rPr>
                  <m:t>q</m:t>
                </m:r>
                <m:r>
                  <m:rPr>
                    <m:sty m:val="p"/>
                  </m:rPr>
                  <w:rPr>
                    <w:rFonts w:hint="default" w:ascii="Cambria Math" w:hAnsi="Cambria Math"/>
                    <w:color w:val="auto"/>
                    <w:sz w:val="24"/>
                    <w:szCs w:val="24"/>
                  </w:rPr>
                  <m:t>=</m:t>
                </m:r>
                <m:f>
                  <m:fPr>
                    <m:ctrlPr>
                      <w:rPr>
                        <w:rFonts w:hint="default" w:ascii="Cambria Math" w:hAnsi="Cambria Math"/>
                        <w:i/>
                        <w:color w:val="auto"/>
                        <w:sz w:val="24"/>
                        <w:szCs w:val="24"/>
                      </w:rPr>
                    </m:ctrlPr>
                  </m:fPr>
                  <m:num>
                    <m:r>
                      <m:rPr>
                        <m:sty m:val="p"/>
                      </m:rPr>
                      <w:rPr>
                        <w:rFonts w:hint="default" w:ascii="Cambria Math" w:hAnsi="Cambria Math"/>
                        <w:color w:val="auto"/>
                        <w:sz w:val="24"/>
                        <w:szCs w:val="24"/>
                      </w:rPr>
                      <m:t>1693.951(1+0.971854lgP)</m:t>
                    </m:r>
                    <m:ctrlPr>
                      <w:rPr>
                        <w:rFonts w:ascii="Cambria Math" w:hAnsi="Cambria Math"/>
                        <w:color w:val="auto"/>
                        <w:sz w:val="24"/>
                        <w:szCs w:val="24"/>
                      </w:rPr>
                    </m:ctrlPr>
                  </m:num>
                  <m:den>
                    <m:sSup>
                      <m:sSupPr>
                        <m:ctrlPr>
                          <w:rPr>
                            <w:rFonts w:hint="default" w:ascii="Cambria Math" w:hAnsi="Cambria Math"/>
                            <w:color w:val="auto"/>
                            <w:sz w:val="24"/>
                            <w:szCs w:val="24"/>
                          </w:rPr>
                        </m:ctrlPr>
                      </m:sSupPr>
                      <m:e>
                        <m:r>
                          <m:rPr>
                            <m:sty m:val="p"/>
                          </m:rPr>
                          <w:rPr>
                            <w:rFonts w:hint="default" w:ascii="Cambria Math" w:hAnsi="Cambria Math"/>
                            <w:color w:val="auto"/>
                            <w:sz w:val="24"/>
                            <w:szCs w:val="24"/>
                          </w:rPr>
                          <m:t>(t+7.691)</m:t>
                        </m:r>
                        <m:ctrlPr>
                          <w:rPr>
                            <w:rFonts w:ascii="Cambria Math" w:hAnsi="Cambria Math"/>
                            <w:color w:val="auto"/>
                            <w:sz w:val="24"/>
                            <w:szCs w:val="24"/>
                          </w:rPr>
                        </m:ctrlPr>
                      </m:e>
                      <m:sup>
                        <m:r>
                          <m:rPr>
                            <m:sty m:val="p"/>
                          </m:rPr>
                          <w:rPr>
                            <w:rFonts w:hint="default" w:ascii="Cambria Math" w:hAnsi="Cambria Math"/>
                            <w:color w:val="auto"/>
                            <w:sz w:val="24"/>
                            <w:szCs w:val="24"/>
                          </w:rPr>
                          <m:t>0.609</m:t>
                        </m:r>
                        <m:ctrlPr>
                          <w:rPr>
                            <w:rFonts w:ascii="Cambria Math" w:hAnsi="Cambria Math"/>
                            <w:color w:val="auto"/>
                            <w:sz w:val="24"/>
                            <w:szCs w:val="24"/>
                          </w:rPr>
                        </m:ctrlPr>
                      </m:sup>
                    </m:sSup>
                    <m:ctrlPr>
                      <w:rPr>
                        <w:rFonts w:hint="default" w:ascii="Cambria Math" w:hAnsi="Cambria Math"/>
                        <w:color w:val="auto"/>
                        <w:sz w:val="24"/>
                        <w:szCs w:val="24"/>
                      </w:rPr>
                    </m:ctrlPr>
                  </m:den>
                </m:f>
              </m:oMath>
            </m:oMathPara>
          </w:p>
          <w:p w14:paraId="61814309">
            <w:pPr>
              <w:ind w:firstLine="480" w:firstLineChars="200"/>
              <w:rPr>
                <w:color w:val="auto"/>
              </w:rPr>
            </w:pPr>
            <w:r>
              <w:rPr>
                <w:color w:val="auto"/>
              </w:rPr>
              <w:t>式中：q—设计暴雨强度，L/s.hm</w:t>
            </w:r>
            <w:r>
              <w:rPr>
                <w:color w:val="auto"/>
                <w:vertAlign w:val="superscript"/>
              </w:rPr>
              <w:t>2</w:t>
            </w:r>
            <w:r>
              <w:rPr>
                <w:color w:val="auto"/>
              </w:rPr>
              <w:t>；</w:t>
            </w:r>
          </w:p>
          <w:p w14:paraId="0CA5A041">
            <w:pPr>
              <w:ind w:firstLine="480" w:firstLineChars="200"/>
              <w:rPr>
                <w:color w:val="auto"/>
              </w:rPr>
            </w:pPr>
            <w:r>
              <w:rPr>
                <w:rFonts w:hint="eastAsia"/>
                <w:color w:val="auto"/>
                <w:lang w:val="en-US" w:eastAsia="zh-CN"/>
              </w:rPr>
              <w:t xml:space="preserve">      </w:t>
            </w:r>
            <w:r>
              <w:rPr>
                <w:color w:val="auto"/>
              </w:rPr>
              <w:t>P—设计重现期，a；</w:t>
            </w:r>
          </w:p>
          <w:p w14:paraId="64E30EE4">
            <w:pPr>
              <w:ind w:firstLine="1200" w:firstLineChars="500"/>
              <w:rPr>
                <w:color w:val="auto"/>
              </w:rPr>
            </w:pPr>
            <w:r>
              <w:rPr>
                <w:color w:val="auto"/>
              </w:rPr>
              <w:t>t—降雨历时，min。</w:t>
            </w:r>
          </w:p>
          <w:p w14:paraId="59466781">
            <w:pPr>
              <w:ind w:firstLine="480" w:firstLineChars="200"/>
              <w:rPr>
                <w:color w:val="auto"/>
              </w:rPr>
            </w:pPr>
            <w:r>
              <w:rPr>
                <w:color w:val="auto"/>
              </w:rPr>
              <w:t>按P=</w:t>
            </w:r>
            <w:r>
              <w:rPr>
                <w:rFonts w:hint="eastAsia"/>
                <w:color w:val="auto"/>
                <w:lang w:val="en-US" w:eastAsia="zh-CN"/>
              </w:rPr>
              <w:t>2</w:t>
            </w:r>
            <w:r>
              <w:rPr>
                <w:color w:val="auto"/>
              </w:rPr>
              <w:t>a，t=</w:t>
            </w:r>
            <w:r>
              <w:rPr>
                <w:rFonts w:hint="eastAsia"/>
                <w:color w:val="auto"/>
              </w:rPr>
              <w:t>15</w:t>
            </w:r>
            <w:r>
              <w:rPr>
                <w:color w:val="auto"/>
              </w:rPr>
              <w:t>min计算</w:t>
            </w:r>
            <w:r>
              <w:rPr>
                <w:rFonts w:hint="eastAsia"/>
                <w:color w:val="auto"/>
                <w:lang w:eastAsia="zh-CN"/>
              </w:rPr>
              <w:t>，</w:t>
            </w:r>
            <w:r>
              <w:rPr>
                <w:color w:val="auto"/>
              </w:rPr>
              <w:t>暴雨强度q=</w:t>
            </w:r>
            <w:r>
              <w:rPr>
                <w:rFonts w:hint="eastAsia" w:ascii="Times New Roman" w:hAnsi="Times New Roman"/>
                <w:color w:val="auto"/>
                <w:spacing w:val="-2"/>
              </w:rPr>
              <w:t>34.56</w:t>
            </w:r>
            <w:r>
              <w:rPr>
                <w:color w:val="auto"/>
              </w:rPr>
              <w:t>L/s.hm</w:t>
            </w:r>
            <w:r>
              <w:rPr>
                <w:color w:val="auto"/>
                <w:vertAlign w:val="superscript"/>
              </w:rPr>
              <w:t>2</w:t>
            </w:r>
            <w:r>
              <w:rPr>
                <w:color w:val="auto"/>
              </w:rPr>
              <w:t>。</w:t>
            </w:r>
          </w:p>
          <w:p w14:paraId="506893E1">
            <w:pPr>
              <w:ind w:firstLine="480" w:firstLineChars="200"/>
              <w:rPr>
                <w:color w:val="auto"/>
              </w:rPr>
            </w:pPr>
            <w:r>
              <w:rPr>
                <w:color w:val="auto"/>
              </w:rPr>
              <w:t>再计算雨水设计流量：Q</w:t>
            </w:r>
            <w:r>
              <w:rPr>
                <w:color w:val="auto"/>
                <w:vertAlign w:val="subscript"/>
              </w:rPr>
              <w:t>s</w:t>
            </w:r>
            <w:r>
              <w:rPr>
                <w:color w:val="auto"/>
              </w:rPr>
              <w:t>=q*</w:t>
            </w:r>
            <w:r>
              <w:rPr>
                <w:rFonts w:hint="default" w:ascii="Times New Roman" w:hAnsi="Times New Roman" w:eastAsia="宋体" w:cs="Times New Roman"/>
                <w:bCs/>
                <w:color w:val="auto"/>
                <w:sz w:val="24"/>
                <w:szCs w:val="24"/>
                <w:highlight w:val="none"/>
              </w:rPr>
              <w:sym w:font="Symbol" w:char="F079"/>
            </w:r>
            <w:r>
              <w:rPr>
                <w:color w:val="auto"/>
              </w:rPr>
              <w:t>*F</w:t>
            </w:r>
          </w:p>
          <w:p w14:paraId="7FBABC08">
            <w:pPr>
              <w:ind w:firstLine="480" w:firstLineChars="200"/>
              <w:rPr>
                <w:color w:val="auto"/>
              </w:rPr>
            </w:pPr>
            <w:r>
              <w:rPr>
                <w:color w:val="auto"/>
              </w:rPr>
              <w:t>式中：Q</w:t>
            </w:r>
            <w:r>
              <w:rPr>
                <w:color w:val="auto"/>
                <w:vertAlign w:val="subscript"/>
              </w:rPr>
              <w:t>s</w:t>
            </w:r>
            <w:r>
              <w:rPr>
                <w:color w:val="auto"/>
              </w:rPr>
              <w:t>—雨水设计流量，L/s；</w:t>
            </w:r>
          </w:p>
          <w:p w14:paraId="6C38CD47">
            <w:pPr>
              <w:ind w:firstLine="1200" w:firstLineChars="500"/>
              <w:rPr>
                <w:color w:val="auto"/>
              </w:rPr>
            </w:pPr>
            <w:r>
              <w:rPr>
                <w:color w:val="auto"/>
              </w:rPr>
              <w:t>q—设计暴雨强度，L/s.hm</w:t>
            </w:r>
            <w:r>
              <w:rPr>
                <w:color w:val="auto"/>
                <w:vertAlign w:val="superscript"/>
              </w:rPr>
              <w:t>2</w:t>
            </w:r>
            <w:r>
              <w:rPr>
                <w:color w:val="auto"/>
              </w:rPr>
              <w:t>；</w:t>
            </w:r>
          </w:p>
          <w:p w14:paraId="437DED06">
            <w:pPr>
              <w:ind w:firstLine="1200" w:firstLineChars="500"/>
              <w:rPr>
                <w:color w:val="auto"/>
              </w:rPr>
            </w:pPr>
            <w:r>
              <w:rPr>
                <w:rFonts w:hint="default" w:ascii="Times New Roman" w:hAnsi="Times New Roman" w:eastAsia="宋体" w:cs="Times New Roman"/>
                <w:bCs/>
                <w:color w:val="auto"/>
                <w:sz w:val="24"/>
                <w:szCs w:val="24"/>
                <w:highlight w:val="none"/>
              </w:rPr>
              <w:sym w:font="Symbol" w:char="F079"/>
            </w:r>
            <w:r>
              <w:rPr>
                <w:color w:val="auto"/>
              </w:rPr>
              <w:t>—径流系数；</w:t>
            </w:r>
          </w:p>
          <w:p w14:paraId="466BFA3C">
            <w:pPr>
              <w:ind w:firstLine="1200" w:firstLineChars="500"/>
              <w:rPr>
                <w:color w:val="auto"/>
              </w:rPr>
            </w:pPr>
            <w:r>
              <w:rPr>
                <w:color w:val="auto"/>
              </w:rPr>
              <w:t>F—汇水面积，hm</w:t>
            </w:r>
            <w:r>
              <w:rPr>
                <w:color w:val="auto"/>
                <w:vertAlign w:val="superscript"/>
              </w:rPr>
              <w:t>2</w:t>
            </w:r>
            <w:r>
              <w:rPr>
                <w:color w:val="auto"/>
              </w:rPr>
              <w:t>。</w:t>
            </w:r>
          </w:p>
          <w:p w14:paraId="36084D1A">
            <w:pPr>
              <w:pStyle w:val="771"/>
              <w:bidi w:val="0"/>
              <w:rPr>
                <w:bCs/>
                <w:color w:val="auto"/>
                <w:lang w:bidi="ar"/>
              </w:rPr>
            </w:pPr>
            <w:r>
              <w:rPr>
                <w:color w:val="auto"/>
              </w:rPr>
              <w:t>项目汇水面积</w:t>
            </w:r>
            <w:r>
              <w:rPr>
                <w:rFonts w:hint="eastAsia"/>
                <w:color w:val="auto"/>
                <w:lang w:eastAsia="zh-CN"/>
              </w:rPr>
              <w:t>取</w:t>
            </w:r>
            <w:r>
              <w:rPr>
                <w:bCs/>
                <w:color w:val="auto"/>
              </w:rPr>
              <w:t>F=</w:t>
            </w:r>
            <w:r>
              <w:rPr>
                <w:rFonts w:hint="eastAsia"/>
                <w:bCs/>
                <w:color w:val="auto"/>
                <w:lang w:val="en-US" w:eastAsia="zh-CN"/>
              </w:rPr>
              <w:t>1</w:t>
            </w:r>
            <w:r>
              <w:rPr>
                <w:bCs/>
                <w:color w:val="auto"/>
              </w:rPr>
              <w:t>hm</w:t>
            </w:r>
            <w:r>
              <w:rPr>
                <w:bCs/>
                <w:color w:val="auto"/>
                <w:vertAlign w:val="superscript"/>
              </w:rPr>
              <w:t>2</w:t>
            </w:r>
            <w:r>
              <w:rPr>
                <w:bCs/>
                <w:color w:val="auto"/>
              </w:rPr>
              <w:t>，径流系数取0.</w:t>
            </w:r>
            <w:r>
              <w:rPr>
                <w:rFonts w:hint="eastAsia"/>
                <w:bCs/>
                <w:color w:val="auto"/>
              </w:rPr>
              <w:t>9</w:t>
            </w:r>
            <w:r>
              <w:rPr>
                <w:bCs/>
                <w:color w:val="auto"/>
              </w:rPr>
              <w:t>（混凝土路面），计算得雨水设计流量Q为</w:t>
            </w:r>
            <w:r>
              <w:rPr>
                <w:rFonts w:hint="eastAsia"/>
                <w:bCs/>
                <w:color w:val="auto"/>
                <w:lang w:val="en-US" w:eastAsia="zh-CN"/>
              </w:rPr>
              <w:t>31.104</w:t>
            </w:r>
            <w:r>
              <w:rPr>
                <w:bCs/>
                <w:color w:val="auto"/>
              </w:rPr>
              <w:t>L/s。若按收集前15min雨水</w:t>
            </w:r>
            <w:r>
              <w:rPr>
                <w:rFonts w:hint="eastAsia"/>
                <w:bCs/>
                <w:color w:val="auto"/>
                <w:lang w:val="en-US" w:eastAsia="zh-CN"/>
              </w:rPr>
              <w:t>量</w:t>
            </w:r>
            <w:r>
              <w:rPr>
                <w:bCs/>
                <w:color w:val="auto"/>
              </w:rPr>
              <w:t>，初期雨水量</w:t>
            </w:r>
            <w:r>
              <w:rPr>
                <w:rFonts w:hint="eastAsia"/>
                <w:bCs/>
                <w:color w:val="auto"/>
                <w:lang w:eastAsia="zh-CN"/>
              </w:rPr>
              <w:t>约</w:t>
            </w:r>
            <w:r>
              <w:rPr>
                <w:bCs/>
                <w:color w:val="auto"/>
              </w:rPr>
              <w:t>为</w:t>
            </w:r>
            <w:r>
              <w:rPr>
                <w:rFonts w:hint="eastAsia"/>
                <w:bCs/>
                <w:color w:val="auto"/>
                <w:lang w:val="en-US" w:eastAsia="zh-CN"/>
              </w:rPr>
              <w:t>28</w:t>
            </w:r>
            <w:r>
              <w:rPr>
                <w:bCs/>
                <w:color w:val="auto"/>
              </w:rPr>
              <w:t>m</w:t>
            </w:r>
            <w:r>
              <w:rPr>
                <w:bCs/>
                <w:color w:val="auto"/>
                <w:vertAlign w:val="superscript"/>
              </w:rPr>
              <w:t>3</w:t>
            </w:r>
            <w:r>
              <w:rPr>
                <w:rFonts w:hint="eastAsia"/>
                <w:bCs/>
                <w:color w:val="auto"/>
              </w:rPr>
              <w:t>/次</w:t>
            </w:r>
            <w:r>
              <w:rPr>
                <w:bCs/>
                <w:color w:val="auto"/>
                <w:lang w:bidi="ar"/>
              </w:rPr>
              <w:t>。年降雨次数取1</w:t>
            </w:r>
            <w:r>
              <w:rPr>
                <w:rFonts w:hint="eastAsia"/>
                <w:bCs/>
                <w:color w:val="auto"/>
                <w:lang w:val="en-US" w:eastAsia="zh-CN" w:bidi="ar"/>
              </w:rPr>
              <w:t>5</w:t>
            </w:r>
            <w:r>
              <w:rPr>
                <w:bCs/>
                <w:color w:val="auto"/>
                <w:lang w:bidi="ar"/>
              </w:rPr>
              <w:t>次，则本项目初期雨水量为</w:t>
            </w:r>
            <w:r>
              <w:rPr>
                <w:rFonts w:hint="eastAsia"/>
                <w:bCs/>
                <w:color w:val="auto"/>
                <w:lang w:val="en-US" w:eastAsia="zh-CN" w:bidi="ar"/>
              </w:rPr>
              <w:t>420t</w:t>
            </w:r>
            <w:r>
              <w:rPr>
                <w:rFonts w:hint="eastAsia"/>
                <w:bCs/>
                <w:color w:val="auto"/>
                <w:lang w:bidi="ar"/>
              </w:rPr>
              <w:t>/a</w:t>
            </w:r>
            <w:r>
              <w:rPr>
                <w:bCs/>
                <w:color w:val="auto"/>
                <w:lang w:bidi="ar"/>
              </w:rPr>
              <w:t>。</w:t>
            </w:r>
          </w:p>
          <w:p w14:paraId="01B8FD25">
            <w:pPr>
              <w:pStyle w:val="771"/>
              <w:bidi w:val="0"/>
              <w:rPr>
                <w:rFonts w:hint="eastAsia"/>
                <w:color w:val="auto"/>
                <w:lang w:val="en-US" w:eastAsia="zh-CN"/>
              </w:rPr>
            </w:pPr>
            <w:r>
              <w:rPr>
                <w:rFonts w:hint="eastAsia"/>
                <w:bCs/>
                <w:color w:val="auto"/>
                <w:lang w:eastAsia="zh-CN" w:bidi="ar"/>
              </w:rPr>
              <w:t>本项目在厂区地势最低处建设一座容积为</w:t>
            </w:r>
            <w:r>
              <w:rPr>
                <w:rFonts w:hint="eastAsia"/>
                <w:bCs/>
                <w:color w:val="auto"/>
                <w:lang w:val="en-US" w:eastAsia="zh-CN" w:bidi="ar"/>
              </w:rPr>
              <w:t>50</w:t>
            </w:r>
            <w:r>
              <w:rPr>
                <w:rFonts w:hint="eastAsia"/>
                <w:bCs/>
                <w:color w:val="auto"/>
                <w:lang w:eastAsia="zh-CN" w:bidi="ar"/>
              </w:rPr>
              <w:t>m</w:t>
            </w:r>
            <w:r>
              <w:rPr>
                <w:rFonts w:hint="eastAsia"/>
                <w:bCs/>
                <w:color w:val="auto"/>
                <w:vertAlign w:val="superscript"/>
                <w:lang w:eastAsia="zh-CN" w:bidi="ar"/>
              </w:rPr>
              <w:t>3</w:t>
            </w:r>
            <w:r>
              <w:rPr>
                <w:rFonts w:hint="eastAsia"/>
                <w:bCs/>
                <w:color w:val="auto"/>
                <w:lang w:eastAsia="zh-CN" w:bidi="ar"/>
              </w:rPr>
              <w:t>的初期雨水池，初期雨水经排水沟进入初期雨水池，用于厂区内洒水降尘。</w:t>
            </w:r>
          </w:p>
          <w:p w14:paraId="51273648">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表 </w:t>
            </w:r>
            <w:r>
              <w:rPr>
                <w:rFonts w:hint="eastAsia"/>
                <w:color w:val="auto"/>
                <w:lang w:val="en-US" w:eastAsia="zh-CN"/>
              </w:rPr>
              <w:t>4</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3</w:t>
            </w:r>
            <w:r>
              <w:rPr>
                <w:color w:val="auto"/>
              </w:rPr>
              <w:fldChar w:fldCharType="end"/>
            </w:r>
            <w:r>
              <w:rPr>
                <w:rFonts w:hint="eastAsia"/>
                <w:color w:val="auto"/>
                <w:lang w:val="en-US" w:eastAsia="zh-CN"/>
              </w:rPr>
              <w:t xml:space="preserve"> </w:t>
            </w:r>
            <w:r>
              <w:rPr>
                <w:rFonts w:hint="eastAsia" w:cs="Times New Roman"/>
                <w:color w:val="auto"/>
                <w:lang w:eastAsia="zh-CN"/>
              </w:rPr>
              <w:t>项目</w:t>
            </w:r>
            <w:r>
              <w:rPr>
                <w:rFonts w:cs="Times New Roman"/>
                <w:color w:val="auto"/>
              </w:rPr>
              <w:t>废水污染物产生及处理情况一览表</w:t>
            </w:r>
          </w:p>
          <w:tbl>
            <w:tblPr>
              <w:tblStyle w:val="53"/>
              <w:tblW w:w="834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12"/>
              <w:gridCol w:w="1190"/>
              <w:gridCol w:w="1020"/>
              <w:gridCol w:w="1092"/>
              <w:gridCol w:w="981"/>
              <w:gridCol w:w="604"/>
              <w:gridCol w:w="1125"/>
              <w:gridCol w:w="919"/>
            </w:tblGrid>
            <w:tr w14:paraId="6572E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1" w:hRule="atLeast"/>
                <w:jc w:val="center"/>
              </w:trPr>
              <w:tc>
                <w:tcPr>
                  <w:tcW w:w="846" w:type="pct"/>
                  <w:vMerge w:val="restart"/>
                  <w:tcBorders>
                    <w:top w:val="single" w:color="000000" w:sz="4" w:space="0"/>
                    <w:left w:val="single" w:color="000000" w:sz="4" w:space="0"/>
                    <w:right w:val="single" w:color="000000" w:sz="4" w:space="0"/>
                  </w:tcBorders>
                  <w:shd w:val="clear" w:color="auto" w:fill="auto"/>
                  <w:vAlign w:val="center"/>
                </w:tcPr>
                <w:p w14:paraId="3981ABA7">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sz w:val="18"/>
                      <w:szCs w:val="18"/>
                      <w:u w:val="none"/>
                    </w:rPr>
                  </w:pPr>
                  <w:r>
                    <w:rPr>
                      <w:rFonts w:hint="default" w:ascii="Times New Roman" w:hAnsi="Times New Roman" w:eastAsia="宋体" w:cs="Times New Roman"/>
                      <w:b w:val="0"/>
                      <w:bCs w:val="0"/>
                      <w:i w:val="0"/>
                      <w:iCs w:val="0"/>
                      <w:color w:val="auto"/>
                      <w:kern w:val="0"/>
                      <w:sz w:val="18"/>
                      <w:szCs w:val="18"/>
                      <w:u w:val="none"/>
                      <w:lang w:val="en-US" w:eastAsia="zh-CN" w:bidi="ar"/>
                    </w:rPr>
                    <w:t>废水类别</w:t>
                  </w:r>
                </w:p>
              </w:tc>
              <w:tc>
                <w:tcPr>
                  <w:tcW w:w="713" w:type="pct"/>
                  <w:vMerge w:val="restart"/>
                  <w:tcBorders>
                    <w:top w:val="single" w:color="000000" w:sz="4" w:space="0"/>
                    <w:left w:val="single" w:color="000000" w:sz="4" w:space="0"/>
                    <w:right w:val="single" w:color="000000" w:sz="4" w:space="0"/>
                  </w:tcBorders>
                  <w:shd w:val="clear" w:color="auto" w:fill="auto"/>
                  <w:vAlign w:val="center"/>
                </w:tcPr>
                <w:p w14:paraId="31360CA8">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sz w:val="18"/>
                      <w:szCs w:val="18"/>
                      <w:u w:val="none"/>
                    </w:rPr>
                  </w:pPr>
                  <w:r>
                    <w:rPr>
                      <w:rFonts w:hint="default" w:ascii="Times New Roman" w:hAnsi="Times New Roman" w:eastAsia="宋体" w:cs="Times New Roman"/>
                      <w:b w:val="0"/>
                      <w:bCs w:val="0"/>
                      <w:i w:val="0"/>
                      <w:iCs w:val="0"/>
                      <w:color w:val="auto"/>
                      <w:kern w:val="0"/>
                      <w:sz w:val="18"/>
                      <w:szCs w:val="18"/>
                      <w:u w:val="none"/>
                      <w:lang w:val="en-US" w:eastAsia="zh-CN" w:bidi="ar"/>
                    </w:rPr>
                    <w:t>主要污染物</w:t>
                  </w:r>
                </w:p>
              </w:tc>
              <w:tc>
                <w:tcPr>
                  <w:tcW w:w="1265" w:type="pct"/>
                  <w:gridSpan w:val="2"/>
                  <w:tcBorders>
                    <w:top w:val="single" w:color="000000" w:sz="4" w:space="0"/>
                    <w:left w:val="single" w:color="000000" w:sz="4" w:space="0"/>
                    <w:bottom w:val="single" w:color="auto" w:sz="4" w:space="0"/>
                    <w:right w:val="single" w:color="000000" w:sz="4" w:space="0"/>
                  </w:tcBorders>
                  <w:shd w:val="clear" w:color="auto" w:fill="auto"/>
                  <w:vAlign w:val="center"/>
                </w:tcPr>
                <w:p w14:paraId="6D945A71">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eastAsia" w:ascii="Times New Roman" w:hAnsi="Times New Roman" w:eastAsia="宋体" w:cs="Times New Roman"/>
                      <w:b w:val="0"/>
                      <w:bCs w:val="0"/>
                      <w:i w:val="0"/>
                      <w:iCs w:val="0"/>
                      <w:color w:val="auto"/>
                      <w:sz w:val="18"/>
                      <w:szCs w:val="18"/>
                      <w:u w:val="none"/>
                      <w:lang w:eastAsia="zh-CN"/>
                    </w:rPr>
                  </w:pPr>
                  <w:r>
                    <w:rPr>
                      <w:rFonts w:hint="eastAsia" w:cs="Times New Roman"/>
                      <w:b w:val="0"/>
                      <w:bCs w:val="0"/>
                      <w:i w:val="0"/>
                      <w:iCs w:val="0"/>
                      <w:color w:val="auto"/>
                      <w:sz w:val="18"/>
                      <w:szCs w:val="18"/>
                      <w:u w:val="none"/>
                      <w:lang w:eastAsia="zh-CN"/>
                    </w:rPr>
                    <w:t>产生情况</w:t>
                  </w:r>
                </w:p>
              </w:tc>
              <w:tc>
                <w:tcPr>
                  <w:tcW w:w="950" w:type="pct"/>
                  <w:gridSpan w:val="2"/>
                  <w:tcBorders>
                    <w:top w:val="single" w:color="000000" w:sz="4" w:space="0"/>
                    <w:left w:val="single" w:color="000000" w:sz="4" w:space="0"/>
                    <w:bottom w:val="single" w:color="auto" w:sz="4" w:space="0"/>
                    <w:right w:val="single" w:color="000000" w:sz="4" w:space="0"/>
                  </w:tcBorders>
                  <w:shd w:val="clear" w:color="auto" w:fill="auto"/>
                  <w:vAlign w:val="center"/>
                </w:tcPr>
                <w:p w14:paraId="312C2B56">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sz w:val="18"/>
                      <w:szCs w:val="18"/>
                      <w:u w:val="none"/>
                    </w:rPr>
                  </w:pPr>
                  <w:r>
                    <w:rPr>
                      <w:rFonts w:hint="default" w:ascii="Times New Roman" w:hAnsi="Times New Roman" w:eastAsia="宋体" w:cs="Times New Roman"/>
                      <w:b w:val="0"/>
                      <w:bCs w:val="0"/>
                      <w:i w:val="0"/>
                      <w:iCs w:val="0"/>
                      <w:color w:val="auto"/>
                      <w:kern w:val="0"/>
                      <w:sz w:val="18"/>
                      <w:szCs w:val="18"/>
                      <w:u w:val="none"/>
                      <w:lang w:val="en-US" w:eastAsia="zh-CN" w:bidi="ar"/>
                    </w:rPr>
                    <w:t>处理措施</w:t>
                  </w:r>
                </w:p>
              </w:tc>
              <w:tc>
                <w:tcPr>
                  <w:tcW w:w="1224" w:type="pct"/>
                  <w:gridSpan w:val="2"/>
                  <w:tcBorders>
                    <w:top w:val="single" w:color="000000" w:sz="4" w:space="0"/>
                    <w:left w:val="single" w:color="000000" w:sz="4" w:space="0"/>
                    <w:bottom w:val="single" w:color="auto" w:sz="4" w:space="0"/>
                    <w:right w:val="single" w:color="000000" w:sz="4" w:space="0"/>
                  </w:tcBorders>
                  <w:shd w:val="clear" w:color="auto" w:fill="auto"/>
                  <w:vAlign w:val="center"/>
                </w:tcPr>
                <w:p w14:paraId="65B12714">
                  <w:pPr>
                    <w:pStyle w:val="77"/>
                    <w:bidi w:val="0"/>
                    <w:rPr>
                      <w:rFonts w:hint="default" w:ascii="Times New Roman" w:hAnsi="Times New Roman" w:eastAsia="宋体" w:cs="Times New Roman"/>
                      <w:b w:val="0"/>
                      <w:bCs w:val="0"/>
                      <w:i w:val="0"/>
                      <w:iCs w:val="0"/>
                      <w:color w:val="auto"/>
                      <w:kern w:val="0"/>
                      <w:sz w:val="18"/>
                      <w:szCs w:val="18"/>
                      <w:u w:val="none"/>
                      <w:lang w:val="en-US" w:eastAsia="zh-CN" w:bidi="ar"/>
                    </w:rPr>
                  </w:pPr>
                  <w:r>
                    <w:rPr>
                      <w:b w:val="0"/>
                      <w:bCs w:val="0"/>
                      <w:color w:val="auto"/>
                    </w:rPr>
                    <w:t>排放情况</w:t>
                  </w:r>
                </w:p>
              </w:tc>
            </w:tr>
            <w:tr w14:paraId="2E50D0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jc w:val="center"/>
              </w:trPr>
              <w:tc>
                <w:tcPr>
                  <w:tcW w:w="846" w:type="pct"/>
                  <w:vMerge w:val="continue"/>
                  <w:tcBorders>
                    <w:left w:val="single" w:color="000000" w:sz="4" w:space="0"/>
                    <w:bottom w:val="single" w:color="000000" w:sz="4" w:space="0"/>
                    <w:right w:val="single" w:color="000000" w:sz="4" w:space="0"/>
                  </w:tcBorders>
                  <w:shd w:val="clear" w:color="auto" w:fill="auto"/>
                  <w:vAlign w:val="center"/>
                </w:tcPr>
                <w:p w14:paraId="1700F035">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p>
              </w:tc>
              <w:tc>
                <w:tcPr>
                  <w:tcW w:w="713" w:type="pct"/>
                  <w:vMerge w:val="continue"/>
                  <w:tcBorders>
                    <w:left w:val="single" w:color="000000" w:sz="4" w:space="0"/>
                    <w:bottom w:val="single" w:color="000000" w:sz="4" w:space="0"/>
                    <w:right w:val="single" w:color="000000" w:sz="4" w:space="0"/>
                  </w:tcBorders>
                  <w:shd w:val="clear" w:color="auto" w:fill="auto"/>
                  <w:vAlign w:val="center"/>
                </w:tcPr>
                <w:p w14:paraId="015CBC31">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p>
              </w:tc>
              <w:tc>
                <w:tcPr>
                  <w:tcW w:w="611" w:type="pct"/>
                  <w:tcBorders>
                    <w:top w:val="single" w:color="auto" w:sz="4" w:space="0"/>
                    <w:left w:val="single" w:color="000000" w:sz="4" w:space="0"/>
                    <w:bottom w:val="single" w:color="000000" w:sz="4" w:space="0"/>
                    <w:right w:val="single" w:color="000000" w:sz="4" w:space="0"/>
                  </w:tcBorders>
                  <w:shd w:val="clear" w:color="auto" w:fill="auto"/>
                  <w:vAlign w:val="center"/>
                </w:tcPr>
                <w:p w14:paraId="3F90F1B9">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z w:val="21"/>
                      <w:lang w:val="en-US" w:eastAsia="zh-CN" w:bidi="ar-SA"/>
                    </w:rPr>
                  </w:pPr>
                  <w:r>
                    <w:rPr>
                      <w:rFonts w:hint="default" w:ascii="Times New Roman" w:hAnsi="Times New Roman" w:eastAsia="宋体" w:cs="Times New Roman"/>
                      <w:b w:val="0"/>
                      <w:bCs w:val="0"/>
                      <w:color w:val="auto"/>
                      <w:sz w:val="21"/>
                      <w:lang w:val="en-US" w:eastAsia="zh-CN" w:bidi="ar-SA"/>
                    </w:rPr>
                    <w:t>产生浓度mg/L</w:t>
                  </w:r>
                </w:p>
              </w:tc>
              <w:tc>
                <w:tcPr>
                  <w:tcW w:w="654" w:type="pct"/>
                  <w:tcBorders>
                    <w:top w:val="single" w:color="auto" w:sz="4" w:space="0"/>
                    <w:left w:val="single" w:color="000000" w:sz="4" w:space="0"/>
                    <w:bottom w:val="single" w:color="000000" w:sz="4" w:space="0"/>
                    <w:right w:val="single" w:color="000000" w:sz="4" w:space="0"/>
                  </w:tcBorders>
                  <w:shd w:val="clear" w:color="auto" w:fill="auto"/>
                  <w:vAlign w:val="center"/>
                </w:tcPr>
                <w:p w14:paraId="5CA34462">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z w:val="21"/>
                      <w:lang w:val="en-US" w:eastAsia="zh-CN" w:bidi="ar-SA"/>
                    </w:rPr>
                  </w:pPr>
                  <w:r>
                    <w:rPr>
                      <w:rFonts w:hint="default" w:ascii="Times New Roman" w:hAnsi="Times New Roman" w:eastAsia="宋体" w:cs="Times New Roman"/>
                      <w:b w:val="0"/>
                      <w:bCs w:val="0"/>
                      <w:color w:val="auto"/>
                      <w:sz w:val="21"/>
                      <w:lang w:val="en-US" w:eastAsia="zh-CN" w:bidi="ar-SA"/>
                    </w:rPr>
                    <w:t>产生量t/a</w:t>
                  </w:r>
                </w:p>
              </w:tc>
              <w:tc>
                <w:tcPr>
                  <w:tcW w:w="588" w:type="pct"/>
                  <w:tcBorders>
                    <w:top w:val="single" w:color="auto" w:sz="4" w:space="0"/>
                    <w:left w:val="single" w:color="000000" w:sz="4" w:space="0"/>
                    <w:bottom w:val="single" w:color="000000" w:sz="4" w:space="0"/>
                    <w:right w:val="single" w:color="auto" w:sz="4" w:space="0"/>
                  </w:tcBorders>
                  <w:shd w:val="clear" w:color="auto" w:fill="auto"/>
                  <w:vAlign w:val="center"/>
                </w:tcPr>
                <w:p w14:paraId="3F10640B">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r>
                    <w:rPr>
                      <w:rFonts w:hint="eastAsia" w:cs="Times New Roman"/>
                      <w:b w:val="0"/>
                      <w:bCs w:val="0"/>
                      <w:i w:val="0"/>
                      <w:iCs w:val="0"/>
                      <w:color w:val="auto"/>
                      <w:kern w:val="0"/>
                      <w:sz w:val="18"/>
                      <w:szCs w:val="18"/>
                      <w:u w:val="none"/>
                      <w:lang w:val="en-US" w:eastAsia="zh-CN" w:bidi="ar"/>
                    </w:rPr>
                    <w:t>处理工艺</w:t>
                  </w:r>
                </w:p>
              </w:tc>
              <w:tc>
                <w:tcPr>
                  <w:tcW w:w="361" w:type="pct"/>
                  <w:tcBorders>
                    <w:top w:val="single" w:color="auto" w:sz="4" w:space="0"/>
                    <w:left w:val="single" w:color="auto" w:sz="4" w:space="0"/>
                    <w:bottom w:val="single" w:color="auto" w:sz="4" w:space="0"/>
                    <w:right w:val="single" w:color="000000" w:sz="4" w:space="0"/>
                  </w:tcBorders>
                  <w:shd w:val="clear" w:color="auto" w:fill="auto"/>
                  <w:vAlign w:val="center"/>
                </w:tcPr>
                <w:p w14:paraId="37F1B22F">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r>
                    <w:rPr>
                      <w:rFonts w:hint="eastAsia" w:cs="Times New Roman"/>
                      <w:b w:val="0"/>
                      <w:bCs w:val="0"/>
                      <w:i w:val="0"/>
                      <w:iCs w:val="0"/>
                      <w:color w:val="auto"/>
                      <w:kern w:val="0"/>
                      <w:sz w:val="18"/>
                      <w:szCs w:val="18"/>
                      <w:u w:val="none"/>
                      <w:lang w:val="en-US" w:eastAsia="zh-CN" w:bidi="ar"/>
                    </w:rPr>
                    <w:t>处理效率</w:t>
                  </w:r>
                </w:p>
              </w:tc>
              <w:tc>
                <w:tcPr>
                  <w:tcW w:w="674" w:type="pct"/>
                  <w:tcBorders>
                    <w:top w:val="single" w:color="auto" w:sz="4" w:space="0"/>
                    <w:left w:val="single" w:color="000000" w:sz="4" w:space="0"/>
                    <w:bottom w:val="single" w:color="auto" w:sz="4" w:space="0"/>
                    <w:right w:val="single" w:color="auto" w:sz="4" w:space="0"/>
                  </w:tcBorders>
                  <w:shd w:val="clear" w:color="auto" w:fill="auto"/>
                  <w:vAlign w:val="center"/>
                </w:tcPr>
                <w:p w14:paraId="3E05F132">
                  <w:pPr>
                    <w:pStyle w:val="77"/>
                    <w:bidi w:val="0"/>
                    <w:rPr>
                      <w:rFonts w:hint="eastAsia" w:ascii="Times New Roman" w:hAnsi="Times New Roman" w:eastAsia="宋体" w:cs="Times New Roman"/>
                      <w:b w:val="0"/>
                      <w:bCs w:val="0"/>
                      <w:i w:val="0"/>
                      <w:iCs w:val="0"/>
                      <w:color w:val="auto"/>
                      <w:kern w:val="0"/>
                      <w:sz w:val="18"/>
                      <w:szCs w:val="18"/>
                      <w:u w:val="none"/>
                      <w:lang w:val="en-US" w:eastAsia="zh-CN" w:bidi="ar"/>
                    </w:rPr>
                  </w:pPr>
                  <w:r>
                    <w:rPr>
                      <w:b w:val="0"/>
                      <w:bCs w:val="0"/>
                      <w:color w:val="auto"/>
                    </w:rPr>
                    <w:t>排放浓度</w:t>
                  </w:r>
                  <w:r>
                    <w:rPr>
                      <w:rFonts w:hint="default" w:ascii="Times New Roman" w:hAnsi="Times New Roman" w:cs="Times New Roman"/>
                      <w:b w:val="0"/>
                      <w:bCs w:val="0"/>
                      <w:color w:val="auto"/>
                    </w:rPr>
                    <w:t>mg/m</w:t>
                  </w:r>
                  <w:r>
                    <w:rPr>
                      <w:rFonts w:hint="default" w:ascii="Times New Roman" w:hAnsi="Times New Roman" w:cs="Times New Roman"/>
                      <w:b w:val="0"/>
                      <w:bCs w:val="0"/>
                      <w:color w:val="auto"/>
                      <w:vertAlign w:val="superscript"/>
                      <w:lang w:val="en-US" w:eastAsia="zh-CN"/>
                    </w:rPr>
                    <w:t>3</w:t>
                  </w:r>
                </w:p>
              </w:tc>
              <w:tc>
                <w:tcPr>
                  <w:tcW w:w="550" w:type="pct"/>
                  <w:tcBorders>
                    <w:top w:val="single" w:color="auto" w:sz="4" w:space="0"/>
                    <w:left w:val="single" w:color="auto" w:sz="4" w:space="0"/>
                    <w:bottom w:val="single" w:color="auto" w:sz="4" w:space="0"/>
                    <w:right w:val="single" w:color="000000" w:sz="4" w:space="0"/>
                  </w:tcBorders>
                  <w:shd w:val="clear" w:color="auto" w:fill="auto"/>
                  <w:vAlign w:val="center"/>
                </w:tcPr>
                <w:p w14:paraId="5B2963EC">
                  <w:pPr>
                    <w:pStyle w:val="77"/>
                    <w:bidi w:val="0"/>
                    <w:rPr>
                      <w:rFonts w:hint="default" w:ascii="Times New Roman" w:hAnsi="Times New Roman" w:eastAsia="宋体" w:cs="Times New Roman"/>
                      <w:b w:val="0"/>
                      <w:bCs w:val="0"/>
                      <w:i w:val="0"/>
                      <w:iCs w:val="0"/>
                      <w:color w:val="auto"/>
                      <w:kern w:val="0"/>
                      <w:sz w:val="18"/>
                      <w:szCs w:val="18"/>
                      <w:u w:val="none"/>
                      <w:lang w:val="en-US" w:eastAsia="zh-CN" w:bidi="ar"/>
                    </w:rPr>
                  </w:pPr>
                  <w:r>
                    <w:rPr>
                      <w:b w:val="0"/>
                      <w:bCs w:val="0"/>
                      <w:color w:val="auto"/>
                    </w:rPr>
                    <w:t>排放量</w:t>
                  </w:r>
                  <w:r>
                    <w:rPr>
                      <w:rFonts w:hint="default" w:ascii="Times New Roman" w:hAnsi="Times New Roman" w:cs="Times New Roman"/>
                      <w:b w:val="0"/>
                      <w:bCs w:val="0"/>
                      <w:color w:val="auto"/>
                    </w:rPr>
                    <w:t>t/a</w:t>
                  </w:r>
                </w:p>
              </w:tc>
            </w:tr>
            <w:tr w14:paraId="4A089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6DB660">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r>
                    <w:rPr>
                      <w:rFonts w:hint="default" w:ascii="Times New Roman" w:hAnsi="Times New Roman" w:eastAsia="宋体" w:cs="Times New Roman"/>
                      <w:b w:val="0"/>
                      <w:bCs w:val="0"/>
                      <w:i w:val="0"/>
                      <w:iCs w:val="0"/>
                      <w:color w:val="auto"/>
                      <w:kern w:val="0"/>
                      <w:sz w:val="18"/>
                      <w:szCs w:val="18"/>
                      <w:u w:val="none"/>
                      <w:lang w:val="en-US" w:eastAsia="zh-CN" w:bidi="ar"/>
                    </w:rPr>
                    <w:t>生活污水</w:t>
                  </w:r>
                </w:p>
                <w:p w14:paraId="694B33FA">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r>
                    <w:rPr>
                      <w:rFonts w:hint="eastAsia" w:ascii="Times New Roman" w:hAnsi="Times New Roman" w:eastAsia="宋体" w:cs="Times New Roman"/>
                      <w:b w:val="0"/>
                      <w:bCs w:val="0"/>
                      <w:i w:val="0"/>
                      <w:iCs w:val="0"/>
                      <w:color w:val="auto"/>
                      <w:kern w:val="0"/>
                      <w:sz w:val="18"/>
                      <w:szCs w:val="18"/>
                      <w:u w:val="none"/>
                      <w:lang w:val="en-US" w:eastAsia="zh-CN" w:bidi="ar"/>
                    </w:rPr>
                    <w:t>（234.3t/a）</w:t>
                  </w:r>
                </w:p>
              </w:tc>
              <w:tc>
                <w:tcPr>
                  <w:tcW w:w="7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A6373">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color w:val="auto"/>
                      <w:kern w:val="0"/>
                      <w:sz w:val="18"/>
                      <w:szCs w:val="18"/>
                      <w:u w:val="none"/>
                      <w:lang w:val="en-US" w:eastAsia="zh-CN" w:bidi="ar"/>
                    </w:rPr>
                    <w:t>CODcr</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59266">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default" w:cs="Times New Roman"/>
                      <w:i w:val="0"/>
                      <w:iCs w:val="0"/>
                      <w:color w:val="auto"/>
                      <w:sz w:val="18"/>
                      <w:szCs w:val="18"/>
                      <w:u w:val="none"/>
                      <w:lang w:val="en-US" w:eastAsia="zh-CN"/>
                    </w:rPr>
                    <w:t xml:space="preserve">340 </w:t>
                  </w:r>
                </w:p>
              </w:tc>
              <w:tc>
                <w:tcPr>
                  <w:tcW w:w="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E58A0">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default" w:cs="Times New Roman"/>
                      <w:i w:val="0"/>
                      <w:iCs w:val="0"/>
                      <w:color w:val="auto"/>
                      <w:sz w:val="18"/>
                      <w:szCs w:val="18"/>
                      <w:u w:val="none"/>
                      <w:lang w:val="en-US" w:eastAsia="zh-CN"/>
                    </w:rPr>
                    <w:t>0.0</w:t>
                  </w:r>
                  <w:r>
                    <w:rPr>
                      <w:rFonts w:hint="eastAsia" w:cs="Times New Roman"/>
                      <w:i w:val="0"/>
                      <w:iCs w:val="0"/>
                      <w:color w:val="auto"/>
                      <w:sz w:val="18"/>
                      <w:szCs w:val="18"/>
                      <w:u w:val="none"/>
                      <w:lang w:val="en-US" w:eastAsia="zh-CN"/>
                    </w:rPr>
                    <w:t>8</w:t>
                  </w:r>
                </w:p>
              </w:tc>
              <w:tc>
                <w:tcPr>
                  <w:tcW w:w="588" w:type="pct"/>
                  <w:vMerge w:val="restart"/>
                  <w:tcBorders>
                    <w:top w:val="single" w:color="000000" w:sz="4" w:space="0"/>
                    <w:left w:val="single" w:color="000000" w:sz="4" w:space="0"/>
                    <w:right w:val="single" w:color="auto" w:sz="4" w:space="0"/>
                  </w:tcBorders>
                  <w:shd w:val="clear" w:color="auto" w:fill="auto"/>
                  <w:vAlign w:val="center"/>
                </w:tcPr>
                <w:p w14:paraId="2A9BE9CB">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eastAsia" w:cs="Times New Roman"/>
                      <w:i w:val="0"/>
                      <w:iCs w:val="0"/>
                      <w:color w:val="auto"/>
                      <w:sz w:val="18"/>
                      <w:szCs w:val="18"/>
                      <w:u w:val="none"/>
                      <w:lang w:eastAsia="zh-CN"/>
                    </w:rPr>
                  </w:pPr>
                  <w:r>
                    <w:rPr>
                      <w:rFonts w:hint="eastAsia" w:cs="Times New Roman"/>
                      <w:i w:val="0"/>
                      <w:iCs w:val="0"/>
                      <w:color w:val="auto"/>
                      <w:sz w:val="18"/>
                      <w:szCs w:val="18"/>
                      <w:u w:val="none"/>
                      <w:lang w:eastAsia="zh-CN"/>
                    </w:rPr>
                    <w:t>依托淮南舜岳水泥有限责任公司化粪池</w:t>
                  </w:r>
                </w:p>
              </w:tc>
              <w:tc>
                <w:tcPr>
                  <w:tcW w:w="361" w:type="pct"/>
                  <w:tcBorders>
                    <w:top w:val="single" w:color="auto" w:sz="4" w:space="0"/>
                    <w:left w:val="single" w:color="auto" w:sz="4" w:space="0"/>
                    <w:bottom w:val="single" w:color="auto" w:sz="4" w:space="0"/>
                    <w:right w:val="single" w:color="auto" w:sz="4" w:space="0"/>
                  </w:tcBorders>
                  <w:shd w:val="clear" w:color="auto" w:fill="auto"/>
                  <w:vAlign w:val="center"/>
                </w:tcPr>
                <w:p w14:paraId="0CC2CA8E">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default" w:cs="Times New Roman"/>
                      <w:i w:val="0"/>
                      <w:iCs w:val="0"/>
                      <w:color w:val="auto"/>
                      <w:sz w:val="18"/>
                      <w:szCs w:val="18"/>
                      <w:u w:val="none"/>
                      <w:lang w:val="en-US" w:eastAsia="zh-CN"/>
                    </w:rPr>
                    <w:t xml:space="preserve">0 </w:t>
                  </w:r>
                </w:p>
              </w:tc>
              <w:tc>
                <w:tcPr>
                  <w:tcW w:w="674" w:type="pct"/>
                  <w:tcBorders>
                    <w:top w:val="single" w:color="auto" w:sz="4" w:space="0"/>
                    <w:left w:val="single" w:color="auto" w:sz="4" w:space="0"/>
                    <w:bottom w:val="single" w:color="auto" w:sz="4" w:space="0"/>
                    <w:right w:val="single" w:color="auto" w:sz="4" w:space="0"/>
                  </w:tcBorders>
                  <w:shd w:val="clear" w:color="auto" w:fill="auto"/>
                  <w:vAlign w:val="center"/>
                </w:tcPr>
                <w:p w14:paraId="7DD82ED5">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default" w:cs="Times New Roman"/>
                      <w:i w:val="0"/>
                      <w:iCs w:val="0"/>
                      <w:color w:val="auto"/>
                      <w:sz w:val="18"/>
                      <w:szCs w:val="18"/>
                      <w:u w:val="none"/>
                      <w:lang w:val="en-US" w:eastAsia="zh-CN"/>
                    </w:rPr>
                    <w:t xml:space="preserve">340 </w:t>
                  </w:r>
                </w:p>
              </w:tc>
              <w:tc>
                <w:tcPr>
                  <w:tcW w:w="550" w:type="pct"/>
                  <w:tcBorders>
                    <w:top w:val="single" w:color="auto" w:sz="4" w:space="0"/>
                    <w:left w:val="single" w:color="auto" w:sz="4" w:space="0"/>
                    <w:bottom w:val="single" w:color="auto" w:sz="4" w:space="0"/>
                    <w:right w:val="single" w:color="auto" w:sz="4" w:space="0"/>
                  </w:tcBorders>
                  <w:shd w:val="clear" w:color="auto" w:fill="auto"/>
                  <w:vAlign w:val="center"/>
                </w:tcPr>
                <w:p w14:paraId="26F8C468">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default" w:cs="Times New Roman"/>
                      <w:i w:val="0"/>
                      <w:iCs w:val="0"/>
                      <w:color w:val="auto"/>
                      <w:sz w:val="18"/>
                      <w:szCs w:val="18"/>
                      <w:u w:val="none"/>
                      <w:lang w:val="en-US" w:eastAsia="zh-CN"/>
                    </w:rPr>
                    <w:t>0.0</w:t>
                  </w:r>
                  <w:r>
                    <w:rPr>
                      <w:rFonts w:hint="eastAsia" w:cs="Times New Roman"/>
                      <w:i w:val="0"/>
                      <w:iCs w:val="0"/>
                      <w:color w:val="auto"/>
                      <w:sz w:val="18"/>
                      <w:szCs w:val="18"/>
                      <w:u w:val="none"/>
                      <w:lang w:val="en-US" w:eastAsia="zh-CN"/>
                    </w:rPr>
                    <w:t>8</w:t>
                  </w:r>
                </w:p>
              </w:tc>
            </w:tr>
            <w:tr w14:paraId="53CC10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46" w:type="pct"/>
                  <w:vMerge w:val="continue"/>
                  <w:tcBorders>
                    <w:left w:val="single" w:color="000000" w:sz="4" w:space="0"/>
                    <w:right w:val="single" w:color="000000" w:sz="4" w:space="0"/>
                  </w:tcBorders>
                  <w:shd w:val="clear" w:color="auto" w:fill="auto"/>
                  <w:vAlign w:val="center"/>
                </w:tcPr>
                <w:p w14:paraId="1CF669E5">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p>
              </w:tc>
              <w:tc>
                <w:tcPr>
                  <w:tcW w:w="7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D8050">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eastAsia" w:cs="Times New Roman"/>
                      <w:i w:val="0"/>
                      <w:iCs w:val="0"/>
                      <w:color w:val="auto"/>
                      <w:kern w:val="0"/>
                      <w:sz w:val="18"/>
                      <w:szCs w:val="18"/>
                      <w:u w:val="none"/>
                      <w:lang w:val="en-US" w:eastAsia="zh-CN" w:bidi="ar"/>
                    </w:rPr>
                    <w:t>BOD</w:t>
                  </w:r>
                  <w:r>
                    <w:rPr>
                      <w:rFonts w:hint="eastAsia" w:cs="Times New Roman"/>
                      <w:i w:val="0"/>
                      <w:iCs w:val="0"/>
                      <w:color w:val="auto"/>
                      <w:kern w:val="0"/>
                      <w:sz w:val="18"/>
                      <w:szCs w:val="18"/>
                      <w:u w:val="none"/>
                      <w:vertAlign w:val="subscript"/>
                      <w:lang w:val="en-US" w:eastAsia="zh-CN" w:bidi="ar"/>
                    </w:rPr>
                    <w:t>5</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921A1">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eastAsia" w:cs="Times New Roman"/>
                      <w:i w:val="0"/>
                      <w:iCs w:val="0"/>
                      <w:color w:val="auto"/>
                      <w:sz w:val="18"/>
                      <w:szCs w:val="18"/>
                      <w:u w:val="none"/>
                      <w:lang w:val="en-US" w:eastAsia="zh-CN"/>
                    </w:rPr>
                    <w:t>200</w:t>
                  </w:r>
                </w:p>
              </w:tc>
              <w:tc>
                <w:tcPr>
                  <w:tcW w:w="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D076C">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eastAsia" w:cs="Times New Roman"/>
                      <w:i w:val="0"/>
                      <w:iCs w:val="0"/>
                      <w:color w:val="auto"/>
                      <w:sz w:val="18"/>
                      <w:szCs w:val="18"/>
                      <w:u w:val="none"/>
                      <w:lang w:val="en-US" w:eastAsia="zh-CN"/>
                    </w:rPr>
                    <w:t>0.047</w:t>
                  </w:r>
                </w:p>
              </w:tc>
              <w:tc>
                <w:tcPr>
                  <w:tcW w:w="588" w:type="pct"/>
                  <w:vMerge w:val="continue"/>
                  <w:tcBorders>
                    <w:left w:val="single" w:color="000000" w:sz="4" w:space="0"/>
                    <w:right w:val="single" w:color="auto" w:sz="4" w:space="0"/>
                  </w:tcBorders>
                  <w:shd w:val="clear" w:color="auto" w:fill="auto"/>
                  <w:vAlign w:val="center"/>
                </w:tcPr>
                <w:p w14:paraId="20832454">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eastAsia" w:cs="Times New Roman"/>
                      <w:i w:val="0"/>
                      <w:iCs w:val="0"/>
                      <w:color w:val="auto"/>
                      <w:sz w:val="18"/>
                      <w:szCs w:val="18"/>
                      <w:u w:val="none"/>
                      <w:lang w:eastAsia="zh-CN"/>
                    </w:rPr>
                  </w:pPr>
                </w:p>
              </w:tc>
              <w:tc>
                <w:tcPr>
                  <w:tcW w:w="361" w:type="pct"/>
                  <w:tcBorders>
                    <w:top w:val="single" w:color="auto" w:sz="4" w:space="0"/>
                    <w:left w:val="single" w:color="auto" w:sz="4" w:space="0"/>
                    <w:bottom w:val="single" w:color="auto" w:sz="4" w:space="0"/>
                    <w:right w:val="single" w:color="auto" w:sz="4" w:space="0"/>
                  </w:tcBorders>
                  <w:shd w:val="clear" w:color="auto" w:fill="auto"/>
                  <w:vAlign w:val="center"/>
                </w:tcPr>
                <w:p w14:paraId="34B91F02">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eastAsia" w:cs="Times New Roman"/>
                      <w:i w:val="0"/>
                      <w:iCs w:val="0"/>
                      <w:color w:val="auto"/>
                      <w:sz w:val="18"/>
                      <w:szCs w:val="18"/>
                      <w:u w:val="none"/>
                      <w:lang w:val="en-US" w:eastAsia="zh-CN"/>
                    </w:rPr>
                    <w:t>0</w:t>
                  </w:r>
                </w:p>
              </w:tc>
              <w:tc>
                <w:tcPr>
                  <w:tcW w:w="674" w:type="pct"/>
                  <w:tcBorders>
                    <w:top w:val="single" w:color="auto" w:sz="4" w:space="0"/>
                    <w:left w:val="single" w:color="auto" w:sz="4" w:space="0"/>
                    <w:bottom w:val="single" w:color="auto" w:sz="4" w:space="0"/>
                    <w:right w:val="single" w:color="auto" w:sz="4" w:space="0"/>
                  </w:tcBorders>
                  <w:shd w:val="clear" w:color="auto" w:fill="auto"/>
                  <w:vAlign w:val="center"/>
                </w:tcPr>
                <w:p w14:paraId="4B4B9F5C">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200</w:t>
                  </w:r>
                </w:p>
              </w:tc>
              <w:tc>
                <w:tcPr>
                  <w:tcW w:w="550" w:type="pct"/>
                  <w:tcBorders>
                    <w:top w:val="single" w:color="auto" w:sz="4" w:space="0"/>
                    <w:left w:val="single" w:color="auto" w:sz="4" w:space="0"/>
                    <w:bottom w:val="single" w:color="auto" w:sz="4" w:space="0"/>
                    <w:right w:val="single" w:color="auto" w:sz="4" w:space="0"/>
                  </w:tcBorders>
                  <w:shd w:val="clear" w:color="auto" w:fill="auto"/>
                  <w:vAlign w:val="center"/>
                </w:tcPr>
                <w:p w14:paraId="283A18A9">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0.047</w:t>
                  </w:r>
                </w:p>
              </w:tc>
            </w:tr>
            <w:tr w14:paraId="22BAAD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46" w:type="pct"/>
                  <w:vMerge w:val="continue"/>
                  <w:tcBorders>
                    <w:left w:val="single" w:color="000000" w:sz="4" w:space="0"/>
                    <w:right w:val="single" w:color="000000" w:sz="4" w:space="0"/>
                  </w:tcBorders>
                  <w:shd w:val="clear" w:color="auto" w:fill="auto"/>
                  <w:vAlign w:val="center"/>
                </w:tcPr>
                <w:p w14:paraId="126612E3">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p>
              </w:tc>
              <w:tc>
                <w:tcPr>
                  <w:tcW w:w="7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42BF6">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kern w:val="0"/>
                      <w:sz w:val="18"/>
                      <w:szCs w:val="18"/>
                      <w:u w:val="none"/>
                      <w:lang w:val="en-US" w:eastAsia="zh-CN" w:bidi="ar"/>
                    </w:rPr>
                  </w:pPr>
                  <w:r>
                    <w:rPr>
                      <w:rFonts w:hint="default" w:ascii="Times New Roman" w:hAnsi="Times New Roman" w:eastAsia="宋体" w:cs="Times New Roman"/>
                      <w:color w:val="auto"/>
                      <w:kern w:val="2"/>
                      <w:sz w:val="18"/>
                      <w:szCs w:val="18"/>
                      <w:lang w:val="en-US" w:eastAsia="zh-CN" w:bidi="ar-SA"/>
                    </w:rPr>
                    <w:t>NH</w:t>
                  </w:r>
                  <w:r>
                    <w:rPr>
                      <w:rFonts w:hint="eastAsia" w:cs="Times New Roman"/>
                      <w:color w:val="auto"/>
                      <w:kern w:val="2"/>
                      <w:sz w:val="18"/>
                      <w:szCs w:val="18"/>
                      <w:vertAlign w:val="subscript"/>
                      <w:lang w:val="en-US" w:eastAsia="zh-CN" w:bidi="ar-SA"/>
                    </w:rPr>
                    <w:t>3</w:t>
                  </w:r>
                  <w:r>
                    <w:rPr>
                      <w:rFonts w:hint="default" w:ascii="Times New Roman" w:hAnsi="Times New Roman" w:eastAsia="宋体" w:cs="Times New Roman"/>
                      <w:color w:val="auto"/>
                      <w:kern w:val="2"/>
                      <w:sz w:val="18"/>
                      <w:szCs w:val="18"/>
                      <w:lang w:val="en-US" w:eastAsia="zh-CN" w:bidi="ar-SA"/>
                    </w:rPr>
                    <w:t>-N</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7DBC6">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eastAsia" w:cs="Times New Roman"/>
                      <w:i w:val="0"/>
                      <w:iCs w:val="0"/>
                      <w:color w:val="auto"/>
                      <w:sz w:val="18"/>
                      <w:szCs w:val="18"/>
                      <w:u w:val="none"/>
                      <w:lang w:val="en-US" w:eastAsia="zh-CN"/>
                    </w:rPr>
                    <w:t>30</w:t>
                  </w:r>
                </w:p>
              </w:tc>
              <w:tc>
                <w:tcPr>
                  <w:tcW w:w="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63C0E">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eastAsia" w:cs="Times New Roman"/>
                      <w:i w:val="0"/>
                      <w:iCs w:val="0"/>
                      <w:color w:val="auto"/>
                      <w:sz w:val="18"/>
                      <w:szCs w:val="18"/>
                      <w:u w:val="none"/>
                      <w:lang w:val="en-US" w:eastAsia="zh-CN"/>
                    </w:rPr>
                    <w:t>0.007</w:t>
                  </w:r>
                </w:p>
              </w:tc>
              <w:tc>
                <w:tcPr>
                  <w:tcW w:w="588" w:type="pct"/>
                  <w:vMerge w:val="continue"/>
                  <w:tcBorders>
                    <w:left w:val="single" w:color="000000" w:sz="4" w:space="0"/>
                    <w:right w:val="single" w:color="auto" w:sz="4" w:space="0"/>
                  </w:tcBorders>
                  <w:shd w:val="clear" w:color="auto" w:fill="auto"/>
                  <w:vAlign w:val="center"/>
                </w:tcPr>
                <w:p w14:paraId="7E18F978">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eastAsia" w:cs="Times New Roman"/>
                      <w:i w:val="0"/>
                      <w:iCs w:val="0"/>
                      <w:color w:val="auto"/>
                      <w:sz w:val="18"/>
                      <w:szCs w:val="18"/>
                      <w:u w:val="none"/>
                      <w:lang w:eastAsia="zh-CN"/>
                    </w:rPr>
                  </w:pPr>
                </w:p>
              </w:tc>
              <w:tc>
                <w:tcPr>
                  <w:tcW w:w="361" w:type="pct"/>
                  <w:tcBorders>
                    <w:top w:val="single" w:color="auto" w:sz="4" w:space="0"/>
                    <w:left w:val="single" w:color="auto" w:sz="4" w:space="0"/>
                    <w:bottom w:val="single" w:color="auto" w:sz="4" w:space="0"/>
                    <w:right w:val="single" w:color="auto" w:sz="4" w:space="0"/>
                  </w:tcBorders>
                  <w:shd w:val="clear" w:color="auto" w:fill="auto"/>
                  <w:vAlign w:val="center"/>
                </w:tcPr>
                <w:p w14:paraId="3B3E3008">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eastAsia" w:cs="Times New Roman"/>
                      <w:i w:val="0"/>
                      <w:iCs w:val="0"/>
                      <w:color w:val="auto"/>
                      <w:sz w:val="18"/>
                      <w:szCs w:val="18"/>
                      <w:u w:val="none"/>
                      <w:lang w:val="en-US" w:eastAsia="zh-CN"/>
                    </w:rPr>
                    <w:t>0</w:t>
                  </w:r>
                </w:p>
              </w:tc>
              <w:tc>
                <w:tcPr>
                  <w:tcW w:w="674" w:type="pct"/>
                  <w:tcBorders>
                    <w:top w:val="single" w:color="auto" w:sz="4" w:space="0"/>
                    <w:left w:val="single" w:color="auto" w:sz="4" w:space="0"/>
                    <w:bottom w:val="single" w:color="auto" w:sz="4" w:space="0"/>
                    <w:right w:val="single" w:color="auto" w:sz="4" w:space="0"/>
                  </w:tcBorders>
                  <w:shd w:val="clear" w:color="auto" w:fill="auto"/>
                  <w:vAlign w:val="center"/>
                </w:tcPr>
                <w:p w14:paraId="78A91EDC">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30</w:t>
                  </w:r>
                </w:p>
              </w:tc>
              <w:tc>
                <w:tcPr>
                  <w:tcW w:w="550" w:type="pct"/>
                  <w:tcBorders>
                    <w:top w:val="single" w:color="auto" w:sz="4" w:space="0"/>
                    <w:left w:val="single" w:color="auto" w:sz="4" w:space="0"/>
                    <w:bottom w:val="single" w:color="auto" w:sz="4" w:space="0"/>
                    <w:right w:val="single" w:color="auto" w:sz="4" w:space="0"/>
                  </w:tcBorders>
                  <w:shd w:val="clear" w:color="auto" w:fill="auto"/>
                  <w:vAlign w:val="center"/>
                </w:tcPr>
                <w:p w14:paraId="68713302">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0.007</w:t>
                  </w:r>
                </w:p>
              </w:tc>
            </w:tr>
            <w:tr w14:paraId="3803A3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233332">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p>
              </w:tc>
              <w:tc>
                <w:tcPr>
                  <w:tcW w:w="7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F86B93">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color w:val="auto"/>
                      <w:kern w:val="0"/>
                      <w:sz w:val="18"/>
                      <w:szCs w:val="18"/>
                      <w:u w:val="none"/>
                      <w:lang w:val="en-US" w:eastAsia="zh-CN" w:bidi="ar"/>
                    </w:rPr>
                    <w:t>SS</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C34B4">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default" w:cs="Times New Roman"/>
                      <w:i w:val="0"/>
                      <w:iCs w:val="0"/>
                      <w:color w:val="auto"/>
                      <w:sz w:val="18"/>
                      <w:szCs w:val="18"/>
                      <w:u w:val="none"/>
                      <w:lang w:val="en-US" w:eastAsia="zh-CN"/>
                    </w:rPr>
                    <w:t>200</w:t>
                  </w:r>
                </w:p>
              </w:tc>
              <w:tc>
                <w:tcPr>
                  <w:tcW w:w="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ECE93">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eastAsia" w:cs="Times New Roman"/>
                      <w:i w:val="0"/>
                      <w:iCs w:val="0"/>
                      <w:color w:val="auto"/>
                      <w:sz w:val="18"/>
                      <w:szCs w:val="18"/>
                      <w:u w:val="none"/>
                      <w:lang w:val="en-US" w:eastAsia="zh-CN"/>
                    </w:rPr>
                    <w:t>0.047</w:t>
                  </w:r>
                </w:p>
              </w:tc>
              <w:tc>
                <w:tcPr>
                  <w:tcW w:w="588" w:type="pct"/>
                  <w:vMerge w:val="continue"/>
                  <w:tcBorders>
                    <w:left w:val="single" w:color="000000" w:sz="4" w:space="0"/>
                    <w:right w:val="single" w:color="auto" w:sz="4" w:space="0"/>
                  </w:tcBorders>
                  <w:shd w:val="clear" w:color="auto" w:fill="auto"/>
                  <w:vAlign w:val="center"/>
                </w:tcPr>
                <w:p w14:paraId="0D6F8F55">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p>
              </w:tc>
              <w:tc>
                <w:tcPr>
                  <w:tcW w:w="361" w:type="pct"/>
                  <w:tcBorders>
                    <w:top w:val="single" w:color="auto" w:sz="4" w:space="0"/>
                    <w:left w:val="single" w:color="auto" w:sz="4" w:space="0"/>
                    <w:bottom w:val="single" w:color="auto" w:sz="4" w:space="0"/>
                    <w:right w:val="single" w:color="auto" w:sz="4" w:space="0"/>
                  </w:tcBorders>
                  <w:shd w:val="clear" w:color="auto" w:fill="auto"/>
                  <w:vAlign w:val="center"/>
                </w:tcPr>
                <w:p w14:paraId="7F857DCF">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default" w:cs="Times New Roman"/>
                      <w:i w:val="0"/>
                      <w:iCs w:val="0"/>
                      <w:color w:val="auto"/>
                      <w:sz w:val="18"/>
                      <w:szCs w:val="18"/>
                      <w:u w:val="none"/>
                      <w:lang w:val="en-US" w:eastAsia="zh-CN"/>
                    </w:rPr>
                    <w:t>50%</w:t>
                  </w:r>
                </w:p>
              </w:tc>
              <w:tc>
                <w:tcPr>
                  <w:tcW w:w="674" w:type="pct"/>
                  <w:tcBorders>
                    <w:top w:val="single" w:color="auto" w:sz="4" w:space="0"/>
                    <w:left w:val="single" w:color="auto" w:sz="4" w:space="0"/>
                    <w:bottom w:val="single" w:color="auto" w:sz="4" w:space="0"/>
                    <w:right w:val="single" w:color="auto" w:sz="4" w:space="0"/>
                  </w:tcBorders>
                  <w:shd w:val="clear" w:color="auto" w:fill="auto"/>
                  <w:vAlign w:val="center"/>
                </w:tcPr>
                <w:p w14:paraId="2B8EE5C8">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100</w:t>
                  </w:r>
                </w:p>
              </w:tc>
              <w:tc>
                <w:tcPr>
                  <w:tcW w:w="550" w:type="pct"/>
                  <w:tcBorders>
                    <w:top w:val="single" w:color="auto" w:sz="4" w:space="0"/>
                    <w:left w:val="single" w:color="auto" w:sz="4" w:space="0"/>
                    <w:bottom w:val="single" w:color="auto" w:sz="4" w:space="0"/>
                    <w:right w:val="single" w:color="auto" w:sz="4" w:space="0"/>
                  </w:tcBorders>
                  <w:shd w:val="clear" w:color="auto" w:fill="auto"/>
                  <w:vAlign w:val="center"/>
                </w:tcPr>
                <w:p w14:paraId="7280686B">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default" w:cs="Times New Roman"/>
                      <w:i w:val="0"/>
                      <w:iCs w:val="0"/>
                      <w:color w:val="auto"/>
                      <w:sz w:val="18"/>
                      <w:szCs w:val="18"/>
                      <w:u w:val="none"/>
                      <w:lang w:val="en-US" w:eastAsia="zh-CN"/>
                    </w:rPr>
                    <w:t>0.02</w:t>
                  </w:r>
                  <w:r>
                    <w:rPr>
                      <w:rFonts w:hint="eastAsia" w:cs="Times New Roman"/>
                      <w:i w:val="0"/>
                      <w:iCs w:val="0"/>
                      <w:color w:val="auto"/>
                      <w:sz w:val="18"/>
                      <w:szCs w:val="18"/>
                      <w:u w:val="none"/>
                      <w:lang w:val="en-US" w:eastAsia="zh-CN"/>
                    </w:rPr>
                    <w:t>3</w:t>
                  </w:r>
                </w:p>
              </w:tc>
            </w:tr>
            <w:tr w14:paraId="645A1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A1F3D">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r>
                    <w:rPr>
                      <w:rFonts w:hint="eastAsia" w:ascii="Times New Roman" w:hAnsi="Times New Roman" w:eastAsia="宋体" w:cs="Times New Roman"/>
                      <w:b w:val="0"/>
                      <w:bCs w:val="0"/>
                      <w:i w:val="0"/>
                      <w:iCs w:val="0"/>
                      <w:color w:val="auto"/>
                      <w:kern w:val="0"/>
                      <w:sz w:val="18"/>
                      <w:szCs w:val="18"/>
                      <w:u w:val="none"/>
                      <w:lang w:val="en-US" w:eastAsia="zh-CN" w:bidi="ar"/>
                    </w:rPr>
                    <w:t>洗煤</w:t>
                  </w:r>
                  <w:r>
                    <w:rPr>
                      <w:rFonts w:hint="default" w:ascii="Times New Roman" w:hAnsi="Times New Roman" w:eastAsia="宋体" w:cs="Times New Roman"/>
                      <w:b w:val="0"/>
                      <w:bCs w:val="0"/>
                      <w:i w:val="0"/>
                      <w:iCs w:val="0"/>
                      <w:color w:val="auto"/>
                      <w:kern w:val="0"/>
                      <w:sz w:val="18"/>
                      <w:szCs w:val="18"/>
                      <w:u w:val="none"/>
                      <w:lang w:val="en-US" w:eastAsia="zh-CN" w:bidi="ar"/>
                    </w:rPr>
                    <w:t>废水</w:t>
                  </w:r>
                </w:p>
                <w:p w14:paraId="3B235229">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eastAsia" w:ascii="Times New Roman" w:hAnsi="Times New Roman" w:eastAsia="宋体" w:cs="Times New Roman"/>
                      <w:b w:val="0"/>
                      <w:bCs w:val="0"/>
                      <w:i w:val="0"/>
                      <w:iCs w:val="0"/>
                      <w:color w:val="auto"/>
                      <w:kern w:val="0"/>
                      <w:sz w:val="18"/>
                      <w:szCs w:val="18"/>
                      <w:u w:val="none"/>
                      <w:lang w:val="en-US" w:eastAsia="zh-CN" w:bidi="ar"/>
                    </w:rPr>
                  </w:pPr>
                  <w:r>
                    <w:rPr>
                      <w:rFonts w:hint="eastAsia" w:ascii="Times New Roman" w:hAnsi="Times New Roman" w:eastAsia="宋体" w:cs="Times New Roman"/>
                      <w:b w:val="0"/>
                      <w:bCs w:val="0"/>
                      <w:i w:val="0"/>
                      <w:iCs w:val="0"/>
                      <w:color w:val="auto"/>
                      <w:kern w:val="0"/>
                      <w:sz w:val="18"/>
                      <w:szCs w:val="18"/>
                      <w:u w:val="none"/>
                      <w:lang w:val="en-US" w:eastAsia="zh-CN" w:bidi="ar"/>
                    </w:rPr>
                    <w:t>（180</w:t>
                  </w:r>
                  <w:r>
                    <w:rPr>
                      <w:rFonts w:hint="default" w:ascii="Times New Roman" w:hAnsi="Times New Roman" w:eastAsia="宋体" w:cs="Times New Roman"/>
                      <w:b w:val="0"/>
                      <w:bCs w:val="0"/>
                      <w:i w:val="0"/>
                      <w:iCs w:val="0"/>
                      <w:color w:val="auto"/>
                      <w:kern w:val="0"/>
                      <w:sz w:val="18"/>
                      <w:szCs w:val="18"/>
                      <w:u w:val="none"/>
                      <w:lang w:val="en-US" w:eastAsia="zh-CN" w:bidi="ar"/>
                    </w:rPr>
                    <w:t>000t/a</w:t>
                  </w:r>
                  <w:r>
                    <w:rPr>
                      <w:rFonts w:hint="eastAsia" w:ascii="Times New Roman" w:hAnsi="Times New Roman" w:eastAsia="宋体" w:cs="Times New Roman"/>
                      <w:b w:val="0"/>
                      <w:bCs w:val="0"/>
                      <w:i w:val="0"/>
                      <w:iCs w:val="0"/>
                      <w:color w:val="auto"/>
                      <w:kern w:val="0"/>
                      <w:sz w:val="18"/>
                      <w:szCs w:val="18"/>
                      <w:u w:val="none"/>
                      <w:lang w:val="en-US" w:eastAsia="zh-CN" w:bidi="ar"/>
                    </w:rPr>
                    <w:t>）</w:t>
                  </w:r>
                </w:p>
              </w:tc>
              <w:tc>
                <w:tcPr>
                  <w:tcW w:w="7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EF5C2">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sz w:val="18"/>
                      <w:szCs w:val="18"/>
                      <w:u w:val="none"/>
                    </w:rPr>
                  </w:pPr>
                  <w:r>
                    <w:rPr>
                      <w:rFonts w:hint="default" w:ascii="Times New Roman" w:hAnsi="Times New Roman" w:eastAsia="宋体" w:cs="Times New Roman"/>
                      <w:i w:val="0"/>
                      <w:iCs w:val="0"/>
                      <w:color w:val="auto"/>
                      <w:kern w:val="0"/>
                      <w:sz w:val="18"/>
                      <w:szCs w:val="18"/>
                      <w:u w:val="none"/>
                      <w:lang w:val="en-US" w:eastAsia="zh-CN" w:bidi="ar"/>
                    </w:rPr>
                    <w:t>SS</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D096B">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eastAsia" w:cs="Times New Roman"/>
                      <w:i w:val="0"/>
                      <w:iCs w:val="0"/>
                      <w:color w:val="auto"/>
                      <w:sz w:val="18"/>
                      <w:szCs w:val="18"/>
                      <w:u w:val="none"/>
                      <w:lang w:val="en-US" w:eastAsia="zh-CN"/>
                    </w:rPr>
                    <w:t>/</w:t>
                  </w:r>
                </w:p>
              </w:tc>
              <w:tc>
                <w:tcPr>
                  <w:tcW w:w="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7E826">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eastAsia" w:cs="Times New Roman"/>
                      <w:i w:val="0"/>
                      <w:iCs w:val="0"/>
                      <w:color w:val="auto"/>
                      <w:sz w:val="18"/>
                      <w:szCs w:val="18"/>
                      <w:u w:val="none"/>
                      <w:lang w:val="en-US" w:eastAsia="zh-CN"/>
                    </w:rPr>
                    <w:t>/</w:t>
                  </w:r>
                </w:p>
              </w:tc>
              <w:tc>
                <w:tcPr>
                  <w:tcW w:w="588" w:type="pct"/>
                  <w:tcBorders>
                    <w:top w:val="single" w:color="auto" w:sz="4" w:space="0"/>
                    <w:left w:val="single" w:color="000000" w:sz="4" w:space="0"/>
                    <w:bottom w:val="single" w:color="auto" w:sz="4" w:space="0"/>
                    <w:right w:val="single" w:color="auto" w:sz="4" w:space="0"/>
                  </w:tcBorders>
                  <w:shd w:val="clear" w:color="auto" w:fill="auto"/>
                  <w:vAlign w:val="center"/>
                </w:tcPr>
                <w:p w14:paraId="645AC700">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eastAsia" w:cs="Times New Roman"/>
                      <w:i w:val="0"/>
                      <w:iCs w:val="0"/>
                      <w:color w:val="auto"/>
                      <w:sz w:val="18"/>
                      <w:szCs w:val="18"/>
                      <w:u w:val="none"/>
                      <w:lang w:eastAsia="zh-CN"/>
                    </w:rPr>
                  </w:pPr>
                  <w:r>
                    <w:rPr>
                      <w:rFonts w:hint="eastAsia" w:cs="Times New Roman"/>
                      <w:i w:val="0"/>
                      <w:iCs w:val="0"/>
                      <w:color w:val="auto"/>
                      <w:sz w:val="18"/>
                      <w:szCs w:val="18"/>
                      <w:u w:val="none"/>
                      <w:lang w:eastAsia="zh-CN"/>
                    </w:rPr>
                    <w:t>闭路循环，不外排</w:t>
                  </w:r>
                </w:p>
              </w:tc>
              <w:tc>
                <w:tcPr>
                  <w:tcW w:w="361" w:type="pct"/>
                  <w:tcBorders>
                    <w:top w:val="single" w:color="auto" w:sz="4" w:space="0"/>
                    <w:left w:val="single" w:color="auto" w:sz="4" w:space="0"/>
                    <w:bottom w:val="single" w:color="auto" w:sz="4" w:space="0"/>
                    <w:right w:val="single" w:color="auto" w:sz="4" w:space="0"/>
                  </w:tcBorders>
                  <w:shd w:val="clear" w:color="auto" w:fill="auto"/>
                  <w:vAlign w:val="center"/>
                </w:tcPr>
                <w:p w14:paraId="23975BEA">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eastAsia" w:cs="Times New Roman"/>
                      <w:i w:val="0"/>
                      <w:iCs w:val="0"/>
                      <w:color w:val="auto"/>
                      <w:sz w:val="18"/>
                      <w:szCs w:val="18"/>
                      <w:u w:val="none"/>
                      <w:lang w:val="en-US" w:eastAsia="zh-CN"/>
                    </w:rPr>
                    <w:t>/</w:t>
                  </w:r>
                </w:p>
              </w:tc>
              <w:tc>
                <w:tcPr>
                  <w:tcW w:w="674" w:type="pct"/>
                  <w:tcBorders>
                    <w:top w:val="single" w:color="auto" w:sz="4" w:space="0"/>
                    <w:left w:val="single" w:color="auto" w:sz="4" w:space="0"/>
                    <w:bottom w:val="single" w:color="auto" w:sz="4" w:space="0"/>
                    <w:right w:val="single" w:color="auto" w:sz="4" w:space="0"/>
                  </w:tcBorders>
                  <w:shd w:val="clear" w:color="auto" w:fill="auto"/>
                  <w:vAlign w:val="center"/>
                </w:tcPr>
                <w:p w14:paraId="55F8B59E">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eastAsia" w:cs="Times New Roman"/>
                      <w:i w:val="0"/>
                      <w:iCs w:val="0"/>
                      <w:color w:val="auto"/>
                      <w:sz w:val="18"/>
                      <w:szCs w:val="18"/>
                      <w:u w:val="none"/>
                      <w:lang w:val="en-US" w:eastAsia="zh-CN"/>
                    </w:rPr>
                    <w:t>/</w:t>
                  </w:r>
                </w:p>
              </w:tc>
              <w:tc>
                <w:tcPr>
                  <w:tcW w:w="550" w:type="pct"/>
                  <w:tcBorders>
                    <w:top w:val="single" w:color="auto" w:sz="4" w:space="0"/>
                    <w:left w:val="single" w:color="auto" w:sz="4" w:space="0"/>
                    <w:bottom w:val="single" w:color="auto" w:sz="4" w:space="0"/>
                    <w:right w:val="single" w:color="auto" w:sz="4" w:space="0"/>
                  </w:tcBorders>
                  <w:shd w:val="clear" w:color="auto" w:fill="auto"/>
                  <w:vAlign w:val="center"/>
                </w:tcPr>
                <w:p w14:paraId="74E9E5C4">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val="en-US" w:eastAsia="zh-CN"/>
                    </w:rPr>
                  </w:pPr>
                  <w:r>
                    <w:rPr>
                      <w:rFonts w:hint="eastAsia" w:cs="Times New Roman"/>
                      <w:i w:val="0"/>
                      <w:iCs w:val="0"/>
                      <w:color w:val="auto"/>
                      <w:sz w:val="18"/>
                      <w:szCs w:val="18"/>
                      <w:u w:val="none"/>
                      <w:lang w:val="en-US" w:eastAsia="zh-CN"/>
                    </w:rPr>
                    <w:t>/</w:t>
                  </w:r>
                </w:p>
              </w:tc>
            </w:tr>
            <w:tr w14:paraId="21C0B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5B05F">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b w:val="0"/>
                      <w:bCs w:val="0"/>
                      <w:i w:val="0"/>
                      <w:iCs w:val="0"/>
                      <w:color w:val="auto"/>
                      <w:kern w:val="0"/>
                      <w:sz w:val="18"/>
                      <w:szCs w:val="18"/>
                      <w:u w:val="none"/>
                      <w:lang w:val="en-US" w:eastAsia="zh-CN" w:bidi="ar"/>
                    </w:rPr>
                  </w:pPr>
                  <w:r>
                    <w:rPr>
                      <w:rFonts w:hint="eastAsia" w:ascii="Times New Roman" w:hAnsi="Times New Roman" w:eastAsia="宋体" w:cs="Times New Roman"/>
                      <w:b w:val="0"/>
                      <w:bCs w:val="0"/>
                      <w:i w:val="0"/>
                      <w:iCs w:val="0"/>
                      <w:color w:val="auto"/>
                      <w:kern w:val="0"/>
                      <w:sz w:val="18"/>
                      <w:szCs w:val="18"/>
                      <w:u w:val="none"/>
                      <w:lang w:val="en-US" w:eastAsia="zh-CN" w:bidi="ar"/>
                    </w:rPr>
                    <w:t>洒水抑尘</w:t>
                  </w:r>
                  <w:r>
                    <w:rPr>
                      <w:rFonts w:hint="default" w:ascii="Times New Roman" w:hAnsi="Times New Roman" w:eastAsia="宋体" w:cs="Times New Roman"/>
                      <w:b w:val="0"/>
                      <w:bCs w:val="0"/>
                      <w:i w:val="0"/>
                      <w:iCs w:val="0"/>
                      <w:color w:val="auto"/>
                      <w:kern w:val="0"/>
                      <w:sz w:val="18"/>
                      <w:szCs w:val="18"/>
                      <w:u w:val="none"/>
                      <w:lang w:val="en-US" w:eastAsia="zh-CN" w:bidi="ar"/>
                    </w:rPr>
                    <w:t>废水</w:t>
                  </w:r>
                </w:p>
                <w:p w14:paraId="52AEFC2B">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eastAsia" w:ascii="Times New Roman" w:hAnsi="Times New Roman" w:eastAsia="宋体" w:cs="Times New Roman"/>
                      <w:b w:val="0"/>
                      <w:bCs w:val="0"/>
                      <w:i w:val="0"/>
                      <w:iCs w:val="0"/>
                      <w:color w:val="auto"/>
                      <w:kern w:val="0"/>
                      <w:sz w:val="18"/>
                      <w:szCs w:val="18"/>
                      <w:u w:val="none"/>
                      <w:lang w:val="en-US" w:eastAsia="zh-CN" w:bidi="ar"/>
                    </w:rPr>
                  </w:pPr>
                  <w:r>
                    <w:rPr>
                      <w:rFonts w:hint="eastAsia" w:ascii="Times New Roman" w:hAnsi="Times New Roman" w:eastAsia="宋体" w:cs="Times New Roman"/>
                      <w:b w:val="0"/>
                      <w:bCs w:val="0"/>
                      <w:i w:val="0"/>
                      <w:iCs w:val="0"/>
                      <w:color w:val="auto"/>
                      <w:kern w:val="0"/>
                      <w:sz w:val="18"/>
                      <w:szCs w:val="18"/>
                      <w:u w:val="none"/>
                      <w:lang w:val="en-US" w:eastAsia="zh-CN" w:bidi="ar"/>
                    </w:rPr>
                    <w:t>（7500t</w:t>
                  </w:r>
                  <w:r>
                    <w:rPr>
                      <w:rFonts w:hint="default" w:ascii="Times New Roman" w:hAnsi="Times New Roman" w:eastAsia="宋体" w:cs="Times New Roman"/>
                      <w:b w:val="0"/>
                      <w:bCs w:val="0"/>
                      <w:i w:val="0"/>
                      <w:iCs w:val="0"/>
                      <w:color w:val="auto"/>
                      <w:kern w:val="0"/>
                      <w:sz w:val="18"/>
                      <w:szCs w:val="18"/>
                      <w:u w:val="none"/>
                      <w:lang w:val="en-US" w:eastAsia="zh-CN" w:bidi="ar"/>
                    </w:rPr>
                    <w:t>/a</w:t>
                  </w:r>
                  <w:r>
                    <w:rPr>
                      <w:rFonts w:hint="eastAsia" w:ascii="Times New Roman" w:hAnsi="Times New Roman" w:eastAsia="宋体" w:cs="Times New Roman"/>
                      <w:b w:val="0"/>
                      <w:bCs w:val="0"/>
                      <w:i w:val="0"/>
                      <w:iCs w:val="0"/>
                      <w:color w:val="auto"/>
                      <w:kern w:val="0"/>
                      <w:sz w:val="18"/>
                      <w:szCs w:val="18"/>
                      <w:u w:val="none"/>
                      <w:lang w:val="en-US" w:eastAsia="zh-CN" w:bidi="ar"/>
                    </w:rPr>
                    <w:t>）</w:t>
                  </w:r>
                </w:p>
              </w:tc>
              <w:tc>
                <w:tcPr>
                  <w:tcW w:w="7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745E4">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sz w:val="18"/>
                      <w:szCs w:val="18"/>
                      <w:u w:val="none"/>
                    </w:rPr>
                  </w:pPr>
                  <w:r>
                    <w:rPr>
                      <w:rFonts w:hint="eastAsia" w:cs="Times New Roman"/>
                      <w:i w:val="0"/>
                      <w:iCs w:val="0"/>
                      <w:color w:val="auto"/>
                      <w:kern w:val="0"/>
                      <w:sz w:val="18"/>
                      <w:szCs w:val="18"/>
                      <w:u w:val="none"/>
                      <w:lang w:val="en-US" w:eastAsia="zh-CN" w:bidi="ar"/>
                    </w:rPr>
                    <w:t>/</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A0DDF">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c>
                <w:tcPr>
                  <w:tcW w:w="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CCD24">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c>
                <w:tcPr>
                  <w:tcW w:w="588" w:type="pct"/>
                  <w:tcBorders>
                    <w:top w:val="single" w:color="auto" w:sz="4" w:space="0"/>
                    <w:left w:val="single" w:color="000000" w:sz="4" w:space="0"/>
                    <w:bottom w:val="single" w:color="auto" w:sz="4" w:space="0"/>
                    <w:right w:val="single" w:color="auto" w:sz="4" w:space="0"/>
                  </w:tcBorders>
                  <w:shd w:val="clear" w:color="auto" w:fill="auto"/>
                  <w:vAlign w:val="center"/>
                </w:tcPr>
                <w:p w14:paraId="30AEFC37">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default" w:ascii="Times New Roman" w:hAnsi="Times New Roman" w:cs="Times New Roman"/>
                      <w:color w:val="auto"/>
                      <w:sz w:val="18"/>
                      <w:szCs w:val="18"/>
                    </w:rPr>
                    <w:t>全部蒸发损耗，无外排</w:t>
                  </w:r>
                </w:p>
              </w:tc>
              <w:tc>
                <w:tcPr>
                  <w:tcW w:w="361" w:type="pct"/>
                  <w:tcBorders>
                    <w:top w:val="single" w:color="auto" w:sz="4" w:space="0"/>
                    <w:left w:val="single" w:color="auto" w:sz="4" w:space="0"/>
                    <w:bottom w:val="single" w:color="auto" w:sz="4" w:space="0"/>
                    <w:right w:val="single" w:color="auto" w:sz="4" w:space="0"/>
                  </w:tcBorders>
                  <w:shd w:val="clear" w:color="auto" w:fill="auto"/>
                  <w:vAlign w:val="center"/>
                </w:tcPr>
                <w:p w14:paraId="64F5E63E">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c>
                <w:tcPr>
                  <w:tcW w:w="674" w:type="pct"/>
                  <w:tcBorders>
                    <w:top w:val="single" w:color="auto" w:sz="4" w:space="0"/>
                    <w:left w:val="single" w:color="auto" w:sz="4" w:space="0"/>
                    <w:bottom w:val="single" w:color="auto" w:sz="4" w:space="0"/>
                    <w:right w:val="single" w:color="auto" w:sz="4" w:space="0"/>
                  </w:tcBorders>
                  <w:shd w:val="clear" w:color="auto" w:fill="auto"/>
                  <w:vAlign w:val="center"/>
                </w:tcPr>
                <w:p w14:paraId="19792587">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c>
                <w:tcPr>
                  <w:tcW w:w="550" w:type="pct"/>
                  <w:tcBorders>
                    <w:top w:val="single" w:color="auto" w:sz="4" w:space="0"/>
                    <w:left w:val="single" w:color="auto" w:sz="4" w:space="0"/>
                    <w:bottom w:val="single" w:color="auto" w:sz="4" w:space="0"/>
                    <w:right w:val="single" w:color="auto" w:sz="4" w:space="0"/>
                  </w:tcBorders>
                  <w:shd w:val="clear" w:color="auto" w:fill="auto"/>
                  <w:vAlign w:val="center"/>
                </w:tcPr>
                <w:p w14:paraId="761D3153">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r>
            <w:tr w14:paraId="4213E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D38AE">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eastAsia" w:ascii="Times New Roman" w:hAnsi="Times New Roman" w:eastAsia="宋体" w:cs="Times New Roman"/>
                      <w:b w:val="0"/>
                      <w:bCs w:val="0"/>
                      <w:i w:val="0"/>
                      <w:iCs w:val="0"/>
                      <w:color w:val="auto"/>
                      <w:kern w:val="0"/>
                      <w:sz w:val="18"/>
                      <w:szCs w:val="18"/>
                      <w:u w:val="none"/>
                      <w:lang w:val="en-US" w:eastAsia="zh-CN" w:bidi="ar"/>
                    </w:rPr>
                  </w:pPr>
                  <w:r>
                    <w:rPr>
                      <w:rFonts w:hint="eastAsia" w:ascii="Times New Roman" w:hAnsi="Times New Roman" w:eastAsia="宋体" w:cs="Times New Roman"/>
                      <w:b w:val="0"/>
                      <w:bCs w:val="0"/>
                      <w:i w:val="0"/>
                      <w:iCs w:val="0"/>
                      <w:color w:val="auto"/>
                      <w:kern w:val="0"/>
                      <w:sz w:val="18"/>
                      <w:szCs w:val="18"/>
                      <w:u w:val="none"/>
                      <w:lang w:val="en-US" w:eastAsia="zh-CN" w:bidi="ar"/>
                    </w:rPr>
                    <w:t>初期雨水</w:t>
                  </w:r>
                </w:p>
                <w:p w14:paraId="5B9E695D">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eastAsia" w:ascii="Times New Roman" w:hAnsi="Times New Roman" w:eastAsia="宋体" w:cs="Times New Roman"/>
                      <w:b w:val="0"/>
                      <w:bCs w:val="0"/>
                      <w:i w:val="0"/>
                      <w:iCs w:val="0"/>
                      <w:color w:val="auto"/>
                      <w:kern w:val="0"/>
                      <w:sz w:val="18"/>
                      <w:szCs w:val="18"/>
                      <w:u w:val="none"/>
                      <w:lang w:val="en-US" w:eastAsia="zh-CN" w:bidi="ar"/>
                    </w:rPr>
                  </w:pPr>
                  <w:r>
                    <w:rPr>
                      <w:rFonts w:hint="eastAsia" w:ascii="Times New Roman" w:hAnsi="Times New Roman" w:eastAsia="宋体" w:cs="Times New Roman"/>
                      <w:b w:val="0"/>
                      <w:bCs w:val="0"/>
                      <w:i w:val="0"/>
                      <w:iCs w:val="0"/>
                      <w:color w:val="auto"/>
                      <w:kern w:val="0"/>
                      <w:sz w:val="18"/>
                      <w:szCs w:val="18"/>
                      <w:u w:val="none"/>
                      <w:lang w:val="en-US" w:eastAsia="zh-CN" w:bidi="ar"/>
                    </w:rPr>
                    <w:t>（420t</w:t>
                  </w:r>
                  <w:r>
                    <w:rPr>
                      <w:rFonts w:hint="default" w:ascii="Times New Roman" w:hAnsi="Times New Roman" w:eastAsia="宋体" w:cs="Times New Roman"/>
                      <w:b w:val="0"/>
                      <w:bCs w:val="0"/>
                      <w:i w:val="0"/>
                      <w:iCs w:val="0"/>
                      <w:color w:val="auto"/>
                      <w:kern w:val="0"/>
                      <w:sz w:val="18"/>
                      <w:szCs w:val="18"/>
                      <w:u w:val="none"/>
                      <w:lang w:val="en-US" w:eastAsia="zh-CN" w:bidi="ar"/>
                    </w:rPr>
                    <w:t>/a</w:t>
                  </w:r>
                  <w:r>
                    <w:rPr>
                      <w:rFonts w:hint="eastAsia" w:ascii="Times New Roman" w:hAnsi="Times New Roman" w:eastAsia="宋体" w:cs="Times New Roman"/>
                      <w:b w:val="0"/>
                      <w:bCs w:val="0"/>
                      <w:i w:val="0"/>
                      <w:iCs w:val="0"/>
                      <w:color w:val="auto"/>
                      <w:kern w:val="0"/>
                      <w:sz w:val="18"/>
                      <w:szCs w:val="18"/>
                      <w:u w:val="none"/>
                      <w:lang w:val="en-US" w:eastAsia="zh-CN" w:bidi="ar"/>
                    </w:rPr>
                    <w:t>）</w:t>
                  </w:r>
                </w:p>
              </w:tc>
              <w:tc>
                <w:tcPr>
                  <w:tcW w:w="7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D456A">
                  <w:pPr>
                    <w:keepNext w:val="0"/>
                    <w:keepLines w:val="0"/>
                    <w:pageBreakBefore w:val="0"/>
                    <w:widowControl/>
                    <w:suppressLineNumbers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kern w:val="0"/>
                      <w:sz w:val="18"/>
                      <w:szCs w:val="18"/>
                      <w:u w:val="none"/>
                      <w:lang w:val="en-US" w:eastAsia="zh-CN" w:bidi="ar"/>
                    </w:rPr>
                    <w:t>COD、SS、</w:t>
                  </w:r>
                  <w:r>
                    <w:rPr>
                      <w:rFonts w:hint="default" w:ascii="Times New Roman" w:hAnsi="Times New Roman" w:eastAsia="宋体" w:cs="Times New Roman"/>
                      <w:color w:val="auto"/>
                      <w:kern w:val="2"/>
                      <w:sz w:val="18"/>
                      <w:szCs w:val="18"/>
                      <w:lang w:val="en-US" w:eastAsia="zh-CN" w:bidi="ar-SA"/>
                    </w:rPr>
                    <w:t>NH</w:t>
                  </w:r>
                  <w:r>
                    <w:rPr>
                      <w:rFonts w:hint="eastAsia" w:cs="Times New Roman"/>
                      <w:color w:val="auto"/>
                      <w:kern w:val="2"/>
                      <w:sz w:val="18"/>
                      <w:szCs w:val="18"/>
                      <w:vertAlign w:val="subscript"/>
                      <w:lang w:val="en-US" w:eastAsia="zh-CN" w:bidi="ar-SA"/>
                    </w:rPr>
                    <w:t>3</w:t>
                  </w:r>
                  <w:r>
                    <w:rPr>
                      <w:rFonts w:hint="default" w:ascii="Times New Roman" w:hAnsi="Times New Roman" w:eastAsia="宋体" w:cs="Times New Roman"/>
                      <w:color w:val="auto"/>
                      <w:kern w:val="2"/>
                      <w:sz w:val="18"/>
                      <w:szCs w:val="18"/>
                      <w:lang w:val="en-US" w:eastAsia="zh-CN" w:bidi="ar-SA"/>
                    </w:rPr>
                    <w:t>-N</w:t>
                  </w:r>
                </w:p>
              </w:tc>
              <w:tc>
                <w:tcPr>
                  <w:tcW w:w="6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9F1C0">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c>
                <w:tcPr>
                  <w:tcW w:w="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970AC">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c>
                <w:tcPr>
                  <w:tcW w:w="588" w:type="pct"/>
                  <w:tcBorders>
                    <w:top w:val="single" w:color="auto" w:sz="4" w:space="0"/>
                    <w:left w:val="single" w:color="000000" w:sz="4" w:space="0"/>
                    <w:bottom w:val="single" w:color="auto" w:sz="4" w:space="0"/>
                    <w:right w:val="single" w:color="auto" w:sz="4" w:space="0"/>
                  </w:tcBorders>
                  <w:shd w:val="clear" w:color="auto" w:fill="auto"/>
                  <w:vAlign w:val="center"/>
                </w:tcPr>
                <w:p w14:paraId="3E819487">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cs="Times New Roman"/>
                      <w:i w:val="0"/>
                      <w:iCs w:val="0"/>
                      <w:color w:val="auto"/>
                      <w:sz w:val="18"/>
                      <w:szCs w:val="18"/>
                      <w:u w:val="none"/>
                      <w:lang w:eastAsia="zh-CN"/>
                    </w:rPr>
                  </w:pPr>
                  <w:r>
                    <w:rPr>
                      <w:rFonts w:hint="eastAsia" w:ascii="Times New Roman" w:hAnsi="Times New Roman" w:eastAsia="宋体" w:cs="Times New Roman"/>
                      <w:i w:val="0"/>
                      <w:iCs w:val="0"/>
                      <w:color w:val="auto"/>
                      <w:sz w:val="18"/>
                      <w:szCs w:val="18"/>
                      <w:u w:val="none"/>
                      <w:lang w:eastAsia="zh-CN"/>
                    </w:rPr>
                    <w:t>厂区内洒水降尘</w:t>
                  </w:r>
                </w:p>
              </w:tc>
              <w:tc>
                <w:tcPr>
                  <w:tcW w:w="361" w:type="pct"/>
                  <w:tcBorders>
                    <w:top w:val="single" w:color="auto" w:sz="4" w:space="0"/>
                    <w:left w:val="single" w:color="auto" w:sz="4" w:space="0"/>
                    <w:bottom w:val="single" w:color="auto" w:sz="4" w:space="0"/>
                    <w:right w:val="single" w:color="auto" w:sz="4" w:space="0"/>
                  </w:tcBorders>
                  <w:shd w:val="clear" w:color="auto" w:fill="auto"/>
                  <w:vAlign w:val="center"/>
                </w:tcPr>
                <w:p w14:paraId="17808204">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c>
                <w:tcPr>
                  <w:tcW w:w="674" w:type="pct"/>
                  <w:tcBorders>
                    <w:top w:val="single" w:color="auto" w:sz="4" w:space="0"/>
                    <w:left w:val="single" w:color="auto" w:sz="4" w:space="0"/>
                    <w:bottom w:val="single" w:color="auto" w:sz="4" w:space="0"/>
                    <w:right w:val="single" w:color="auto" w:sz="4" w:space="0"/>
                  </w:tcBorders>
                  <w:shd w:val="clear" w:color="auto" w:fill="auto"/>
                  <w:vAlign w:val="center"/>
                </w:tcPr>
                <w:p w14:paraId="0BCF8186">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c>
                <w:tcPr>
                  <w:tcW w:w="550" w:type="pct"/>
                  <w:tcBorders>
                    <w:top w:val="single" w:color="auto" w:sz="4" w:space="0"/>
                    <w:left w:val="single" w:color="auto" w:sz="4" w:space="0"/>
                    <w:bottom w:val="single" w:color="auto" w:sz="4" w:space="0"/>
                    <w:right w:val="single" w:color="auto" w:sz="4" w:space="0"/>
                  </w:tcBorders>
                  <w:shd w:val="clear" w:color="auto" w:fill="auto"/>
                  <w:vAlign w:val="center"/>
                </w:tcPr>
                <w:p w14:paraId="2706474A">
                  <w:pPr>
                    <w:keepNext w:val="0"/>
                    <w:keepLines w:val="0"/>
                    <w:pageBreakBefore w:val="0"/>
                    <w:widowControl/>
                    <w:kinsoku/>
                    <w:wordWrap/>
                    <w:overflowPunct/>
                    <w:topLinePunct w:val="0"/>
                    <w:autoSpaceDE/>
                    <w:autoSpaceDN/>
                    <w:bidi w:val="0"/>
                    <w:adjustRightInd w:val="0"/>
                    <w:snapToGrid w:val="0"/>
                    <w:spacing w:after="0" w:line="240" w:lineRule="auto"/>
                    <w:ind w:left="0" w:leftChars="0" w:right="0" w:rightChars="0" w:firstLine="0" w:firstLineChars="0"/>
                    <w:jc w:val="center"/>
                    <w:rPr>
                      <w:rFonts w:hint="default" w:ascii="Times New Roman" w:hAnsi="Times New Roman" w:eastAsia="宋体" w:cs="Times New Roman"/>
                      <w:i w:val="0"/>
                      <w:iCs w:val="0"/>
                      <w:color w:val="auto"/>
                      <w:sz w:val="18"/>
                      <w:szCs w:val="18"/>
                      <w:u w:val="none"/>
                      <w:lang w:val="en-US" w:eastAsia="zh-CN" w:bidi="ar-SA"/>
                    </w:rPr>
                  </w:pPr>
                  <w:r>
                    <w:rPr>
                      <w:rFonts w:hint="eastAsia" w:cs="Times New Roman"/>
                      <w:i w:val="0"/>
                      <w:iCs w:val="0"/>
                      <w:color w:val="auto"/>
                      <w:sz w:val="18"/>
                      <w:szCs w:val="18"/>
                      <w:u w:val="none"/>
                      <w:lang w:val="en-US" w:eastAsia="zh-CN"/>
                    </w:rPr>
                    <w:t>/</w:t>
                  </w:r>
                </w:p>
              </w:tc>
            </w:tr>
          </w:tbl>
          <w:p w14:paraId="0EA1F2D7">
            <w:pPr>
              <w:pStyle w:val="180"/>
              <w:keepNext w:val="0"/>
              <w:keepLines w:val="0"/>
              <w:pageBreakBefore w:val="0"/>
              <w:kinsoku/>
              <w:wordWrap/>
              <w:overflowPunct/>
              <w:topLinePunct w:val="0"/>
              <w:autoSpaceDE/>
              <w:autoSpaceDN/>
              <w:bidi w:val="0"/>
              <w:adjustRightInd w:val="0"/>
              <w:snapToGrid w:val="0"/>
              <w:spacing w:after="0" w:line="360" w:lineRule="auto"/>
              <w:ind w:firstLine="482"/>
              <w:textAlignment w:val="auto"/>
              <w:rPr>
                <w:rFonts w:hint="eastAsia"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rPr>
              <w:t>4.3.</w:t>
            </w:r>
            <w:r>
              <w:rPr>
                <w:rFonts w:hint="default" w:ascii="Times New Roman" w:hAnsi="Times New Roman" w:eastAsia="宋体" w:cs="Times New Roman"/>
                <w:color w:val="auto"/>
                <w:sz w:val="24"/>
                <w:szCs w:val="24"/>
                <w:lang w:val="en-US" w:eastAsia="zh-CN"/>
              </w:rPr>
              <w:t>2</w:t>
            </w:r>
            <w:r>
              <w:rPr>
                <w:rFonts w:hint="eastAsia" w:cs="Times New Roman"/>
                <w:color w:val="auto"/>
                <w:sz w:val="24"/>
                <w:szCs w:val="24"/>
                <w:lang w:eastAsia="zh-CN"/>
              </w:rPr>
              <w:t>废水排放去向</w:t>
            </w:r>
          </w:p>
          <w:p w14:paraId="08D58811">
            <w:pPr>
              <w:pStyle w:val="771"/>
              <w:bidi w:val="0"/>
              <w:rPr>
                <w:rFonts w:hint="default" w:ascii="Times New Roman" w:hAnsi="Times New Roman" w:eastAsia="宋体" w:cs="Times New Roman"/>
                <w:color w:val="auto"/>
                <w:szCs w:val="24"/>
                <w:lang w:val="en-US" w:eastAsia="zh-CN"/>
              </w:rPr>
            </w:pPr>
            <w:r>
              <w:rPr>
                <w:rFonts w:hint="default"/>
                <w:color w:val="auto"/>
                <w:lang w:val="en-US" w:eastAsia="zh-CN"/>
              </w:rPr>
              <w:t>本</w:t>
            </w:r>
            <w:r>
              <w:rPr>
                <w:rFonts w:hint="default"/>
                <w:color w:val="auto"/>
              </w:rPr>
              <w:t>项目废水主要为</w:t>
            </w:r>
            <w:r>
              <w:rPr>
                <w:rFonts w:hint="default"/>
                <w:color w:val="auto"/>
                <w:lang w:eastAsia="zh-CN"/>
              </w:rPr>
              <w:t>生活污水和生产废水</w:t>
            </w:r>
            <w:r>
              <w:rPr>
                <w:rFonts w:hint="default"/>
                <w:color w:val="auto"/>
              </w:rPr>
              <w:t>，</w:t>
            </w:r>
            <w:r>
              <w:rPr>
                <w:rFonts w:hint="eastAsia" w:ascii="宋体" w:hAnsi="宋体"/>
                <w:color w:val="auto"/>
              </w:rPr>
              <w:t>生活</w:t>
            </w:r>
            <w:r>
              <w:rPr>
                <w:rFonts w:hint="eastAsia"/>
                <w:color w:val="auto"/>
                <w:kern w:val="2"/>
                <w:szCs w:val="24"/>
              </w:rPr>
              <w:t>污水</w:t>
            </w:r>
            <w:r>
              <w:rPr>
                <w:rFonts w:hint="eastAsia"/>
                <w:color w:val="auto"/>
                <w:kern w:val="2"/>
                <w:szCs w:val="24"/>
                <w:lang w:eastAsia="zh-CN"/>
              </w:rPr>
              <w:t>不在厂区范围内产生，依托淮南市八公山区</w:t>
            </w:r>
            <w:r>
              <w:rPr>
                <w:rFonts w:hint="eastAsia" w:cs="Times New Roman"/>
                <w:bCs/>
                <w:color w:val="auto"/>
                <w:lang w:val="en-US" w:eastAsia="zh-CN"/>
              </w:rPr>
              <w:t>淮南</w:t>
            </w:r>
            <w:r>
              <w:rPr>
                <w:rFonts w:hint="eastAsia"/>
                <w:color w:val="auto"/>
                <w:lang w:eastAsia="zh-CN"/>
              </w:rPr>
              <w:t>舜岳水泥有限责任公司</w:t>
            </w:r>
            <w:r>
              <w:rPr>
                <w:rFonts w:hint="eastAsia"/>
                <w:color w:val="auto"/>
                <w:kern w:val="2"/>
                <w:szCs w:val="24"/>
                <w:lang w:eastAsia="zh-CN"/>
              </w:rPr>
              <w:t>内地埋式化粪池处理后接入市政污水管网，</w:t>
            </w:r>
            <w:r>
              <w:rPr>
                <w:rFonts w:hint="eastAsia"/>
                <w:color w:val="auto"/>
                <w:lang w:eastAsia="zh-CN"/>
              </w:rPr>
              <w:t>纳管至</w:t>
            </w:r>
            <w:r>
              <w:rPr>
                <w:rFonts w:hint="eastAsia"/>
                <w:color w:val="auto"/>
                <w:kern w:val="2"/>
                <w:szCs w:val="24"/>
                <w:lang w:eastAsia="zh-CN"/>
              </w:rPr>
              <w:t>八公山污水处理厂处理</w:t>
            </w:r>
            <w:r>
              <w:rPr>
                <w:rFonts w:hint="default"/>
                <w:color w:val="auto"/>
              </w:rPr>
              <w:t>集中处理，尾水处理达标后排入淮河（淮南段）；</w:t>
            </w:r>
            <w:r>
              <w:rPr>
                <w:rFonts w:hint="eastAsia"/>
                <w:color w:val="auto"/>
                <w:lang w:eastAsia="zh-CN"/>
              </w:rPr>
              <w:t>项目生产废水实现闭路循环，不外排</w:t>
            </w:r>
            <w:r>
              <w:rPr>
                <w:rFonts w:hint="default"/>
                <w:color w:val="auto"/>
              </w:rPr>
              <w:t>。</w:t>
            </w:r>
          </w:p>
          <w:p w14:paraId="5BB1A704">
            <w:pPr>
              <w:pStyle w:val="771"/>
              <w:bidi w:val="0"/>
              <w:rPr>
                <w:b/>
                <w:bCs/>
                <w:color w:val="auto"/>
              </w:rPr>
            </w:pPr>
            <w:r>
              <w:rPr>
                <w:rFonts w:hint="eastAsia"/>
                <w:b/>
                <w:bCs/>
                <w:color w:val="auto"/>
                <w:lang w:val="en-US" w:eastAsia="zh-CN"/>
              </w:rPr>
              <w:t>4.3.3</w:t>
            </w:r>
            <w:r>
              <w:rPr>
                <w:b/>
                <w:bCs/>
                <w:color w:val="auto"/>
              </w:rPr>
              <w:t>废水治理设施技术可行性分析</w:t>
            </w:r>
          </w:p>
          <w:p w14:paraId="0B61572A">
            <w:pPr>
              <w:pStyle w:val="771"/>
              <w:bidi w:val="0"/>
              <w:rPr>
                <w:rFonts w:hint="default" w:ascii="宋体" w:hAnsi="宋体" w:eastAsia="宋体" w:cs="Times New Roman"/>
                <w:color w:val="auto"/>
              </w:rPr>
            </w:pPr>
            <w:r>
              <w:rPr>
                <w:color w:val="auto"/>
              </w:rPr>
              <w:t>参照《排污许可证申请与核发技术规范 总则》</w:t>
            </w:r>
            <w:r>
              <w:rPr>
                <w:rFonts w:hint="eastAsia"/>
                <w:color w:val="auto"/>
              </w:rPr>
              <w:t>（</w:t>
            </w:r>
            <w:r>
              <w:rPr>
                <w:color w:val="auto"/>
              </w:rPr>
              <w:t>HJ942-2018</w:t>
            </w:r>
            <w:r>
              <w:rPr>
                <w:rFonts w:hint="eastAsia"/>
                <w:color w:val="auto"/>
              </w:rPr>
              <w:t>）</w:t>
            </w:r>
            <w:r>
              <w:rPr>
                <w:rFonts w:hint="eastAsia"/>
                <w:color w:val="auto"/>
                <w:lang w:eastAsia="zh-CN"/>
              </w:rPr>
              <w:t>及</w:t>
            </w:r>
            <w:r>
              <w:rPr>
                <w:rFonts w:hint="default"/>
                <w:color w:val="auto"/>
                <w:lang w:val="en-US" w:eastAsia="zh-CN"/>
              </w:rPr>
              <w:t>《清洁生产标准-煤炭采选业》（HJ446-2008），</w:t>
            </w:r>
            <w:r>
              <w:rPr>
                <w:rFonts w:hint="eastAsia"/>
                <w:color w:val="auto"/>
                <w:lang w:val="en-US" w:eastAsia="zh-CN"/>
              </w:rPr>
              <w:t>本项目所采用</w:t>
            </w:r>
            <w:r>
              <w:rPr>
                <w:rFonts w:hint="eastAsia" w:eastAsia="宋体"/>
                <w:color w:val="auto"/>
                <w:lang w:val="en-US" w:eastAsia="zh-CN"/>
              </w:rPr>
              <w:t>的废水排放治理措施可行性分析</w:t>
            </w:r>
            <w:r>
              <w:rPr>
                <w:rFonts w:hint="default" w:eastAsia="宋体"/>
                <w:color w:val="auto"/>
                <w:lang w:val="en-US" w:eastAsia="zh-CN"/>
              </w:rPr>
              <w:t>具</w:t>
            </w:r>
            <w:r>
              <w:rPr>
                <w:rFonts w:hint="default"/>
                <w:color w:val="auto"/>
                <w:lang w:val="en-US" w:eastAsia="zh-CN"/>
              </w:rPr>
              <w:t>体详见下表。</w:t>
            </w:r>
          </w:p>
          <w:p w14:paraId="4FD43641">
            <w:pPr>
              <w:pStyle w:val="15"/>
              <w:keepNext w:val="0"/>
              <w:keepLines w:val="0"/>
              <w:pageBreakBefore w:val="0"/>
              <w:widowControl w:val="0"/>
              <w:kinsoku/>
              <w:wordWrap/>
              <w:overflowPunct/>
              <w:topLinePunct w:val="0"/>
              <w:autoSpaceDE/>
              <w:autoSpaceDN/>
              <w:bidi w:val="0"/>
              <w:adjustRightInd/>
              <w:snapToGrid/>
              <w:spacing w:after="0"/>
              <w:textAlignment w:val="auto"/>
              <w:rPr>
                <w:rFonts w:hint="eastAsia" w:eastAsia="宋体"/>
                <w:color w:val="auto"/>
                <w:lang w:val="en-US" w:eastAsia="zh-CN"/>
              </w:rPr>
            </w:pPr>
            <w:r>
              <w:rPr>
                <w:color w:val="auto"/>
              </w:rPr>
              <w:t xml:space="preserve">表 </w:t>
            </w:r>
            <w:r>
              <w:rPr>
                <w:rFonts w:hint="eastAsia"/>
                <w:color w:val="auto"/>
                <w:lang w:val="en-US" w:eastAsia="zh-CN"/>
              </w:rPr>
              <w:t>4</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4</w:t>
            </w:r>
            <w:r>
              <w:rPr>
                <w:color w:val="auto"/>
              </w:rPr>
              <w:fldChar w:fldCharType="end"/>
            </w:r>
            <w:r>
              <w:rPr>
                <w:rFonts w:hint="eastAsia"/>
                <w:color w:val="auto"/>
                <w:lang w:val="en-US" w:eastAsia="zh-CN"/>
              </w:rPr>
              <w:t xml:space="preserve"> 污水处理技术参照表</w:t>
            </w:r>
          </w:p>
          <w:tbl>
            <w:tblPr>
              <w:tblStyle w:val="53"/>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590"/>
              <w:gridCol w:w="2385"/>
              <w:gridCol w:w="4645"/>
              <w:gridCol w:w="726"/>
            </w:tblGrid>
            <w:tr w14:paraId="7B13EF9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590" w:type="dxa"/>
                  <w:tcBorders>
                    <w:top w:val="single" w:color="000000" w:sz="4" w:space="0"/>
                    <w:left w:val="single" w:color="000000" w:sz="4" w:space="0"/>
                    <w:tl2br w:val="nil"/>
                  </w:tcBorders>
                  <w:shd w:val="clear" w:color="auto" w:fill="FFFFFF"/>
                  <w:noWrap w:val="0"/>
                  <w:vAlign w:val="center"/>
                </w:tcPr>
                <w:p w14:paraId="503674CB">
                  <w:pPr>
                    <w:pStyle w:val="207"/>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bCs/>
                      <w:color w:val="000000"/>
                      <w:sz w:val="18"/>
                      <w:szCs w:val="18"/>
                      <w:highlight w:val="none"/>
                    </w:rPr>
                  </w:pPr>
                  <w:r>
                    <w:rPr>
                      <w:rFonts w:hint="default" w:ascii="Times New Roman" w:hAnsi="Times New Roman" w:eastAsia="宋体" w:cs="Times New Roman"/>
                      <w:b/>
                      <w:bCs/>
                      <w:color w:val="000000"/>
                      <w:sz w:val="18"/>
                      <w:szCs w:val="18"/>
                      <w:highlight w:val="none"/>
                    </w:rPr>
                    <w:t>类别</w:t>
                  </w:r>
                </w:p>
              </w:tc>
              <w:tc>
                <w:tcPr>
                  <w:tcW w:w="2387" w:type="dxa"/>
                  <w:tcBorders>
                    <w:top w:val="single" w:color="000000" w:sz="4" w:space="0"/>
                  </w:tcBorders>
                  <w:shd w:val="clear" w:color="auto" w:fill="FFFFFF"/>
                  <w:noWrap w:val="0"/>
                  <w:vAlign w:val="center"/>
                </w:tcPr>
                <w:p w14:paraId="1C978E2F">
                  <w:pPr>
                    <w:pStyle w:val="207"/>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bCs/>
                      <w:color w:val="000000"/>
                      <w:sz w:val="18"/>
                      <w:szCs w:val="18"/>
                      <w:highlight w:val="none"/>
                    </w:rPr>
                  </w:pPr>
                  <w:r>
                    <w:rPr>
                      <w:rFonts w:hint="default" w:ascii="Times New Roman" w:hAnsi="Times New Roman" w:eastAsia="宋体" w:cs="Times New Roman"/>
                      <w:b/>
                      <w:bCs/>
                      <w:color w:val="000000"/>
                      <w:sz w:val="18"/>
                      <w:szCs w:val="18"/>
                      <w:highlight w:val="none"/>
                    </w:rPr>
                    <w:t>清洁生产指标要求</w:t>
                  </w:r>
                </w:p>
              </w:tc>
              <w:tc>
                <w:tcPr>
                  <w:tcW w:w="4650" w:type="dxa"/>
                  <w:tcBorders>
                    <w:top w:val="single" w:color="000000" w:sz="4" w:space="0"/>
                  </w:tcBorders>
                  <w:shd w:val="clear" w:color="auto" w:fill="FFFFFF"/>
                  <w:noWrap w:val="0"/>
                  <w:vAlign w:val="center"/>
                </w:tcPr>
                <w:p w14:paraId="475F514C">
                  <w:pPr>
                    <w:pStyle w:val="207"/>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bCs/>
                      <w:color w:val="000000"/>
                      <w:sz w:val="18"/>
                      <w:szCs w:val="18"/>
                      <w:highlight w:val="none"/>
                    </w:rPr>
                  </w:pPr>
                  <w:r>
                    <w:rPr>
                      <w:rFonts w:hint="default" w:ascii="Times New Roman" w:hAnsi="Times New Roman" w:eastAsia="宋体" w:cs="Times New Roman"/>
                      <w:b/>
                      <w:bCs/>
                      <w:color w:val="000000"/>
                      <w:sz w:val="18"/>
                      <w:szCs w:val="18"/>
                      <w:highlight w:val="none"/>
                    </w:rPr>
                    <w:t>本项目生产指标</w:t>
                  </w:r>
                </w:p>
              </w:tc>
              <w:tc>
                <w:tcPr>
                  <w:tcW w:w="727" w:type="dxa"/>
                  <w:tcBorders>
                    <w:top w:val="single" w:color="000000" w:sz="4" w:space="0"/>
                    <w:right w:val="single" w:color="000000" w:sz="4" w:space="0"/>
                  </w:tcBorders>
                  <w:shd w:val="clear" w:color="auto" w:fill="FFFFFF"/>
                  <w:noWrap w:val="0"/>
                  <w:vAlign w:val="center"/>
                </w:tcPr>
                <w:p w14:paraId="1CE3BE24">
                  <w:pPr>
                    <w:pStyle w:val="207"/>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bCs/>
                      <w:color w:val="000000"/>
                      <w:sz w:val="18"/>
                      <w:szCs w:val="18"/>
                      <w:highlight w:val="none"/>
                    </w:rPr>
                  </w:pPr>
                  <w:r>
                    <w:rPr>
                      <w:rFonts w:hint="default" w:ascii="Times New Roman" w:hAnsi="Times New Roman" w:eastAsia="宋体" w:cs="Times New Roman"/>
                      <w:b/>
                      <w:bCs/>
                      <w:color w:val="000000"/>
                      <w:sz w:val="18"/>
                      <w:szCs w:val="18"/>
                      <w:highlight w:val="none"/>
                    </w:rPr>
                    <w:t>符合性</w:t>
                  </w:r>
                </w:p>
              </w:tc>
            </w:tr>
            <w:tr w14:paraId="689DC33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3" w:hRule="atLeast"/>
                <w:jc w:val="center"/>
              </w:trPr>
              <w:tc>
                <w:tcPr>
                  <w:tcW w:w="590" w:type="dxa"/>
                  <w:tcBorders>
                    <w:left w:val="single" w:color="000000" w:sz="4" w:space="0"/>
                    <w:bottom w:val="single" w:color="000000" w:sz="4" w:space="0"/>
                  </w:tcBorders>
                  <w:shd w:val="clear" w:color="auto" w:fill="FFFFFF"/>
                  <w:noWrap w:val="0"/>
                  <w:vAlign w:val="center"/>
                </w:tcPr>
                <w:p w14:paraId="2FC1ECF2">
                  <w:pPr>
                    <w:pStyle w:val="207"/>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color w:val="000000"/>
                      <w:sz w:val="18"/>
                      <w:szCs w:val="18"/>
                      <w:highlight w:val="none"/>
                    </w:rPr>
                  </w:pPr>
                  <w:r>
                    <w:rPr>
                      <w:rFonts w:hint="default" w:ascii="Times New Roman" w:hAnsi="Times New Roman" w:eastAsia="宋体" w:cs="Times New Roman"/>
                      <w:b w:val="0"/>
                      <w:color w:val="000000"/>
                      <w:sz w:val="18"/>
                      <w:szCs w:val="18"/>
                      <w:highlight w:val="none"/>
                    </w:rPr>
                    <w:t>选煤水处理</w:t>
                  </w:r>
                </w:p>
              </w:tc>
              <w:tc>
                <w:tcPr>
                  <w:tcW w:w="2387" w:type="dxa"/>
                  <w:tcBorders>
                    <w:bottom w:val="single" w:color="000000" w:sz="4" w:space="0"/>
                  </w:tcBorders>
                  <w:shd w:val="clear" w:color="auto" w:fill="FFFFFF"/>
                  <w:noWrap w:val="0"/>
                  <w:vAlign w:val="center"/>
                </w:tcPr>
                <w:p w14:paraId="3FE8AE65">
                  <w:pPr>
                    <w:pStyle w:val="207"/>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color w:val="000000"/>
                      <w:sz w:val="18"/>
                      <w:szCs w:val="18"/>
                      <w:highlight w:val="none"/>
                    </w:rPr>
                  </w:pPr>
                  <w:r>
                    <w:rPr>
                      <w:rFonts w:hint="default" w:ascii="Times New Roman" w:hAnsi="Times New Roman" w:eastAsia="宋体" w:cs="Times New Roman"/>
                      <w:b w:val="0"/>
                      <w:color w:val="000000"/>
                      <w:sz w:val="18"/>
                      <w:szCs w:val="18"/>
                      <w:highlight w:val="none"/>
                    </w:rPr>
                    <w:t>选煤水处理系统采用普通浓缩机，并添加絮凝剂，尾煤采用压滤回收，并设有相同型号的事故浓缩池，吨入洗原煤补充水量＜0.15m</w:t>
                  </w:r>
                  <w:r>
                    <w:rPr>
                      <w:rFonts w:hint="default" w:ascii="Times New Roman" w:hAnsi="Times New Roman" w:eastAsia="宋体" w:cs="Times New Roman"/>
                      <w:b w:val="0"/>
                      <w:color w:val="000000"/>
                      <w:sz w:val="18"/>
                      <w:szCs w:val="18"/>
                      <w:highlight w:val="none"/>
                      <w:vertAlign w:val="superscript"/>
                    </w:rPr>
                    <w:t>3</w:t>
                  </w:r>
                  <w:r>
                    <w:rPr>
                      <w:rFonts w:hint="default" w:ascii="Times New Roman" w:hAnsi="Times New Roman" w:eastAsia="宋体" w:cs="Times New Roman"/>
                      <w:b w:val="0"/>
                      <w:color w:val="000000"/>
                      <w:sz w:val="18"/>
                      <w:szCs w:val="18"/>
                      <w:highlight w:val="none"/>
                    </w:rPr>
                    <w:t>，泥水达到闭路循环，不外排</w:t>
                  </w:r>
                </w:p>
              </w:tc>
              <w:tc>
                <w:tcPr>
                  <w:tcW w:w="4650" w:type="dxa"/>
                  <w:tcBorders>
                    <w:bottom w:val="single" w:color="000000" w:sz="4" w:space="0"/>
                  </w:tcBorders>
                  <w:shd w:val="clear" w:color="auto" w:fill="FFFFFF"/>
                  <w:noWrap w:val="0"/>
                  <w:vAlign w:val="center"/>
                </w:tcPr>
                <w:p w14:paraId="68F610FD">
                  <w:pPr>
                    <w:pStyle w:val="207"/>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color w:val="000000"/>
                      <w:sz w:val="18"/>
                      <w:szCs w:val="18"/>
                      <w:highlight w:val="none"/>
                    </w:rPr>
                  </w:pPr>
                  <w:r>
                    <w:rPr>
                      <w:rFonts w:hint="default" w:ascii="Times New Roman" w:hAnsi="Times New Roman" w:eastAsia="宋体" w:cs="Times New Roman"/>
                      <w:b w:val="0"/>
                      <w:color w:val="000000"/>
                      <w:sz w:val="18"/>
                      <w:szCs w:val="18"/>
                      <w:highlight w:val="none"/>
                    </w:rPr>
                    <w:t>本项目洗选生产线配备浓缩沉淀池、清水池</w:t>
                  </w:r>
                  <w:r>
                    <w:rPr>
                      <w:rFonts w:hint="default" w:ascii="Times New Roman" w:hAnsi="Times New Roman" w:eastAsia="宋体" w:cs="Times New Roman"/>
                      <w:b w:val="0"/>
                      <w:color w:val="000000"/>
                      <w:sz w:val="18"/>
                      <w:szCs w:val="18"/>
                      <w:highlight w:val="none"/>
                      <w:lang w:eastAsia="zh-CN"/>
                    </w:rPr>
                    <w:t>等</w:t>
                  </w:r>
                  <w:r>
                    <w:rPr>
                      <w:rFonts w:hint="default" w:ascii="Times New Roman" w:hAnsi="Times New Roman" w:eastAsia="宋体" w:cs="Times New Roman"/>
                      <w:b w:val="0"/>
                      <w:color w:val="000000"/>
                      <w:sz w:val="18"/>
                      <w:szCs w:val="18"/>
                      <w:highlight w:val="none"/>
                    </w:rPr>
                    <w:t>。浓缩沉淀池内投加絮凝剂。煤泥经压滤后</w:t>
                  </w:r>
                  <w:r>
                    <w:rPr>
                      <w:rFonts w:hint="eastAsia" w:ascii="Times New Roman" w:hAnsi="Times New Roman" w:eastAsia="宋体" w:cs="Times New Roman"/>
                      <w:b w:val="0"/>
                      <w:color w:val="000000"/>
                      <w:sz w:val="18"/>
                      <w:szCs w:val="18"/>
                      <w:highlight w:val="none"/>
                      <w:lang w:eastAsia="zh-CN"/>
                    </w:rPr>
                    <w:t>由淮南市八公山区淮南舜岳水泥有限责任公司</w:t>
                  </w:r>
                  <w:r>
                    <w:rPr>
                      <w:rFonts w:hint="default" w:ascii="Times New Roman" w:hAnsi="Times New Roman" w:eastAsia="宋体" w:cs="Times New Roman"/>
                      <w:b w:val="0"/>
                      <w:color w:val="000000"/>
                      <w:sz w:val="18"/>
                      <w:szCs w:val="18"/>
                      <w:highlight w:val="none"/>
                    </w:rPr>
                    <w:t>综合利用。厂区内设置一座事故池，事故池容积</w:t>
                  </w:r>
                  <w:r>
                    <w:rPr>
                      <w:rFonts w:hint="eastAsia" w:ascii="Times New Roman" w:hAnsi="Times New Roman" w:cs="Times New Roman"/>
                      <w:b w:val="0"/>
                      <w:color w:val="000000"/>
                      <w:sz w:val="18"/>
                      <w:szCs w:val="18"/>
                      <w:highlight w:val="none"/>
                      <w:lang w:val="en-US" w:eastAsia="zh-CN"/>
                    </w:rPr>
                    <w:t>150</w:t>
                  </w:r>
                  <w:r>
                    <w:rPr>
                      <w:rFonts w:hint="default" w:ascii="Times New Roman" w:hAnsi="Times New Roman" w:eastAsia="宋体" w:cs="Times New Roman"/>
                      <w:b w:val="0"/>
                      <w:color w:val="000000"/>
                      <w:sz w:val="18"/>
                      <w:szCs w:val="18"/>
                      <w:highlight w:val="none"/>
                    </w:rPr>
                    <w:t>m</w:t>
                  </w:r>
                  <w:r>
                    <w:rPr>
                      <w:rFonts w:hint="default" w:ascii="Times New Roman" w:hAnsi="Times New Roman" w:eastAsia="宋体" w:cs="Times New Roman"/>
                      <w:b w:val="0"/>
                      <w:color w:val="000000"/>
                      <w:sz w:val="18"/>
                      <w:szCs w:val="18"/>
                      <w:highlight w:val="none"/>
                      <w:vertAlign w:val="superscript"/>
                    </w:rPr>
                    <w:t>3</w:t>
                  </w:r>
                  <w:r>
                    <w:rPr>
                      <w:rFonts w:hint="default" w:ascii="Times New Roman" w:hAnsi="Times New Roman" w:eastAsia="宋体" w:cs="Times New Roman"/>
                      <w:b w:val="0"/>
                      <w:color w:val="000000"/>
                      <w:sz w:val="18"/>
                      <w:szCs w:val="18"/>
                      <w:highlight w:val="none"/>
                    </w:rPr>
                    <w:t>，用以保证事故废水不外排，能够满足事故状态下废水存储。本项目吨入洗原煤补充水量0.09m</w:t>
                  </w:r>
                  <w:r>
                    <w:rPr>
                      <w:rFonts w:hint="default" w:ascii="Times New Roman" w:hAnsi="Times New Roman" w:eastAsia="宋体" w:cs="Times New Roman"/>
                      <w:b w:val="0"/>
                      <w:color w:val="000000"/>
                      <w:sz w:val="18"/>
                      <w:szCs w:val="18"/>
                      <w:highlight w:val="none"/>
                      <w:vertAlign w:val="superscript"/>
                    </w:rPr>
                    <w:t>3</w:t>
                  </w:r>
                  <w:r>
                    <w:rPr>
                      <w:rFonts w:hint="default" w:ascii="Times New Roman" w:hAnsi="Times New Roman" w:eastAsia="宋体" w:cs="Times New Roman"/>
                      <w:b w:val="0"/>
                      <w:color w:val="000000"/>
                      <w:sz w:val="18"/>
                      <w:szCs w:val="18"/>
                      <w:highlight w:val="none"/>
                    </w:rPr>
                    <w:t>＜0.15m</w:t>
                  </w:r>
                  <w:r>
                    <w:rPr>
                      <w:rFonts w:hint="default" w:ascii="Times New Roman" w:hAnsi="Times New Roman" w:eastAsia="宋体" w:cs="Times New Roman"/>
                      <w:b w:val="0"/>
                      <w:color w:val="000000"/>
                      <w:sz w:val="18"/>
                      <w:szCs w:val="18"/>
                      <w:highlight w:val="none"/>
                      <w:vertAlign w:val="superscript"/>
                    </w:rPr>
                    <w:t>3</w:t>
                  </w:r>
                  <w:r>
                    <w:rPr>
                      <w:rFonts w:hint="default" w:ascii="Times New Roman" w:hAnsi="Times New Roman" w:eastAsia="宋体" w:cs="Times New Roman"/>
                      <w:b w:val="0"/>
                      <w:color w:val="000000"/>
                      <w:sz w:val="18"/>
                      <w:szCs w:val="18"/>
                      <w:highlight w:val="none"/>
                    </w:rPr>
                    <w:t>。本项目选煤水闭路循环，不外排。</w:t>
                  </w:r>
                </w:p>
              </w:tc>
              <w:tc>
                <w:tcPr>
                  <w:tcW w:w="727" w:type="dxa"/>
                  <w:tcBorders>
                    <w:bottom w:val="single" w:color="000000" w:sz="4" w:space="0"/>
                    <w:right w:val="single" w:color="000000" w:sz="4" w:space="0"/>
                  </w:tcBorders>
                  <w:shd w:val="clear" w:color="auto" w:fill="FFFFFF"/>
                  <w:noWrap w:val="0"/>
                  <w:vAlign w:val="center"/>
                </w:tcPr>
                <w:p w14:paraId="7D0029F0">
                  <w:pPr>
                    <w:pStyle w:val="207"/>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default" w:ascii="Times New Roman" w:hAnsi="Times New Roman" w:eastAsia="宋体" w:cs="Times New Roman"/>
                      <w:b w:val="0"/>
                      <w:color w:val="000000"/>
                      <w:sz w:val="18"/>
                      <w:szCs w:val="18"/>
                      <w:highlight w:val="none"/>
                    </w:rPr>
                  </w:pPr>
                  <w:r>
                    <w:rPr>
                      <w:rFonts w:hint="default" w:ascii="Times New Roman" w:hAnsi="Times New Roman" w:eastAsia="宋体" w:cs="Times New Roman"/>
                      <w:b w:val="0"/>
                      <w:color w:val="000000"/>
                      <w:sz w:val="18"/>
                      <w:szCs w:val="18"/>
                      <w:highlight w:val="none"/>
                    </w:rPr>
                    <w:t>符合</w:t>
                  </w:r>
                </w:p>
              </w:tc>
            </w:tr>
          </w:tbl>
          <w:p w14:paraId="6D241F00">
            <w:pPr>
              <w:pStyle w:val="771"/>
              <w:bidi w:val="0"/>
              <w:rPr>
                <w:rFonts w:hint="default" w:ascii="宋体" w:hAnsi="宋体" w:eastAsia="宋体" w:cs="Times New Roman"/>
                <w:color w:val="auto"/>
              </w:rPr>
            </w:pPr>
            <w:r>
              <w:rPr>
                <w:rFonts w:hint="default" w:ascii="宋体" w:hAnsi="宋体" w:eastAsia="宋体" w:cs="Times New Roman"/>
                <w:color w:val="auto"/>
              </w:rPr>
              <w:t>由上表可见，本项目选煤水处理符合</w:t>
            </w:r>
            <w:r>
              <w:rPr>
                <w:color w:val="auto"/>
              </w:rPr>
              <w:t>《排污许可证申请与核发技术规范 总则》</w:t>
            </w:r>
            <w:r>
              <w:rPr>
                <w:rFonts w:hint="eastAsia"/>
                <w:color w:val="auto"/>
              </w:rPr>
              <w:t>（</w:t>
            </w:r>
            <w:r>
              <w:rPr>
                <w:color w:val="auto"/>
              </w:rPr>
              <w:t>HJ942-2018</w:t>
            </w:r>
            <w:r>
              <w:rPr>
                <w:rFonts w:hint="eastAsia"/>
                <w:color w:val="auto"/>
              </w:rPr>
              <w:t>）</w:t>
            </w:r>
            <w:r>
              <w:rPr>
                <w:rFonts w:hint="eastAsia"/>
                <w:color w:val="auto"/>
                <w:lang w:eastAsia="zh-CN"/>
              </w:rPr>
              <w:t>及</w:t>
            </w:r>
            <w:r>
              <w:rPr>
                <w:rFonts w:hint="default" w:ascii="宋体" w:hAnsi="宋体" w:eastAsia="宋体" w:cs="Times New Roman"/>
                <w:color w:val="auto"/>
              </w:rPr>
              <w:t>《清洁生产标准-煤炭采选业》（HJ446-2008）要求。</w:t>
            </w:r>
          </w:p>
          <w:p w14:paraId="08DF50F6">
            <w:pPr>
              <w:pStyle w:val="771"/>
              <w:bidi w:val="0"/>
              <w:rPr>
                <w:rFonts w:hint="default"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4.3.4</w:t>
            </w:r>
            <w:r>
              <w:rPr>
                <w:rFonts w:hint="default" w:ascii="Times New Roman" w:hAnsi="Times New Roman" w:eastAsia="宋体" w:cs="Times New Roman"/>
                <w:b/>
                <w:bCs/>
                <w:color w:val="auto"/>
                <w:lang w:val="en-US" w:eastAsia="zh-CN"/>
              </w:rPr>
              <w:t>洗煤废水不外排可行性分析</w:t>
            </w:r>
          </w:p>
          <w:p w14:paraId="38A7C645">
            <w:pPr>
              <w:pStyle w:val="771"/>
              <w:bidi w:val="0"/>
              <w:rPr>
                <w:rFonts w:hint="default" w:ascii="Times New Roman" w:hAnsi="Times New Roman" w:eastAsia="宋体" w:cs="Times New Roman"/>
                <w:color w:val="auto"/>
                <w:sz w:val="24"/>
                <w:szCs w:val="20"/>
                <w:lang w:val="en-US" w:eastAsia="zh-CN" w:bidi="ar-SA"/>
              </w:rPr>
            </w:pPr>
            <w:r>
              <w:rPr>
                <w:rFonts w:hint="default" w:ascii="Times New Roman" w:hAnsi="Times New Roman" w:eastAsia="宋体" w:cs="Times New Roman"/>
                <w:color w:val="auto"/>
                <w:sz w:val="24"/>
                <w:szCs w:val="20"/>
                <w:lang w:val="en-US" w:eastAsia="zh-CN" w:bidi="ar-SA"/>
              </w:rPr>
              <w:t>为避免事故性废水外排，本项目设置</w:t>
            </w:r>
            <w:r>
              <w:rPr>
                <w:rFonts w:hint="eastAsia" w:ascii="Times New Roman" w:hAnsi="Times New Roman" w:eastAsia="宋体" w:cs="Times New Roman"/>
                <w:color w:val="auto"/>
                <w:sz w:val="24"/>
                <w:szCs w:val="20"/>
                <w:lang w:val="en-US" w:eastAsia="zh-CN" w:bidi="ar-SA"/>
              </w:rPr>
              <w:t>事故水池</w:t>
            </w:r>
            <w:r>
              <w:rPr>
                <w:rFonts w:hint="default" w:ascii="Times New Roman" w:hAnsi="Times New Roman" w:eastAsia="宋体" w:cs="Times New Roman"/>
                <w:color w:val="auto"/>
                <w:sz w:val="24"/>
                <w:szCs w:val="20"/>
                <w:lang w:val="en-US" w:eastAsia="zh-CN" w:bidi="ar-SA"/>
              </w:rPr>
              <w:t>。一旦发生事故，所有生产设备全部停止运作，此时洗煤废水排入事故池，谨防生产废水外排。根据《煤炭洗选工程设计规范》（GB50359-2016）要求，选用事故煤泥水池时，其有效容积应为厂内最大一台设备有效容积的1.2~1.5倍，本项目有效容积最大的设备为</w:t>
            </w:r>
            <w:r>
              <w:rPr>
                <w:rFonts w:hint="eastAsia" w:ascii="Times New Roman" w:hAnsi="Times New Roman" w:eastAsia="宋体" w:cs="Times New Roman"/>
                <w:color w:val="auto"/>
                <w:sz w:val="24"/>
                <w:szCs w:val="20"/>
                <w:lang w:val="en-US" w:eastAsia="zh-CN" w:bidi="ar-SA"/>
              </w:rPr>
              <w:t>循环水池</w:t>
            </w:r>
            <w:r>
              <w:rPr>
                <w:rFonts w:hint="default" w:ascii="Times New Roman" w:hAnsi="Times New Roman" w:eastAsia="宋体" w:cs="Times New Roman"/>
                <w:color w:val="auto"/>
                <w:sz w:val="24"/>
                <w:szCs w:val="20"/>
                <w:lang w:val="en-US" w:eastAsia="zh-CN" w:bidi="ar-SA"/>
              </w:rPr>
              <w:t>，容积为</w:t>
            </w:r>
            <w:r>
              <w:rPr>
                <w:rFonts w:hint="eastAsia" w:ascii="Times New Roman" w:hAnsi="Times New Roman" w:eastAsia="宋体" w:cs="Times New Roman"/>
                <w:color w:val="auto"/>
                <w:sz w:val="24"/>
                <w:szCs w:val="20"/>
                <w:lang w:val="en-US" w:eastAsia="zh-CN" w:bidi="ar-SA"/>
              </w:rPr>
              <w:t>100</w:t>
            </w:r>
            <w:r>
              <w:rPr>
                <w:rFonts w:hint="default" w:ascii="Times New Roman" w:hAnsi="Times New Roman" w:eastAsia="宋体" w:cs="Times New Roman"/>
                <w:color w:val="auto"/>
                <w:sz w:val="24"/>
                <w:szCs w:val="20"/>
                <w:lang w:val="en-US" w:eastAsia="zh-CN" w:bidi="ar-SA"/>
              </w:rPr>
              <w:t>m</w:t>
            </w:r>
            <w:r>
              <w:rPr>
                <w:rFonts w:hint="default" w:ascii="Times New Roman" w:hAnsi="Times New Roman" w:eastAsia="宋体" w:cs="Times New Roman"/>
                <w:color w:val="auto"/>
                <w:sz w:val="24"/>
                <w:szCs w:val="20"/>
                <w:vertAlign w:val="superscript"/>
                <w:lang w:val="en-US" w:eastAsia="zh-CN" w:bidi="ar-SA"/>
              </w:rPr>
              <w:t>3</w:t>
            </w:r>
            <w:r>
              <w:rPr>
                <w:rFonts w:hint="default" w:ascii="Times New Roman" w:hAnsi="Times New Roman" w:eastAsia="宋体" w:cs="Times New Roman"/>
                <w:color w:val="auto"/>
                <w:sz w:val="24"/>
                <w:szCs w:val="20"/>
                <w:lang w:val="en-US" w:eastAsia="zh-CN" w:bidi="ar-SA"/>
              </w:rPr>
              <w:t>，故应建设一座有效容积不低于</w:t>
            </w:r>
            <w:r>
              <w:rPr>
                <w:rFonts w:hint="eastAsia" w:ascii="Times New Roman" w:hAnsi="Times New Roman" w:eastAsia="宋体" w:cs="Times New Roman"/>
                <w:color w:val="auto"/>
                <w:sz w:val="24"/>
                <w:szCs w:val="20"/>
                <w:lang w:val="en-US" w:eastAsia="zh-CN" w:bidi="ar-SA"/>
              </w:rPr>
              <w:t>120</w:t>
            </w:r>
            <w:r>
              <w:rPr>
                <w:rFonts w:hint="default" w:ascii="Times New Roman" w:hAnsi="Times New Roman" w:eastAsia="宋体" w:cs="Times New Roman"/>
                <w:color w:val="auto"/>
                <w:sz w:val="24"/>
                <w:szCs w:val="20"/>
                <w:lang w:val="en-US" w:eastAsia="zh-CN" w:bidi="ar-SA"/>
              </w:rPr>
              <w:t>m</w:t>
            </w:r>
            <w:r>
              <w:rPr>
                <w:rFonts w:hint="default" w:ascii="Times New Roman" w:hAnsi="Times New Roman" w:eastAsia="宋体" w:cs="Times New Roman"/>
                <w:color w:val="auto"/>
                <w:sz w:val="24"/>
                <w:szCs w:val="20"/>
                <w:vertAlign w:val="superscript"/>
                <w:lang w:val="en-US" w:eastAsia="zh-CN" w:bidi="ar-SA"/>
              </w:rPr>
              <w:t>3</w:t>
            </w:r>
            <w:r>
              <w:rPr>
                <w:rFonts w:hint="default" w:ascii="Times New Roman" w:hAnsi="Times New Roman" w:eastAsia="宋体" w:cs="Times New Roman"/>
                <w:color w:val="auto"/>
                <w:sz w:val="24"/>
                <w:szCs w:val="20"/>
                <w:lang w:val="en-US" w:eastAsia="zh-CN" w:bidi="ar-SA"/>
              </w:rPr>
              <w:t>的事故池。本项目建设一座</w:t>
            </w:r>
            <w:r>
              <w:rPr>
                <w:rFonts w:hint="eastAsia" w:ascii="Times New Roman" w:hAnsi="Times New Roman" w:eastAsia="宋体" w:cs="Times New Roman"/>
                <w:color w:val="auto"/>
                <w:sz w:val="24"/>
                <w:szCs w:val="20"/>
                <w:lang w:val="en-US" w:eastAsia="zh-CN" w:bidi="ar-SA"/>
              </w:rPr>
              <w:t>150</w:t>
            </w:r>
            <w:r>
              <w:rPr>
                <w:rFonts w:hint="default" w:ascii="Times New Roman" w:hAnsi="Times New Roman" w:eastAsia="宋体" w:cs="Times New Roman"/>
                <w:color w:val="auto"/>
                <w:sz w:val="24"/>
                <w:szCs w:val="20"/>
                <w:lang w:val="en-US" w:eastAsia="zh-CN" w:bidi="ar-SA"/>
              </w:rPr>
              <w:t>m</w:t>
            </w:r>
            <w:r>
              <w:rPr>
                <w:rFonts w:hint="default" w:ascii="Times New Roman" w:hAnsi="Times New Roman" w:eastAsia="宋体" w:cs="Times New Roman"/>
                <w:color w:val="auto"/>
                <w:sz w:val="24"/>
                <w:szCs w:val="20"/>
                <w:vertAlign w:val="superscript"/>
                <w:lang w:val="en-US" w:eastAsia="zh-CN" w:bidi="ar-SA"/>
              </w:rPr>
              <w:t>3</w:t>
            </w:r>
            <w:r>
              <w:rPr>
                <w:rFonts w:hint="eastAsia" w:ascii="Times New Roman" w:hAnsi="Times New Roman" w:eastAsia="宋体" w:cs="Times New Roman"/>
                <w:color w:val="auto"/>
                <w:sz w:val="24"/>
                <w:szCs w:val="20"/>
                <w:lang w:val="en-US" w:eastAsia="zh-CN" w:bidi="ar-SA"/>
              </w:rPr>
              <w:t>事故水</w:t>
            </w:r>
            <w:r>
              <w:rPr>
                <w:rFonts w:hint="default" w:ascii="Times New Roman" w:hAnsi="Times New Roman" w:eastAsia="宋体" w:cs="Times New Roman"/>
                <w:color w:val="auto"/>
                <w:sz w:val="24"/>
                <w:szCs w:val="20"/>
                <w:lang w:val="en-US" w:eastAsia="zh-CN" w:bidi="ar-SA"/>
              </w:rPr>
              <w:t>池，容积设置可满足事故状态下的废水储存，满足《煤炭洗选工程设计规范》（GB50359-2016）要求。</w:t>
            </w:r>
          </w:p>
          <w:p w14:paraId="73B63DB5">
            <w:pPr>
              <w:pStyle w:val="181"/>
              <w:wordWrap/>
              <w:ind w:firstLine="480"/>
              <w:rPr>
                <w:color w:val="auto"/>
              </w:rPr>
            </w:pPr>
          </w:p>
        </w:tc>
      </w:tr>
    </w:tbl>
    <w:p w14:paraId="6DE17EA4">
      <w:pPr>
        <w:spacing w:after="0"/>
        <w:rPr>
          <w:color w:val="auto"/>
        </w:rPr>
        <w:sectPr>
          <w:headerReference r:id="rId15" w:type="default"/>
          <w:pgSz w:w="11907" w:h="16840"/>
          <w:pgMar w:top="1440" w:right="1440" w:bottom="1389" w:left="1440" w:header="851" w:footer="851" w:gutter="0"/>
          <w:pgNumType w:fmt="decimal"/>
          <w:cols w:space="720" w:num="1"/>
          <w:docGrid w:linePitch="326" w:charSpace="0"/>
        </w:sectPr>
      </w:pPr>
    </w:p>
    <w:tbl>
      <w:tblPr>
        <w:tblStyle w:val="53"/>
        <w:tblW w:w="502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75"/>
        <w:gridCol w:w="14346"/>
      </w:tblGrid>
      <w:tr w14:paraId="1F37F3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0208" w:hRule="atLeast"/>
          <w:jc w:val="center"/>
        </w:trPr>
        <w:tc>
          <w:tcPr>
            <w:tcW w:w="470" w:type="dxa"/>
            <w:tcMar>
              <w:left w:w="28" w:type="dxa"/>
              <w:right w:w="28" w:type="dxa"/>
            </w:tcMar>
            <w:vAlign w:val="center"/>
          </w:tcPr>
          <w:p w14:paraId="089F6CD5">
            <w:pPr>
              <w:adjustRightInd w:val="0"/>
              <w:snapToGrid w:val="0"/>
              <w:spacing w:after="0"/>
              <w:jc w:val="center"/>
              <w:rPr>
                <w:rFonts w:ascii="Calibri" w:hAnsi="Calibri"/>
                <w:color w:val="auto"/>
                <w:kern w:val="2"/>
                <w:sz w:val="21"/>
                <w:szCs w:val="21"/>
              </w:rPr>
            </w:pPr>
            <w:r>
              <w:rPr>
                <w:rFonts w:ascii="Calibri" w:hAnsi="Calibri"/>
                <w:color w:val="auto"/>
                <w:kern w:val="2"/>
                <w:sz w:val="21"/>
                <w:szCs w:val="21"/>
              </w:rPr>
              <w:t>运营期环境影响和保护措施</w:t>
            </w:r>
          </w:p>
        </w:tc>
        <w:tc>
          <w:tcPr>
            <w:tcW w:w="14194" w:type="dxa"/>
          </w:tcPr>
          <w:p w14:paraId="63A6F6AA">
            <w:pPr>
              <w:pStyle w:val="598"/>
              <w:rPr>
                <w:color w:val="auto"/>
              </w:rPr>
            </w:pPr>
            <w:r>
              <w:rPr>
                <w:color w:val="auto"/>
              </w:rPr>
              <w:t>4.4</w:t>
            </w:r>
            <w:r>
              <w:rPr>
                <w:rFonts w:hint="eastAsia"/>
                <w:bCs/>
                <w:color w:val="auto"/>
              </w:rPr>
              <w:t>营运期噪声治理措施和环境影响分析</w:t>
            </w:r>
          </w:p>
          <w:p w14:paraId="476B6CC4">
            <w:pPr>
              <w:pStyle w:val="180"/>
              <w:ind w:firstLine="482"/>
              <w:rPr>
                <w:color w:val="auto"/>
              </w:rPr>
            </w:pPr>
            <w:r>
              <w:rPr>
                <w:color w:val="auto"/>
              </w:rPr>
              <w:t>4.4.1 噪声污染源强情况</w:t>
            </w:r>
            <w:r>
              <w:rPr>
                <w:rFonts w:hint="eastAsia"/>
                <w:color w:val="auto"/>
              </w:rPr>
              <w:t>及降噪措施</w:t>
            </w:r>
          </w:p>
          <w:p w14:paraId="11DB5AAA">
            <w:pPr>
              <w:pStyle w:val="181"/>
              <w:ind w:firstLine="480"/>
              <w:rPr>
                <w:color w:val="auto"/>
              </w:rPr>
            </w:pPr>
            <w:r>
              <w:rPr>
                <w:rFonts w:hint="eastAsia"/>
                <w:color w:val="auto"/>
              </w:rPr>
              <w:t>本项目</w:t>
            </w:r>
            <w:r>
              <w:rPr>
                <w:rFonts w:hint="eastAsia"/>
                <w:color w:val="auto"/>
                <w:lang w:eastAsia="zh-CN"/>
              </w:rPr>
              <w:t>产噪设备主要为</w:t>
            </w:r>
            <w:r>
              <w:rPr>
                <w:rFonts w:hint="eastAsia"/>
                <w:color w:val="auto"/>
              </w:rPr>
              <w:t>风机、水泵</w:t>
            </w:r>
            <w:r>
              <w:rPr>
                <w:rFonts w:hint="eastAsia"/>
                <w:color w:val="auto"/>
                <w:lang w:eastAsia="zh-CN"/>
              </w:rPr>
              <w:t>、浆泵等</w:t>
            </w:r>
            <w:r>
              <w:rPr>
                <w:rFonts w:hint="eastAsia"/>
                <w:color w:val="auto"/>
              </w:rPr>
              <w:t>机械运行时发出的机械噪声</w:t>
            </w:r>
            <w:r>
              <w:rPr>
                <w:rFonts w:hint="eastAsia"/>
                <w:color w:val="auto"/>
                <w:lang w:eastAsia="zh-CN"/>
              </w:rPr>
              <w:t>，根据建设单位提供资料，均为</w:t>
            </w:r>
            <w:r>
              <w:rPr>
                <w:rFonts w:hint="eastAsia"/>
                <w:color w:val="auto"/>
              </w:rPr>
              <w:t>室</w:t>
            </w:r>
            <w:r>
              <w:rPr>
                <w:rFonts w:hint="eastAsia"/>
                <w:color w:val="auto"/>
                <w:lang w:eastAsia="zh-CN"/>
              </w:rPr>
              <w:t>内</w:t>
            </w:r>
            <w:r>
              <w:rPr>
                <w:rFonts w:hint="eastAsia"/>
                <w:color w:val="auto"/>
              </w:rPr>
              <w:t xml:space="preserve">噪声源，声级在 </w:t>
            </w:r>
            <w:r>
              <w:rPr>
                <w:rFonts w:hint="eastAsia"/>
                <w:color w:val="auto"/>
                <w:lang w:val="en-US" w:eastAsia="zh-CN"/>
              </w:rPr>
              <w:t>7</w:t>
            </w:r>
            <w:r>
              <w:rPr>
                <w:rFonts w:hint="eastAsia"/>
                <w:color w:val="auto"/>
              </w:rPr>
              <w:t>0-90dB(A)左右。</w:t>
            </w:r>
          </w:p>
          <w:p w14:paraId="2E05CFAD">
            <w:pPr>
              <w:pStyle w:val="181"/>
              <w:wordWrap/>
              <w:ind w:firstLine="480"/>
              <w:rPr>
                <w:color w:val="auto"/>
              </w:rPr>
            </w:pPr>
            <w:r>
              <w:rPr>
                <w:color w:val="auto"/>
              </w:rPr>
              <w:t>本项目采取降噪措施如下：</w:t>
            </w:r>
            <w:r>
              <w:rPr>
                <w:rFonts w:hint="eastAsia" w:ascii="宋体" w:hAnsi="宋体" w:cs="宋体"/>
                <w:color w:val="auto"/>
              </w:rPr>
              <w:t>①</w:t>
            </w:r>
            <w:r>
              <w:rPr>
                <w:color w:val="auto"/>
              </w:rPr>
              <w:t>在设备选型时采用低噪声设备；</w:t>
            </w:r>
            <w:r>
              <w:rPr>
                <w:rFonts w:hint="eastAsia" w:ascii="宋体" w:hAnsi="宋体" w:cs="宋体"/>
                <w:color w:val="auto"/>
              </w:rPr>
              <w:t>②</w:t>
            </w:r>
            <w:r>
              <w:rPr>
                <w:color w:val="auto"/>
              </w:rPr>
              <w:t>合理布局，基础减振；</w:t>
            </w:r>
            <w:r>
              <w:rPr>
                <w:rFonts w:hint="eastAsia" w:ascii="宋体" w:hAnsi="宋体" w:cs="宋体"/>
                <w:color w:val="auto"/>
              </w:rPr>
              <w:t>③</w:t>
            </w:r>
            <w:r>
              <w:rPr>
                <w:color w:val="auto"/>
              </w:rPr>
              <w:t>所有高噪声设备均安置在室内进行隔声处理，同时加强设备的维护保养，并定期检修。</w:t>
            </w:r>
          </w:p>
          <w:p w14:paraId="1DF3B548">
            <w:pPr>
              <w:pStyle w:val="181"/>
              <w:wordWrap/>
              <w:ind w:firstLine="480"/>
              <w:rPr>
                <w:color w:val="auto"/>
              </w:rPr>
            </w:pPr>
            <w:r>
              <w:rPr>
                <w:rFonts w:eastAsiaTheme="minorEastAsia"/>
                <w:color w:val="auto"/>
                <w:szCs w:val="24"/>
              </w:rPr>
              <w:t>项目产生噪声的噪声源强调查清单见</w:t>
            </w:r>
            <w:r>
              <w:rPr>
                <w:rFonts w:hint="eastAsia" w:eastAsiaTheme="minorEastAsia"/>
                <w:color w:val="auto"/>
                <w:szCs w:val="24"/>
                <w:lang w:eastAsia="zh-CN"/>
              </w:rPr>
              <w:t>下表</w:t>
            </w:r>
            <w:r>
              <w:rPr>
                <w:rFonts w:eastAsiaTheme="minorEastAsia"/>
                <w:color w:val="auto"/>
                <w:szCs w:val="24"/>
              </w:rPr>
              <w:t>。</w:t>
            </w:r>
          </w:p>
          <w:p w14:paraId="5DEF981E">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eastAsia="zh-CN"/>
              </w:rPr>
            </w:pPr>
            <w:bookmarkStart w:id="23" w:name="PT_6"/>
            <w:r>
              <w:rPr>
                <w:color w:val="auto"/>
              </w:rPr>
              <w:t xml:space="preserve">表 </w:t>
            </w:r>
            <w:r>
              <w:rPr>
                <w:rFonts w:hint="eastAsia"/>
                <w:color w:val="auto"/>
                <w:lang w:val="en-US" w:eastAsia="zh-CN"/>
              </w:rPr>
              <w:t>4</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5</w:t>
            </w:r>
            <w:r>
              <w:rPr>
                <w:color w:val="auto"/>
              </w:rPr>
              <w:fldChar w:fldCharType="end"/>
            </w:r>
            <w:r>
              <w:rPr>
                <w:color w:val="auto"/>
              </w:rPr>
              <w:t xml:space="preserve"> 项目工业企业噪声源强调查清单</w:t>
            </w:r>
            <w:r>
              <w:rPr>
                <w:rFonts w:hint="eastAsia"/>
                <w:color w:val="auto"/>
                <w:lang w:eastAsia="zh-CN"/>
              </w:rPr>
              <w:t>（室内声源）</w:t>
            </w:r>
          </w:p>
          <w:tbl>
            <w:tblPr>
              <w:tblStyle w:val="53"/>
              <w:tblW w:w="141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98"/>
              <w:gridCol w:w="542"/>
              <w:gridCol w:w="967"/>
              <w:gridCol w:w="683"/>
              <w:gridCol w:w="484"/>
              <w:gridCol w:w="471"/>
              <w:gridCol w:w="546"/>
              <w:gridCol w:w="571"/>
              <w:gridCol w:w="523"/>
              <w:gridCol w:w="523"/>
              <w:gridCol w:w="523"/>
              <w:gridCol w:w="524"/>
              <w:gridCol w:w="517"/>
              <w:gridCol w:w="517"/>
              <w:gridCol w:w="517"/>
              <w:gridCol w:w="518"/>
              <w:gridCol w:w="449"/>
              <w:gridCol w:w="498"/>
              <w:gridCol w:w="498"/>
              <w:gridCol w:w="498"/>
              <w:gridCol w:w="498"/>
              <w:gridCol w:w="531"/>
              <w:gridCol w:w="531"/>
              <w:gridCol w:w="531"/>
              <w:gridCol w:w="532"/>
              <w:gridCol w:w="733"/>
            </w:tblGrid>
            <w:tr w14:paraId="09A70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398" w:type="dxa"/>
                  <w:vMerge w:val="restart"/>
                  <w:vAlign w:val="center"/>
                </w:tcPr>
                <w:p w14:paraId="078EC6F4">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序号</w:t>
                  </w:r>
                </w:p>
              </w:tc>
              <w:tc>
                <w:tcPr>
                  <w:tcW w:w="542" w:type="dxa"/>
                  <w:vMerge w:val="restart"/>
                  <w:vAlign w:val="center"/>
                </w:tcPr>
                <w:p w14:paraId="1E435610">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建筑物名称</w:t>
                  </w:r>
                </w:p>
              </w:tc>
              <w:tc>
                <w:tcPr>
                  <w:tcW w:w="967" w:type="dxa"/>
                  <w:vMerge w:val="restart"/>
                  <w:vAlign w:val="center"/>
                </w:tcPr>
                <w:p w14:paraId="4678A025">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声源</w:t>
                  </w:r>
                </w:p>
                <w:p w14:paraId="410F251E">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名称</w:t>
                  </w:r>
                </w:p>
              </w:tc>
              <w:tc>
                <w:tcPr>
                  <w:tcW w:w="683" w:type="dxa"/>
                  <w:vMerge w:val="restart"/>
                  <w:vAlign w:val="center"/>
                </w:tcPr>
                <w:p w14:paraId="6BC80216">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声功率级/dB</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A</w:t>
                  </w:r>
                  <w:r>
                    <w:rPr>
                      <w:rFonts w:hint="default" w:ascii="Times New Roman" w:hAnsi="Times New Roman" w:eastAsia="宋体" w:cs="Times New Roman"/>
                      <w:color w:val="auto"/>
                      <w:sz w:val="18"/>
                      <w:szCs w:val="18"/>
                      <w:lang w:eastAsia="zh-CN"/>
                    </w:rPr>
                    <w:t>）</w:t>
                  </w:r>
                </w:p>
              </w:tc>
              <w:tc>
                <w:tcPr>
                  <w:tcW w:w="484" w:type="dxa"/>
                  <w:vMerge w:val="restart"/>
                  <w:vAlign w:val="center"/>
                </w:tcPr>
                <w:p w14:paraId="459240D2">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声源控制措施</w:t>
                  </w:r>
                </w:p>
              </w:tc>
              <w:tc>
                <w:tcPr>
                  <w:tcW w:w="1588" w:type="dxa"/>
                  <w:gridSpan w:val="3"/>
                  <w:vAlign w:val="center"/>
                </w:tcPr>
                <w:p w14:paraId="18E1F943">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空间相对位置/m</w:t>
                  </w:r>
                </w:p>
              </w:tc>
              <w:tc>
                <w:tcPr>
                  <w:tcW w:w="2093" w:type="dxa"/>
                  <w:gridSpan w:val="4"/>
                  <w:vAlign w:val="center"/>
                </w:tcPr>
                <w:p w14:paraId="1546D580">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距室内边界距离/m</w:t>
                  </w:r>
                </w:p>
              </w:tc>
              <w:tc>
                <w:tcPr>
                  <w:tcW w:w="2069" w:type="dxa"/>
                  <w:gridSpan w:val="4"/>
                  <w:vAlign w:val="center"/>
                </w:tcPr>
                <w:p w14:paraId="4A2DE5EE">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室内边界声级/dB</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A</w:t>
                  </w:r>
                  <w:r>
                    <w:rPr>
                      <w:rFonts w:hint="default" w:ascii="Times New Roman" w:hAnsi="Times New Roman" w:eastAsia="宋体" w:cs="Times New Roman"/>
                      <w:color w:val="auto"/>
                      <w:sz w:val="18"/>
                      <w:szCs w:val="18"/>
                      <w:lang w:eastAsia="zh-CN"/>
                    </w:rPr>
                    <w:t>）</w:t>
                  </w:r>
                </w:p>
              </w:tc>
              <w:tc>
                <w:tcPr>
                  <w:tcW w:w="449" w:type="dxa"/>
                  <w:vMerge w:val="restart"/>
                  <w:vAlign w:val="center"/>
                </w:tcPr>
                <w:p w14:paraId="619A5085">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运行时段</w:t>
                  </w:r>
                </w:p>
              </w:tc>
              <w:tc>
                <w:tcPr>
                  <w:tcW w:w="1992" w:type="dxa"/>
                  <w:gridSpan w:val="4"/>
                  <w:vAlign w:val="center"/>
                </w:tcPr>
                <w:p w14:paraId="29C84B71">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建筑物插入损失 / dB</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A</w:t>
                  </w:r>
                  <w:bookmarkStart w:id="24" w:name="PT_10"/>
                  <w:bookmarkEnd w:id="24"/>
                  <w:r>
                    <w:rPr>
                      <w:rFonts w:hint="default" w:ascii="Times New Roman" w:hAnsi="Times New Roman" w:eastAsia="宋体" w:cs="Times New Roman"/>
                      <w:color w:val="auto"/>
                      <w:sz w:val="18"/>
                      <w:szCs w:val="18"/>
                      <w:lang w:eastAsia="zh-CN"/>
                    </w:rPr>
                    <w:t>）</w:t>
                  </w:r>
                </w:p>
              </w:tc>
              <w:tc>
                <w:tcPr>
                  <w:tcW w:w="2858" w:type="dxa"/>
                  <w:gridSpan w:val="5"/>
                  <w:vAlign w:val="center"/>
                </w:tcPr>
                <w:p w14:paraId="74E67986">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rPr>
                    <w:t>建筑物外噪声声压级/dB</w:t>
                  </w:r>
                  <w:r>
                    <w:rPr>
                      <w:rFonts w:hint="default"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A</w:t>
                  </w:r>
                  <w:r>
                    <w:rPr>
                      <w:rFonts w:hint="default" w:ascii="Times New Roman" w:hAnsi="Times New Roman" w:eastAsia="宋体" w:cs="Times New Roman"/>
                      <w:color w:val="auto"/>
                      <w:sz w:val="18"/>
                      <w:szCs w:val="18"/>
                      <w:lang w:eastAsia="zh-CN"/>
                    </w:rPr>
                    <w:t>）</w:t>
                  </w:r>
                </w:p>
              </w:tc>
            </w:tr>
            <w:tr w14:paraId="2DC59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vMerge w:val="continue"/>
                  <w:shd w:val="clear" w:color="auto" w:fill="FFFFFF"/>
                  <w:tcMar>
                    <w:top w:w="0" w:type="dxa"/>
                    <w:left w:w="0" w:type="dxa"/>
                    <w:bottom w:w="0" w:type="dxa"/>
                    <w:right w:w="0" w:type="dxa"/>
                  </w:tcMar>
                  <w:vAlign w:val="center"/>
                </w:tcPr>
                <w:p w14:paraId="2D897D53">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542" w:type="dxa"/>
                  <w:vMerge w:val="continue"/>
                  <w:shd w:val="clear" w:color="auto" w:fill="FFFFFF"/>
                  <w:tcMar>
                    <w:top w:w="0" w:type="dxa"/>
                    <w:left w:w="0" w:type="dxa"/>
                    <w:bottom w:w="0" w:type="dxa"/>
                    <w:right w:w="0" w:type="dxa"/>
                  </w:tcMar>
                  <w:vAlign w:val="center"/>
                </w:tcPr>
                <w:p w14:paraId="05E0488A">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vMerge w:val="continue"/>
                  <w:shd w:val="clear" w:color="auto" w:fill="FFFFFF"/>
                  <w:tcMar>
                    <w:top w:w="0" w:type="dxa"/>
                    <w:left w:w="0" w:type="dxa"/>
                    <w:bottom w:w="0" w:type="dxa"/>
                    <w:right w:w="0" w:type="dxa"/>
                  </w:tcMar>
                  <w:vAlign w:val="center"/>
                </w:tcPr>
                <w:p w14:paraId="6021A2A0">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683" w:type="dxa"/>
                  <w:vMerge w:val="continue"/>
                  <w:shd w:val="clear" w:color="auto" w:fill="FFFFFF"/>
                  <w:tcMar>
                    <w:top w:w="0" w:type="dxa"/>
                    <w:left w:w="0" w:type="dxa"/>
                    <w:bottom w:w="0" w:type="dxa"/>
                    <w:right w:w="0" w:type="dxa"/>
                  </w:tcMar>
                  <w:vAlign w:val="center"/>
                </w:tcPr>
                <w:p w14:paraId="6FADFB26">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eastAsia="zh-CN"/>
                    </w:rPr>
                  </w:pPr>
                </w:p>
              </w:tc>
              <w:tc>
                <w:tcPr>
                  <w:tcW w:w="484" w:type="dxa"/>
                  <w:vMerge w:val="continue"/>
                  <w:shd w:val="clear" w:color="auto" w:fill="FFFFFF"/>
                  <w:tcMar>
                    <w:top w:w="0" w:type="dxa"/>
                    <w:left w:w="0" w:type="dxa"/>
                    <w:bottom w:w="0" w:type="dxa"/>
                    <w:right w:w="0" w:type="dxa"/>
                  </w:tcMar>
                  <w:vAlign w:val="center"/>
                </w:tcPr>
                <w:p w14:paraId="609D8357">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471" w:type="dxa"/>
                  <w:shd w:val="clear" w:color="auto" w:fill="FFFFFF"/>
                  <w:tcMar>
                    <w:top w:w="0" w:type="dxa"/>
                    <w:left w:w="0" w:type="dxa"/>
                    <w:bottom w:w="0" w:type="dxa"/>
                    <w:right w:w="0" w:type="dxa"/>
                  </w:tcMar>
                  <w:vAlign w:val="center"/>
                </w:tcPr>
                <w:p w14:paraId="34E9E258">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X</w:t>
                  </w:r>
                </w:p>
              </w:tc>
              <w:tc>
                <w:tcPr>
                  <w:tcW w:w="546" w:type="dxa"/>
                  <w:shd w:val="clear" w:color="auto" w:fill="FFFFFF"/>
                  <w:tcMar>
                    <w:top w:w="0" w:type="dxa"/>
                    <w:left w:w="0" w:type="dxa"/>
                    <w:bottom w:w="0" w:type="dxa"/>
                    <w:right w:w="0" w:type="dxa"/>
                  </w:tcMar>
                  <w:vAlign w:val="center"/>
                </w:tcPr>
                <w:p w14:paraId="04245B61">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Y</w:t>
                  </w:r>
                </w:p>
              </w:tc>
              <w:tc>
                <w:tcPr>
                  <w:tcW w:w="571" w:type="dxa"/>
                  <w:shd w:val="clear" w:color="auto" w:fill="FFFFFF"/>
                  <w:tcMar>
                    <w:top w:w="0" w:type="dxa"/>
                    <w:left w:w="0" w:type="dxa"/>
                    <w:bottom w:w="0" w:type="dxa"/>
                    <w:right w:w="0" w:type="dxa"/>
                  </w:tcMar>
                  <w:vAlign w:val="center"/>
                </w:tcPr>
                <w:p w14:paraId="3BD7605D">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Z</w:t>
                  </w:r>
                </w:p>
              </w:tc>
              <w:tc>
                <w:tcPr>
                  <w:tcW w:w="523" w:type="dxa"/>
                  <w:shd w:val="clear" w:color="auto" w:fill="FFFFFF"/>
                  <w:tcMar>
                    <w:top w:w="0" w:type="dxa"/>
                    <w:left w:w="0" w:type="dxa"/>
                    <w:bottom w:w="0" w:type="dxa"/>
                    <w:right w:w="0" w:type="dxa"/>
                  </w:tcMar>
                  <w:vAlign w:val="center"/>
                </w:tcPr>
                <w:p w14:paraId="173949DB">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东</w:t>
                  </w:r>
                </w:p>
              </w:tc>
              <w:tc>
                <w:tcPr>
                  <w:tcW w:w="523" w:type="dxa"/>
                  <w:shd w:val="clear" w:color="auto" w:fill="FFFFFF"/>
                  <w:tcMar>
                    <w:top w:w="0" w:type="dxa"/>
                    <w:left w:w="0" w:type="dxa"/>
                    <w:bottom w:w="0" w:type="dxa"/>
                    <w:right w:w="0" w:type="dxa"/>
                  </w:tcMar>
                  <w:vAlign w:val="center"/>
                </w:tcPr>
                <w:p w14:paraId="7CDC75CC">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南</w:t>
                  </w:r>
                </w:p>
              </w:tc>
              <w:tc>
                <w:tcPr>
                  <w:tcW w:w="523" w:type="dxa"/>
                  <w:shd w:val="clear" w:color="auto" w:fill="FFFFFF"/>
                  <w:tcMar>
                    <w:top w:w="0" w:type="dxa"/>
                    <w:left w:w="0" w:type="dxa"/>
                    <w:bottom w:w="0" w:type="dxa"/>
                    <w:right w:w="0" w:type="dxa"/>
                  </w:tcMar>
                  <w:vAlign w:val="center"/>
                </w:tcPr>
                <w:p w14:paraId="6C595B4E">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西</w:t>
                  </w:r>
                </w:p>
              </w:tc>
              <w:tc>
                <w:tcPr>
                  <w:tcW w:w="524" w:type="dxa"/>
                  <w:shd w:val="clear" w:color="auto" w:fill="FFFFFF"/>
                  <w:tcMar>
                    <w:top w:w="0" w:type="dxa"/>
                    <w:left w:w="0" w:type="dxa"/>
                    <w:bottom w:w="0" w:type="dxa"/>
                    <w:right w:w="0" w:type="dxa"/>
                  </w:tcMar>
                  <w:vAlign w:val="center"/>
                </w:tcPr>
                <w:p w14:paraId="00D12622">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北</w:t>
                  </w:r>
                </w:p>
              </w:tc>
              <w:tc>
                <w:tcPr>
                  <w:tcW w:w="517" w:type="dxa"/>
                  <w:shd w:val="clear" w:color="auto" w:fill="FFFFFF"/>
                  <w:tcMar>
                    <w:top w:w="0" w:type="dxa"/>
                    <w:left w:w="0" w:type="dxa"/>
                    <w:bottom w:w="0" w:type="dxa"/>
                    <w:right w:w="0" w:type="dxa"/>
                  </w:tcMar>
                  <w:vAlign w:val="center"/>
                </w:tcPr>
                <w:p w14:paraId="33D96FB0">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东</w:t>
                  </w:r>
                </w:p>
              </w:tc>
              <w:tc>
                <w:tcPr>
                  <w:tcW w:w="517" w:type="dxa"/>
                  <w:shd w:val="clear" w:color="auto" w:fill="FFFFFF"/>
                  <w:tcMar>
                    <w:top w:w="0" w:type="dxa"/>
                    <w:left w:w="0" w:type="dxa"/>
                    <w:bottom w:w="0" w:type="dxa"/>
                    <w:right w:w="0" w:type="dxa"/>
                  </w:tcMar>
                  <w:vAlign w:val="center"/>
                </w:tcPr>
                <w:p w14:paraId="21BCF7C8">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南</w:t>
                  </w:r>
                </w:p>
              </w:tc>
              <w:tc>
                <w:tcPr>
                  <w:tcW w:w="517" w:type="dxa"/>
                  <w:shd w:val="clear" w:color="auto" w:fill="FFFFFF"/>
                  <w:tcMar>
                    <w:top w:w="0" w:type="dxa"/>
                    <w:left w:w="0" w:type="dxa"/>
                    <w:bottom w:w="0" w:type="dxa"/>
                    <w:right w:w="0" w:type="dxa"/>
                  </w:tcMar>
                  <w:vAlign w:val="center"/>
                </w:tcPr>
                <w:p w14:paraId="0D16D05B">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西</w:t>
                  </w:r>
                </w:p>
              </w:tc>
              <w:tc>
                <w:tcPr>
                  <w:tcW w:w="518" w:type="dxa"/>
                  <w:shd w:val="clear" w:color="auto" w:fill="FFFFFF"/>
                  <w:tcMar>
                    <w:top w:w="0" w:type="dxa"/>
                    <w:left w:w="0" w:type="dxa"/>
                    <w:bottom w:w="0" w:type="dxa"/>
                    <w:right w:w="0" w:type="dxa"/>
                  </w:tcMar>
                  <w:vAlign w:val="center"/>
                </w:tcPr>
                <w:p w14:paraId="1364BE28">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北</w:t>
                  </w:r>
                </w:p>
              </w:tc>
              <w:tc>
                <w:tcPr>
                  <w:tcW w:w="449" w:type="dxa"/>
                  <w:vMerge w:val="continue"/>
                  <w:shd w:val="clear" w:color="auto" w:fill="FFFFFF"/>
                  <w:tcMar>
                    <w:top w:w="0" w:type="dxa"/>
                    <w:left w:w="0" w:type="dxa"/>
                    <w:bottom w:w="0" w:type="dxa"/>
                    <w:right w:w="0" w:type="dxa"/>
                  </w:tcMar>
                  <w:vAlign w:val="center"/>
                </w:tcPr>
                <w:p w14:paraId="4D1A5B6A">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498" w:type="dxa"/>
                  <w:shd w:val="clear" w:color="auto" w:fill="FFFFFF"/>
                  <w:tcMar>
                    <w:top w:w="0" w:type="dxa"/>
                    <w:left w:w="0" w:type="dxa"/>
                    <w:bottom w:w="0" w:type="dxa"/>
                    <w:right w:w="0" w:type="dxa"/>
                  </w:tcMar>
                  <w:vAlign w:val="center"/>
                </w:tcPr>
                <w:p w14:paraId="7072AA8E">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东</w:t>
                  </w:r>
                </w:p>
              </w:tc>
              <w:tc>
                <w:tcPr>
                  <w:tcW w:w="498" w:type="dxa"/>
                  <w:shd w:val="clear" w:color="auto" w:fill="FFFFFF"/>
                  <w:tcMar>
                    <w:top w:w="0" w:type="dxa"/>
                    <w:left w:w="0" w:type="dxa"/>
                    <w:bottom w:w="0" w:type="dxa"/>
                    <w:right w:w="0" w:type="dxa"/>
                  </w:tcMar>
                  <w:vAlign w:val="center"/>
                </w:tcPr>
                <w:p w14:paraId="30F235AF">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南</w:t>
                  </w:r>
                </w:p>
              </w:tc>
              <w:tc>
                <w:tcPr>
                  <w:tcW w:w="498" w:type="dxa"/>
                  <w:shd w:val="clear" w:color="auto" w:fill="FFFFFF"/>
                  <w:tcMar>
                    <w:top w:w="0" w:type="dxa"/>
                    <w:left w:w="0" w:type="dxa"/>
                    <w:bottom w:w="0" w:type="dxa"/>
                    <w:right w:w="0" w:type="dxa"/>
                  </w:tcMar>
                  <w:vAlign w:val="center"/>
                </w:tcPr>
                <w:p w14:paraId="51CEE3AB">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西</w:t>
                  </w:r>
                </w:p>
              </w:tc>
              <w:tc>
                <w:tcPr>
                  <w:tcW w:w="498" w:type="dxa"/>
                  <w:shd w:val="clear" w:color="auto" w:fill="FFFFFF"/>
                  <w:tcMar>
                    <w:top w:w="0" w:type="dxa"/>
                    <w:left w:w="0" w:type="dxa"/>
                    <w:bottom w:w="0" w:type="dxa"/>
                    <w:right w:w="0" w:type="dxa"/>
                  </w:tcMar>
                  <w:vAlign w:val="center"/>
                </w:tcPr>
                <w:p w14:paraId="18BAD1B3">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北</w:t>
                  </w:r>
                </w:p>
              </w:tc>
              <w:tc>
                <w:tcPr>
                  <w:tcW w:w="531" w:type="dxa"/>
                  <w:shd w:val="clear" w:color="auto" w:fill="FFFFFF"/>
                  <w:tcMar>
                    <w:top w:w="0" w:type="dxa"/>
                    <w:left w:w="0" w:type="dxa"/>
                    <w:bottom w:w="0" w:type="dxa"/>
                    <w:right w:w="0" w:type="dxa"/>
                  </w:tcMar>
                  <w:vAlign w:val="center"/>
                </w:tcPr>
                <w:p w14:paraId="16B0C199">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东</w:t>
                  </w:r>
                </w:p>
              </w:tc>
              <w:tc>
                <w:tcPr>
                  <w:tcW w:w="531" w:type="dxa"/>
                  <w:shd w:val="clear" w:color="auto" w:fill="FFFFFF"/>
                  <w:tcMar>
                    <w:top w:w="0" w:type="dxa"/>
                    <w:left w:w="0" w:type="dxa"/>
                    <w:bottom w:w="0" w:type="dxa"/>
                    <w:right w:w="0" w:type="dxa"/>
                  </w:tcMar>
                  <w:vAlign w:val="center"/>
                </w:tcPr>
                <w:p w14:paraId="1E9C5F30">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南</w:t>
                  </w:r>
                </w:p>
              </w:tc>
              <w:tc>
                <w:tcPr>
                  <w:tcW w:w="531" w:type="dxa"/>
                  <w:shd w:val="clear" w:color="auto" w:fill="FFFFFF"/>
                  <w:tcMar>
                    <w:top w:w="0" w:type="dxa"/>
                    <w:left w:w="0" w:type="dxa"/>
                    <w:bottom w:w="0" w:type="dxa"/>
                    <w:right w:w="0" w:type="dxa"/>
                  </w:tcMar>
                  <w:vAlign w:val="center"/>
                </w:tcPr>
                <w:p w14:paraId="1F69E136">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西</w:t>
                  </w:r>
                </w:p>
              </w:tc>
              <w:tc>
                <w:tcPr>
                  <w:tcW w:w="532" w:type="dxa"/>
                  <w:shd w:val="clear" w:color="auto" w:fill="FFFFFF"/>
                  <w:tcMar>
                    <w:top w:w="0" w:type="dxa"/>
                    <w:left w:w="0" w:type="dxa"/>
                    <w:bottom w:w="0" w:type="dxa"/>
                    <w:right w:w="0" w:type="dxa"/>
                  </w:tcMar>
                  <w:vAlign w:val="center"/>
                </w:tcPr>
                <w:p w14:paraId="11EB359B">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北</w:t>
                  </w:r>
                </w:p>
              </w:tc>
              <w:tc>
                <w:tcPr>
                  <w:tcW w:w="733" w:type="dxa"/>
                  <w:shd w:val="clear" w:color="auto" w:fill="FFFFFF"/>
                  <w:tcMar>
                    <w:top w:w="0" w:type="dxa"/>
                    <w:left w:w="0" w:type="dxa"/>
                    <w:bottom w:w="0" w:type="dxa"/>
                    <w:right w:w="0" w:type="dxa"/>
                  </w:tcMar>
                  <w:vAlign w:val="center"/>
                </w:tcPr>
                <w:p w14:paraId="3C74DD23">
                  <w:pPr>
                    <w:pStyle w:val="287"/>
                    <w:keepNext w:val="0"/>
                    <w:keepLines w:val="0"/>
                    <w:pageBreakBefore w:val="0"/>
                    <w:framePr w:hSpace="0" w:wrap="auto" w:vAnchor="margin" w:hAnchor="text" w:xAlign="left" w:yAlign="inline"/>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建筑物外距离</w:t>
                  </w:r>
                </w:p>
              </w:tc>
            </w:tr>
            <w:tr w14:paraId="1474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4430D40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1</w:t>
                  </w:r>
                </w:p>
              </w:tc>
              <w:tc>
                <w:tcPr>
                  <w:tcW w:w="542" w:type="dxa"/>
                  <w:vMerge w:val="restart"/>
                  <w:shd w:val="clear" w:color="auto" w:fill="FFFFFF"/>
                  <w:tcMar>
                    <w:top w:w="0" w:type="dxa"/>
                    <w:left w:w="0" w:type="dxa"/>
                    <w:bottom w:w="0" w:type="dxa"/>
                    <w:right w:w="0" w:type="dxa"/>
                  </w:tcMar>
                  <w:vAlign w:val="center"/>
                </w:tcPr>
                <w:p w14:paraId="03390D1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生产车间</w:t>
                  </w:r>
                </w:p>
              </w:tc>
              <w:tc>
                <w:tcPr>
                  <w:tcW w:w="967" w:type="dxa"/>
                  <w:shd w:val="clear" w:color="auto" w:fill="FFFFFF"/>
                  <w:tcMar>
                    <w:top w:w="0" w:type="dxa"/>
                    <w:left w:w="0" w:type="dxa"/>
                    <w:bottom w:w="0" w:type="dxa"/>
                    <w:right w:w="0" w:type="dxa"/>
                  </w:tcMar>
                  <w:vAlign w:val="center"/>
                </w:tcPr>
                <w:p w14:paraId="5B4945A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eastAsia="zh-CN"/>
                    </w:rPr>
                  </w:pPr>
                  <w:r>
                    <w:rPr>
                      <w:rFonts w:hint="eastAsia" w:ascii="Times New Roman" w:hAnsi="Times New Roman" w:eastAsia="宋体" w:cs="Times New Roman"/>
                      <w:color w:val="auto"/>
                      <w:sz w:val="18"/>
                      <w:szCs w:val="18"/>
                      <w:lang w:eastAsia="zh-CN"/>
                    </w:rPr>
                    <w:t>给料机</w:t>
                  </w:r>
                </w:p>
              </w:tc>
              <w:tc>
                <w:tcPr>
                  <w:tcW w:w="683" w:type="dxa"/>
                  <w:shd w:val="clear" w:color="auto" w:fill="FFFFFF"/>
                  <w:tcMar>
                    <w:top w:w="0" w:type="dxa"/>
                    <w:left w:w="0" w:type="dxa"/>
                    <w:bottom w:w="0" w:type="dxa"/>
                    <w:right w:w="0" w:type="dxa"/>
                  </w:tcMar>
                  <w:vAlign w:val="center"/>
                </w:tcPr>
                <w:p w14:paraId="08B3FC8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80/1</w:t>
                  </w:r>
                </w:p>
              </w:tc>
              <w:tc>
                <w:tcPr>
                  <w:tcW w:w="484" w:type="dxa"/>
                  <w:vMerge w:val="restart"/>
                  <w:shd w:val="clear" w:color="auto" w:fill="FFFFFF"/>
                  <w:tcMar>
                    <w:top w:w="0" w:type="dxa"/>
                    <w:left w:w="0" w:type="dxa"/>
                    <w:bottom w:w="0" w:type="dxa"/>
                    <w:right w:w="0" w:type="dxa"/>
                  </w:tcMar>
                  <w:vAlign w:val="center"/>
                </w:tcPr>
                <w:p w14:paraId="6D5CAEE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r>
                    <w:rPr>
                      <w:rFonts w:hint="default" w:ascii="Times New Roman" w:hAnsi="Times New Roman" w:eastAsia="宋体" w:cs="Times New Roman"/>
                      <w:color w:val="auto"/>
                      <w:sz w:val="18"/>
                      <w:szCs w:val="18"/>
                    </w:rPr>
                    <w:t>置于车间内；选用低噪声设备；设备与基础之间采用弹性连接；基础减震</w:t>
                  </w:r>
                </w:p>
              </w:tc>
              <w:tc>
                <w:tcPr>
                  <w:tcW w:w="471" w:type="dxa"/>
                  <w:shd w:val="clear" w:color="auto" w:fill="FFFFFF"/>
                  <w:tcMar>
                    <w:top w:w="0" w:type="dxa"/>
                    <w:left w:w="0" w:type="dxa"/>
                    <w:bottom w:w="0" w:type="dxa"/>
                    <w:right w:w="0" w:type="dxa"/>
                  </w:tcMar>
                  <w:vAlign w:val="center"/>
                </w:tcPr>
                <w:p w14:paraId="0C1F6F4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-25.6</w:t>
                  </w:r>
                </w:p>
              </w:tc>
              <w:tc>
                <w:tcPr>
                  <w:tcW w:w="546" w:type="dxa"/>
                  <w:shd w:val="clear" w:color="auto" w:fill="FFFFFF"/>
                  <w:tcMar>
                    <w:top w:w="0" w:type="dxa"/>
                    <w:left w:w="0" w:type="dxa"/>
                    <w:bottom w:w="0" w:type="dxa"/>
                    <w:right w:w="0" w:type="dxa"/>
                  </w:tcMar>
                  <w:vAlign w:val="center"/>
                </w:tcPr>
                <w:p w14:paraId="410F69C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16</w:t>
                  </w:r>
                </w:p>
              </w:tc>
              <w:tc>
                <w:tcPr>
                  <w:tcW w:w="571" w:type="dxa"/>
                  <w:shd w:val="clear" w:color="auto" w:fill="FFFFFF"/>
                  <w:tcMar>
                    <w:top w:w="0" w:type="dxa"/>
                    <w:left w:w="0" w:type="dxa"/>
                    <w:bottom w:w="0" w:type="dxa"/>
                    <w:right w:w="0" w:type="dxa"/>
                  </w:tcMar>
                  <w:vAlign w:val="center"/>
                </w:tcPr>
                <w:p w14:paraId="5848B13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1EE13BB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33.8</w:t>
                  </w:r>
                </w:p>
              </w:tc>
              <w:tc>
                <w:tcPr>
                  <w:tcW w:w="523" w:type="dxa"/>
                  <w:shd w:val="clear" w:color="auto" w:fill="FFFFFF"/>
                  <w:tcMar>
                    <w:top w:w="0" w:type="dxa"/>
                    <w:left w:w="0" w:type="dxa"/>
                    <w:bottom w:w="0" w:type="dxa"/>
                    <w:right w:w="0" w:type="dxa"/>
                  </w:tcMar>
                  <w:vAlign w:val="center"/>
                </w:tcPr>
                <w:p w14:paraId="797969A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20.2</w:t>
                  </w:r>
                </w:p>
              </w:tc>
              <w:tc>
                <w:tcPr>
                  <w:tcW w:w="523" w:type="dxa"/>
                  <w:shd w:val="clear" w:color="auto" w:fill="FFFFFF"/>
                  <w:tcMar>
                    <w:top w:w="0" w:type="dxa"/>
                    <w:left w:w="0" w:type="dxa"/>
                    <w:bottom w:w="0" w:type="dxa"/>
                    <w:right w:w="0" w:type="dxa"/>
                  </w:tcMar>
                  <w:vAlign w:val="center"/>
                </w:tcPr>
                <w:p w14:paraId="079C3F5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19.4</w:t>
                  </w:r>
                </w:p>
              </w:tc>
              <w:tc>
                <w:tcPr>
                  <w:tcW w:w="524" w:type="dxa"/>
                  <w:shd w:val="clear" w:color="auto" w:fill="FFFFFF"/>
                  <w:tcMar>
                    <w:top w:w="0" w:type="dxa"/>
                    <w:left w:w="0" w:type="dxa"/>
                    <w:bottom w:w="0" w:type="dxa"/>
                    <w:right w:w="0" w:type="dxa"/>
                  </w:tcMar>
                  <w:vAlign w:val="center"/>
                </w:tcPr>
                <w:p w14:paraId="7DF818C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12.6</w:t>
                  </w:r>
                </w:p>
              </w:tc>
              <w:tc>
                <w:tcPr>
                  <w:tcW w:w="517" w:type="dxa"/>
                  <w:shd w:val="clear" w:color="auto" w:fill="FFFFFF"/>
                  <w:tcMar>
                    <w:top w:w="0" w:type="dxa"/>
                    <w:left w:w="0" w:type="dxa"/>
                    <w:bottom w:w="0" w:type="dxa"/>
                    <w:right w:w="0" w:type="dxa"/>
                  </w:tcMar>
                  <w:vAlign w:val="center"/>
                </w:tcPr>
                <w:p w14:paraId="5611CDF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56.</w:t>
                  </w:r>
                  <w:r>
                    <w:rPr>
                      <w:rFonts w:hint="eastAsia" w:ascii="Times New Roman" w:hAnsi="Times New Roman" w:eastAsia="宋体" w:cs="Times New Roman"/>
                      <w:color w:val="auto"/>
                      <w:sz w:val="18"/>
                      <w:szCs w:val="18"/>
                      <w:lang w:val="en-US" w:eastAsia="zh-CN"/>
                    </w:rPr>
                    <w:t>8</w:t>
                  </w:r>
                </w:p>
              </w:tc>
              <w:tc>
                <w:tcPr>
                  <w:tcW w:w="517" w:type="dxa"/>
                  <w:shd w:val="clear" w:color="auto" w:fill="FFFFFF"/>
                  <w:tcMar>
                    <w:top w:w="0" w:type="dxa"/>
                    <w:left w:w="0" w:type="dxa"/>
                    <w:bottom w:w="0" w:type="dxa"/>
                    <w:right w:w="0" w:type="dxa"/>
                  </w:tcMar>
                  <w:vAlign w:val="center"/>
                </w:tcPr>
                <w:p w14:paraId="2AA7D2C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56.9</w:t>
                  </w:r>
                </w:p>
              </w:tc>
              <w:tc>
                <w:tcPr>
                  <w:tcW w:w="517" w:type="dxa"/>
                  <w:shd w:val="clear" w:color="auto" w:fill="FFFFFF"/>
                  <w:tcMar>
                    <w:top w:w="0" w:type="dxa"/>
                    <w:left w:w="0" w:type="dxa"/>
                    <w:bottom w:w="0" w:type="dxa"/>
                    <w:right w:w="0" w:type="dxa"/>
                  </w:tcMar>
                  <w:vAlign w:val="center"/>
                </w:tcPr>
                <w:p w14:paraId="21A6732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56.9</w:t>
                  </w:r>
                </w:p>
              </w:tc>
              <w:tc>
                <w:tcPr>
                  <w:tcW w:w="518" w:type="dxa"/>
                  <w:shd w:val="clear" w:color="auto" w:fill="FFFFFF"/>
                  <w:tcMar>
                    <w:top w:w="0" w:type="dxa"/>
                    <w:left w:w="0" w:type="dxa"/>
                    <w:bottom w:w="0" w:type="dxa"/>
                    <w:right w:w="0" w:type="dxa"/>
                  </w:tcMar>
                  <w:vAlign w:val="center"/>
                </w:tcPr>
                <w:p w14:paraId="1C7D76E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56.9</w:t>
                  </w:r>
                </w:p>
              </w:tc>
              <w:tc>
                <w:tcPr>
                  <w:tcW w:w="449" w:type="dxa"/>
                  <w:vMerge w:val="restart"/>
                  <w:shd w:val="clear" w:color="auto" w:fill="FFFFFF"/>
                  <w:tcMar>
                    <w:top w:w="0" w:type="dxa"/>
                    <w:left w:w="0" w:type="dxa"/>
                    <w:bottom w:w="0" w:type="dxa"/>
                    <w:right w:w="0" w:type="dxa"/>
                  </w:tcMar>
                  <w:vAlign w:val="center"/>
                </w:tcPr>
                <w:p w14:paraId="67A7CF3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持续</w:t>
                  </w:r>
                  <w:r>
                    <w:rPr>
                      <w:rFonts w:hint="eastAsia" w:ascii="Times New Roman" w:hAnsi="Times New Roman" w:eastAsia="宋体" w:cs="Times New Roman"/>
                      <w:color w:val="auto"/>
                      <w:sz w:val="18"/>
                      <w:szCs w:val="18"/>
                      <w:lang w:val="en-US" w:eastAsia="zh-CN"/>
                    </w:rPr>
                    <w:t>20</w:t>
                  </w:r>
                  <w:r>
                    <w:rPr>
                      <w:rFonts w:hint="default" w:ascii="Times New Roman" w:hAnsi="Times New Roman" w:eastAsia="宋体" w:cs="Times New Roman"/>
                      <w:color w:val="auto"/>
                      <w:sz w:val="18"/>
                      <w:szCs w:val="18"/>
                      <w:lang w:val="en-US" w:eastAsia="zh-CN"/>
                    </w:rPr>
                    <w:t>小时</w:t>
                  </w:r>
                </w:p>
              </w:tc>
              <w:tc>
                <w:tcPr>
                  <w:tcW w:w="498" w:type="dxa"/>
                  <w:shd w:val="clear" w:color="auto" w:fill="FFFFFF"/>
                  <w:tcMar>
                    <w:top w:w="0" w:type="dxa"/>
                    <w:left w:w="0" w:type="dxa"/>
                    <w:bottom w:w="0" w:type="dxa"/>
                    <w:right w:w="0" w:type="dxa"/>
                  </w:tcMar>
                  <w:vAlign w:val="center"/>
                </w:tcPr>
                <w:p w14:paraId="2CA8625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1C0A654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4DE4336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1749149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447C216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41.8</w:t>
                  </w:r>
                </w:p>
              </w:tc>
              <w:tc>
                <w:tcPr>
                  <w:tcW w:w="531" w:type="dxa"/>
                  <w:shd w:val="clear" w:color="auto" w:fill="FFFFFF"/>
                  <w:tcMar>
                    <w:top w:w="0" w:type="dxa"/>
                    <w:left w:w="0" w:type="dxa"/>
                    <w:bottom w:w="0" w:type="dxa"/>
                    <w:right w:w="0" w:type="dxa"/>
                  </w:tcMar>
                  <w:vAlign w:val="center"/>
                </w:tcPr>
                <w:p w14:paraId="36D9C31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41.9</w:t>
                  </w:r>
                </w:p>
              </w:tc>
              <w:tc>
                <w:tcPr>
                  <w:tcW w:w="531" w:type="dxa"/>
                  <w:shd w:val="clear" w:color="auto" w:fill="FFFFFF"/>
                  <w:tcMar>
                    <w:top w:w="0" w:type="dxa"/>
                    <w:left w:w="0" w:type="dxa"/>
                    <w:bottom w:w="0" w:type="dxa"/>
                    <w:right w:w="0" w:type="dxa"/>
                  </w:tcMar>
                  <w:vAlign w:val="center"/>
                </w:tcPr>
                <w:p w14:paraId="0DEBF14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41.9</w:t>
                  </w:r>
                </w:p>
              </w:tc>
              <w:tc>
                <w:tcPr>
                  <w:tcW w:w="532" w:type="dxa"/>
                  <w:shd w:val="clear" w:color="auto" w:fill="FFFFFF"/>
                  <w:tcMar>
                    <w:top w:w="0" w:type="dxa"/>
                    <w:left w:w="0" w:type="dxa"/>
                    <w:bottom w:w="0" w:type="dxa"/>
                    <w:right w:w="0" w:type="dxa"/>
                  </w:tcMar>
                  <w:vAlign w:val="center"/>
                </w:tcPr>
                <w:p w14:paraId="738746D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41.9</w:t>
                  </w:r>
                </w:p>
              </w:tc>
              <w:tc>
                <w:tcPr>
                  <w:tcW w:w="733" w:type="dxa"/>
                  <w:shd w:val="clear" w:color="auto" w:fill="FFFFFF"/>
                  <w:tcMar>
                    <w:top w:w="0" w:type="dxa"/>
                    <w:left w:w="0" w:type="dxa"/>
                    <w:bottom w:w="0" w:type="dxa"/>
                    <w:right w:w="0" w:type="dxa"/>
                  </w:tcMar>
                  <w:vAlign w:val="center"/>
                </w:tcPr>
                <w:p w14:paraId="54D52E3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73549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440" w:hRule="atLeast"/>
                <w:jc w:val="center"/>
              </w:trPr>
              <w:tc>
                <w:tcPr>
                  <w:tcW w:w="398" w:type="dxa"/>
                  <w:shd w:val="clear" w:color="auto" w:fill="FFFFFF"/>
                  <w:tcMar>
                    <w:top w:w="0" w:type="dxa"/>
                    <w:left w:w="0" w:type="dxa"/>
                    <w:bottom w:w="0" w:type="dxa"/>
                    <w:right w:w="0" w:type="dxa"/>
                  </w:tcMar>
                  <w:vAlign w:val="center"/>
                </w:tcPr>
                <w:p w14:paraId="17E60E1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2</w:t>
                  </w:r>
                </w:p>
              </w:tc>
              <w:tc>
                <w:tcPr>
                  <w:tcW w:w="542" w:type="dxa"/>
                  <w:vMerge w:val="continue"/>
                  <w:shd w:val="clear" w:color="auto" w:fill="FFFFFF"/>
                  <w:tcMar>
                    <w:top w:w="0" w:type="dxa"/>
                    <w:left w:w="0" w:type="dxa"/>
                    <w:bottom w:w="0" w:type="dxa"/>
                    <w:right w:w="0" w:type="dxa"/>
                  </w:tcMar>
                  <w:vAlign w:val="center"/>
                </w:tcPr>
                <w:p w14:paraId="7CC46A4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34DAA14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皮带机</w:t>
                  </w:r>
                </w:p>
              </w:tc>
              <w:tc>
                <w:tcPr>
                  <w:tcW w:w="683" w:type="dxa"/>
                  <w:shd w:val="clear" w:color="auto" w:fill="FFFFFF"/>
                  <w:tcMar>
                    <w:top w:w="0" w:type="dxa"/>
                    <w:left w:w="0" w:type="dxa"/>
                    <w:bottom w:w="0" w:type="dxa"/>
                    <w:right w:w="0" w:type="dxa"/>
                  </w:tcMar>
                  <w:vAlign w:val="center"/>
                </w:tcPr>
                <w:p w14:paraId="1A869AA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80/1</w:t>
                  </w:r>
                </w:p>
              </w:tc>
              <w:tc>
                <w:tcPr>
                  <w:tcW w:w="484" w:type="dxa"/>
                  <w:vMerge w:val="continue"/>
                  <w:shd w:val="clear" w:color="auto" w:fill="FFFFFF"/>
                  <w:tcMar>
                    <w:top w:w="0" w:type="dxa"/>
                    <w:left w:w="0" w:type="dxa"/>
                    <w:bottom w:w="0" w:type="dxa"/>
                    <w:right w:w="0" w:type="dxa"/>
                  </w:tcMar>
                  <w:vAlign w:val="center"/>
                </w:tcPr>
                <w:p w14:paraId="54CD6E5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1A55961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-34.3</w:t>
                  </w:r>
                </w:p>
              </w:tc>
              <w:tc>
                <w:tcPr>
                  <w:tcW w:w="546" w:type="dxa"/>
                  <w:shd w:val="clear" w:color="auto" w:fill="FFFFFF"/>
                  <w:tcMar>
                    <w:top w:w="0" w:type="dxa"/>
                    <w:left w:w="0" w:type="dxa"/>
                    <w:bottom w:w="0" w:type="dxa"/>
                    <w:right w:w="0" w:type="dxa"/>
                  </w:tcMar>
                  <w:vAlign w:val="center"/>
                </w:tcPr>
                <w:p w14:paraId="2161DD9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-25.2</w:t>
                  </w:r>
                </w:p>
              </w:tc>
              <w:tc>
                <w:tcPr>
                  <w:tcW w:w="571" w:type="dxa"/>
                  <w:shd w:val="clear" w:color="auto" w:fill="FFFFFF"/>
                  <w:tcMar>
                    <w:top w:w="0" w:type="dxa"/>
                    <w:left w:w="0" w:type="dxa"/>
                    <w:bottom w:w="0" w:type="dxa"/>
                    <w:right w:w="0" w:type="dxa"/>
                  </w:tcMar>
                  <w:vAlign w:val="center"/>
                </w:tcPr>
                <w:p w14:paraId="1C965A8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562FB47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33.8</w:t>
                  </w:r>
                </w:p>
              </w:tc>
              <w:tc>
                <w:tcPr>
                  <w:tcW w:w="523" w:type="dxa"/>
                  <w:shd w:val="clear" w:color="auto" w:fill="FFFFFF"/>
                  <w:tcMar>
                    <w:top w:w="0" w:type="dxa"/>
                    <w:left w:w="0" w:type="dxa"/>
                    <w:bottom w:w="0" w:type="dxa"/>
                    <w:right w:w="0" w:type="dxa"/>
                  </w:tcMar>
                  <w:vAlign w:val="center"/>
                </w:tcPr>
                <w:p w14:paraId="595A911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10.7</w:t>
                  </w:r>
                </w:p>
              </w:tc>
              <w:tc>
                <w:tcPr>
                  <w:tcW w:w="523" w:type="dxa"/>
                  <w:shd w:val="clear" w:color="auto" w:fill="FFFFFF"/>
                  <w:tcMar>
                    <w:top w:w="0" w:type="dxa"/>
                    <w:left w:w="0" w:type="dxa"/>
                    <w:bottom w:w="0" w:type="dxa"/>
                    <w:right w:w="0" w:type="dxa"/>
                  </w:tcMar>
                  <w:vAlign w:val="center"/>
                </w:tcPr>
                <w:p w14:paraId="49EE736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19.4</w:t>
                  </w:r>
                </w:p>
              </w:tc>
              <w:tc>
                <w:tcPr>
                  <w:tcW w:w="524" w:type="dxa"/>
                  <w:shd w:val="clear" w:color="auto" w:fill="FFFFFF"/>
                  <w:tcMar>
                    <w:top w:w="0" w:type="dxa"/>
                    <w:left w:w="0" w:type="dxa"/>
                    <w:bottom w:w="0" w:type="dxa"/>
                    <w:right w:w="0" w:type="dxa"/>
                  </w:tcMar>
                  <w:vAlign w:val="center"/>
                </w:tcPr>
                <w:p w14:paraId="6C9266C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22.1</w:t>
                  </w:r>
                </w:p>
              </w:tc>
              <w:tc>
                <w:tcPr>
                  <w:tcW w:w="517" w:type="dxa"/>
                  <w:shd w:val="clear" w:color="auto" w:fill="FFFFFF"/>
                  <w:tcMar>
                    <w:top w:w="0" w:type="dxa"/>
                    <w:left w:w="0" w:type="dxa"/>
                    <w:bottom w:w="0" w:type="dxa"/>
                    <w:right w:w="0" w:type="dxa"/>
                  </w:tcMar>
                  <w:vAlign w:val="center"/>
                </w:tcPr>
                <w:p w14:paraId="252BB26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56.</w:t>
                  </w:r>
                  <w:r>
                    <w:rPr>
                      <w:rFonts w:hint="eastAsia" w:ascii="Times New Roman" w:hAnsi="Times New Roman" w:eastAsia="宋体" w:cs="Times New Roman"/>
                      <w:color w:val="auto"/>
                      <w:sz w:val="18"/>
                      <w:szCs w:val="18"/>
                      <w:lang w:val="en-US" w:eastAsia="zh-CN"/>
                    </w:rPr>
                    <w:t>3</w:t>
                  </w:r>
                </w:p>
              </w:tc>
              <w:tc>
                <w:tcPr>
                  <w:tcW w:w="517" w:type="dxa"/>
                  <w:shd w:val="clear" w:color="auto" w:fill="FFFFFF"/>
                  <w:tcMar>
                    <w:top w:w="0" w:type="dxa"/>
                    <w:left w:w="0" w:type="dxa"/>
                    <w:bottom w:w="0" w:type="dxa"/>
                    <w:right w:w="0" w:type="dxa"/>
                  </w:tcMar>
                  <w:vAlign w:val="center"/>
                </w:tcPr>
                <w:p w14:paraId="48FC743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56.</w:t>
                  </w:r>
                  <w:r>
                    <w:rPr>
                      <w:rFonts w:hint="eastAsia" w:ascii="Times New Roman" w:hAnsi="Times New Roman" w:eastAsia="宋体" w:cs="Times New Roman"/>
                      <w:color w:val="auto"/>
                      <w:sz w:val="18"/>
                      <w:szCs w:val="18"/>
                      <w:lang w:val="en-US" w:eastAsia="zh-CN"/>
                    </w:rPr>
                    <w:t>3</w:t>
                  </w:r>
                </w:p>
              </w:tc>
              <w:tc>
                <w:tcPr>
                  <w:tcW w:w="517" w:type="dxa"/>
                  <w:shd w:val="clear" w:color="auto" w:fill="FFFFFF"/>
                  <w:tcMar>
                    <w:top w:w="0" w:type="dxa"/>
                    <w:left w:w="0" w:type="dxa"/>
                    <w:bottom w:w="0" w:type="dxa"/>
                    <w:right w:w="0" w:type="dxa"/>
                  </w:tcMar>
                  <w:vAlign w:val="center"/>
                </w:tcPr>
                <w:p w14:paraId="7C22235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56.</w:t>
                  </w:r>
                  <w:r>
                    <w:rPr>
                      <w:rFonts w:hint="eastAsia" w:ascii="Times New Roman" w:hAnsi="Times New Roman" w:eastAsia="宋体" w:cs="Times New Roman"/>
                      <w:color w:val="auto"/>
                      <w:sz w:val="18"/>
                      <w:szCs w:val="18"/>
                      <w:lang w:val="en-US" w:eastAsia="zh-CN"/>
                    </w:rPr>
                    <w:t>3</w:t>
                  </w:r>
                </w:p>
              </w:tc>
              <w:tc>
                <w:tcPr>
                  <w:tcW w:w="518" w:type="dxa"/>
                  <w:shd w:val="clear" w:color="auto" w:fill="FFFFFF"/>
                  <w:tcMar>
                    <w:top w:w="0" w:type="dxa"/>
                    <w:left w:w="0" w:type="dxa"/>
                    <w:bottom w:w="0" w:type="dxa"/>
                    <w:right w:w="0" w:type="dxa"/>
                  </w:tcMar>
                  <w:vAlign w:val="center"/>
                </w:tcPr>
                <w:p w14:paraId="6BF3287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56.</w:t>
                  </w:r>
                  <w:r>
                    <w:rPr>
                      <w:rFonts w:hint="eastAsia" w:ascii="Times New Roman" w:hAnsi="Times New Roman" w:eastAsia="宋体" w:cs="Times New Roman"/>
                      <w:color w:val="auto"/>
                      <w:sz w:val="18"/>
                      <w:szCs w:val="18"/>
                      <w:lang w:val="en-US" w:eastAsia="zh-CN"/>
                    </w:rPr>
                    <w:t>3</w:t>
                  </w:r>
                </w:p>
              </w:tc>
              <w:tc>
                <w:tcPr>
                  <w:tcW w:w="449" w:type="dxa"/>
                  <w:vMerge w:val="continue"/>
                  <w:shd w:val="clear" w:color="auto" w:fill="FFFFFF"/>
                  <w:tcMar>
                    <w:top w:w="0" w:type="dxa"/>
                    <w:left w:w="0" w:type="dxa"/>
                    <w:bottom w:w="0" w:type="dxa"/>
                    <w:right w:w="0" w:type="dxa"/>
                  </w:tcMar>
                  <w:vAlign w:val="center"/>
                </w:tcPr>
                <w:p w14:paraId="637E85A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458C651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03FF54F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01FBE94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0A200F7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79B2BA4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41.3</w:t>
                  </w:r>
                </w:p>
              </w:tc>
              <w:tc>
                <w:tcPr>
                  <w:tcW w:w="531" w:type="dxa"/>
                  <w:shd w:val="clear" w:color="auto" w:fill="FFFFFF"/>
                  <w:tcMar>
                    <w:top w:w="0" w:type="dxa"/>
                    <w:left w:w="0" w:type="dxa"/>
                    <w:bottom w:w="0" w:type="dxa"/>
                    <w:right w:w="0" w:type="dxa"/>
                  </w:tcMar>
                  <w:vAlign w:val="center"/>
                </w:tcPr>
                <w:p w14:paraId="4DD0759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41.3</w:t>
                  </w:r>
                </w:p>
              </w:tc>
              <w:tc>
                <w:tcPr>
                  <w:tcW w:w="531" w:type="dxa"/>
                  <w:shd w:val="clear" w:color="auto" w:fill="FFFFFF"/>
                  <w:tcMar>
                    <w:top w:w="0" w:type="dxa"/>
                    <w:left w:w="0" w:type="dxa"/>
                    <w:bottom w:w="0" w:type="dxa"/>
                    <w:right w:w="0" w:type="dxa"/>
                  </w:tcMar>
                  <w:vAlign w:val="center"/>
                </w:tcPr>
                <w:p w14:paraId="76A0F74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41.3</w:t>
                  </w:r>
                </w:p>
              </w:tc>
              <w:tc>
                <w:tcPr>
                  <w:tcW w:w="532" w:type="dxa"/>
                  <w:shd w:val="clear" w:color="auto" w:fill="FFFFFF"/>
                  <w:tcMar>
                    <w:top w:w="0" w:type="dxa"/>
                    <w:left w:w="0" w:type="dxa"/>
                    <w:bottom w:w="0" w:type="dxa"/>
                    <w:right w:w="0" w:type="dxa"/>
                  </w:tcMar>
                  <w:vAlign w:val="center"/>
                </w:tcPr>
                <w:p w14:paraId="68CC506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41.3</w:t>
                  </w:r>
                </w:p>
              </w:tc>
              <w:tc>
                <w:tcPr>
                  <w:tcW w:w="733" w:type="dxa"/>
                  <w:shd w:val="clear" w:color="auto" w:fill="FFFFFF"/>
                  <w:tcMar>
                    <w:top w:w="0" w:type="dxa"/>
                    <w:left w:w="0" w:type="dxa"/>
                    <w:bottom w:w="0" w:type="dxa"/>
                    <w:right w:w="0" w:type="dxa"/>
                  </w:tcMar>
                  <w:vAlign w:val="center"/>
                </w:tcPr>
                <w:p w14:paraId="73B88FC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2A68B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6EEB000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3</w:t>
                  </w:r>
                </w:p>
              </w:tc>
              <w:tc>
                <w:tcPr>
                  <w:tcW w:w="542" w:type="dxa"/>
                  <w:vMerge w:val="continue"/>
                  <w:shd w:val="clear" w:color="auto" w:fill="FFFFFF"/>
                  <w:tcMar>
                    <w:top w:w="0" w:type="dxa"/>
                    <w:left w:w="0" w:type="dxa"/>
                    <w:bottom w:w="0" w:type="dxa"/>
                    <w:right w:w="0" w:type="dxa"/>
                  </w:tcMar>
                  <w:vAlign w:val="center"/>
                </w:tcPr>
                <w:p w14:paraId="7441293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3B2F544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数控跳汰机</w:t>
                  </w:r>
                </w:p>
              </w:tc>
              <w:tc>
                <w:tcPr>
                  <w:tcW w:w="683" w:type="dxa"/>
                  <w:shd w:val="clear" w:color="auto" w:fill="FFFFFF"/>
                  <w:tcMar>
                    <w:top w:w="0" w:type="dxa"/>
                    <w:left w:w="0" w:type="dxa"/>
                    <w:bottom w:w="0" w:type="dxa"/>
                    <w:right w:w="0" w:type="dxa"/>
                  </w:tcMar>
                  <w:vAlign w:val="center"/>
                </w:tcPr>
                <w:p w14:paraId="3362581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85/1</w:t>
                  </w:r>
                </w:p>
              </w:tc>
              <w:tc>
                <w:tcPr>
                  <w:tcW w:w="484" w:type="dxa"/>
                  <w:vMerge w:val="continue"/>
                  <w:shd w:val="clear" w:color="auto" w:fill="FFFFFF"/>
                  <w:tcMar>
                    <w:top w:w="0" w:type="dxa"/>
                    <w:left w:w="0" w:type="dxa"/>
                    <w:bottom w:w="0" w:type="dxa"/>
                    <w:right w:w="0" w:type="dxa"/>
                  </w:tcMar>
                  <w:vAlign w:val="center"/>
                </w:tcPr>
                <w:p w14:paraId="4E9A6BC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654E161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-16.7</w:t>
                  </w:r>
                </w:p>
              </w:tc>
              <w:tc>
                <w:tcPr>
                  <w:tcW w:w="546" w:type="dxa"/>
                  <w:shd w:val="clear" w:color="auto" w:fill="FFFFFF"/>
                  <w:tcMar>
                    <w:top w:w="0" w:type="dxa"/>
                    <w:left w:w="0" w:type="dxa"/>
                    <w:bottom w:w="0" w:type="dxa"/>
                    <w:right w:w="0" w:type="dxa"/>
                  </w:tcMar>
                  <w:vAlign w:val="center"/>
                </w:tcPr>
                <w:p w14:paraId="2315FFD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10.9</w:t>
                  </w:r>
                </w:p>
              </w:tc>
              <w:tc>
                <w:tcPr>
                  <w:tcW w:w="571" w:type="dxa"/>
                  <w:shd w:val="clear" w:color="auto" w:fill="FFFFFF"/>
                  <w:tcMar>
                    <w:top w:w="0" w:type="dxa"/>
                    <w:left w:w="0" w:type="dxa"/>
                    <w:bottom w:w="0" w:type="dxa"/>
                    <w:right w:w="0" w:type="dxa"/>
                  </w:tcMar>
                  <w:vAlign w:val="center"/>
                </w:tcPr>
                <w:p w14:paraId="76971CB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47DC5A4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43.3</w:t>
                  </w:r>
                </w:p>
              </w:tc>
              <w:tc>
                <w:tcPr>
                  <w:tcW w:w="523" w:type="dxa"/>
                  <w:shd w:val="clear" w:color="auto" w:fill="FFFFFF"/>
                  <w:tcMar>
                    <w:top w:w="0" w:type="dxa"/>
                    <w:left w:w="0" w:type="dxa"/>
                    <w:bottom w:w="0" w:type="dxa"/>
                    <w:right w:w="0" w:type="dxa"/>
                  </w:tcMar>
                  <w:vAlign w:val="center"/>
                </w:tcPr>
                <w:p w14:paraId="2E35E19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27.3</w:t>
                  </w:r>
                </w:p>
              </w:tc>
              <w:tc>
                <w:tcPr>
                  <w:tcW w:w="523" w:type="dxa"/>
                  <w:shd w:val="clear" w:color="auto" w:fill="FFFFFF"/>
                  <w:tcMar>
                    <w:top w:w="0" w:type="dxa"/>
                    <w:left w:w="0" w:type="dxa"/>
                    <w:bottom w:w="0" w:type="dxa"/>
                    <w:right w:w="0" w:type="dxa"/>
                  </w:tcMar>
                  <w:vAlign w:val="center"/>
                </w:tcPr>
                <w:p w14:paraId="3911743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9.9</w:t>
                  </w:r>
                </w:p>
              </w:tc>
              <w:tc>
                <w:tcPr>
                  <w:tcW w:w="524" w:type="dxa"/>
                  <w:shd w:val="clear" w:color="auto" w:fill="FFFFFF"/>
                  <w:tcMar>
                    <w:top w:w="0" w:type="dxa"/>
                    <w:left w:w="0" w:type="dxa"/>
                    <w:bottom w:w="0" w:type="dxa"/>
                    <w:right w:w="0" w:type="dxa"/>
                  </w:tcMar>
                  <w:vAlign w:val="center"/>
                </w:tcPr>
                <w:p w14:paraId="03F4561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5.5</w:t>
                  </w:r>
                </w:p>
              </w:tc>
              <w:tc>
                <w:tcPr>
                  <w:tcW w:w="517" w:type="dxa"/>
                  <w:shd w:val="clear" w:color="auto" w:fill="FFFFFF"/>
                  <w:tcMar>
                    <w:top w:w="0" w:type="dxa"/>
                    <w:left w:w="0" w:type="dxa"/>
                    <w:bottom w:w="0" w:type="dxa"/>
                    <w:right w:w="0" w:type="dxa"/>
                  </w:tcMar>
                  <w:vAlign w:val="center"/>
                </w:tcPr>
                <w:p w14:paraId="5370EBE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63.5</w:t>
                  </w:r>
                </w:p>
              </w:tc>
              <w:tc>
                <w:tcPr>
                  <w:tcW w:w="517" w:type="dxa"/>
                  <w:shd w:val="clear" w:color="auto" w:fill="FFFFFF"/>
                  <w:tcMar>
                    <w:top w:w="0" w:type="dxa"/>
                    <w:left w:w="0" w:type="dxa"/>
                    <w:bottom w:w="0" w:type="dxa"/>
                    <w:right w:w="0" w:type="dxa"/>
                  </w:tcMar>
                  <w:vAlign w:val="center"/>
                </w:tcPr>
                <w:p w14:paraId="514CE5F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63.5</w:t>
                  </w:r>
                </w:p>
              </w:tc>
              <w:tc>
                <w:tcPr>
                  <w:tcW w:w="517" w:type="dxa"/>
                  <w:shd w:val="clear" w:color="auto" w:fill="FFFFFF"/>
                  <w:tcMar>
                    <w:top w:w="0" w:type="dxa"/>
                    <w:left w:w="0" w:type="dxa"/>
                    <w:bottom w:w="0" w:type="dxa"/>
                    <w:right w:w="0" w:type="dxa"/>
                  </w:tcMar>
                  <w:vAlign w:val="center"/>
                </w:tcPr>
                <w:p w14:paraId="15AEA34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63.5</w:t>
                  </w:r>
                </w:p>
              </w:tc>
              <w:tc>
                <w:tcPr>
                  <w:tcW w:w="518" w:type="dxa"/>
                  <w:shd w:val="clear" w:color="auto" w:fill="FFFFFF"/>
                  <w:tcMar>
                    <w:top w:w="0" w:type="dxa"/>
                    <w:left w:w="0" w:type="dxa"/>
                    <w:bottom w:w="0" w:type="dxa"/>
                    <w:right w:w="0" w:type="dxa"/>
                  </w:tcMar>
                  <w:vAlign w:val="center"/>
                </w:tcPr>
                <w:p w14:paraId="25A1331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63.5</w:t>
                  </w:r>
                </w:p>
              </w:tc>
              <w:tc>
                <w:tcPr>
                  <w:tcW w:w="449" w:type="dxa"/>
                  <w:vMerge w:val="continue"/>
                  <w:shd w:val="clear" w:color="auto" w:fill="FFFFFF"/>
                  <w:tcMar>
                    <w:top w:w="0" w:type="dxa"/>
                    <w:left w:w="0" w:type="dxa"/>
                    <w:bottom w:w="0" w:type="dxa"/>
                    <w:right w:w="0" w:type="dxa"/>
                  </w:tcMar>
                  <w:vAlign w:val="center"/>
                </w:tcPr>
                <w:p w14:paraId="330C763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44B9DC9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4840168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30CA37B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030C8B9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44FBD70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48.5</w:t>
                  </w:r>
                </w:p>
              </w:tc>
              <w:tc>
                <w:tcPr>
                  <w:tcW w:w="531" w:type="dxa"/>
                  <w:shd w:val="clear" w:color="auto" w:fill="FFFFFF"/>
                  <w:tcMar>
                    <w:top w:w="0" w:type="dxa"/>
                    <w:left w:w="0" w:type="dxa"/>
                    <w:bottom w:w="0" w:type="dxa"/>
                    <w:right w:w="0" w:type="dxa"/>
                  </w:tcMar>
                  <w:vAlign w:val="center"/>
                </w:tcPr>
                <w:p w14:paraId="0593660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48.5</w:t>
                  </w:r>
                </w:p>
              </w:tc>
              <w:tc>
                <w:tcPr>
                  <w:tcW w:w="531" w:type="dxa"/>
                  <w:shd w:val="clear" w:color="auto" w:fill="FFFFFF"/>
                  <w:tcMar>
                    <w:top w:w="0" w:type="dxa"/>
                    <w:left w:w="0" w:type="dxa"/>
                    <w:bottom w:w="0" w:type="dxa"/>
                    <w:right w:w="0" w:type="dxa"/>
                  </w:tcMar>
                  <w:vAlign w:val="center"/>
                </w:tcPr>
                <w:p w14:paraId="793101C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48.5</w:t>
                  </w:r>
                </w:p>
              </w:tc>
              <w:tc>
                <w:tcPr>
                  <w:tcW w:w="532" w:type="dxa"/>
                  <w:shd w:val="clear" w:color="auto" w:fill="FFFFFF"/>
                  <w:tcMar>
                    <w:top w:w="0" w:type="dxa"/>
                    <w:left w:w="0" w:type="dxa"/>
                    <w:bottom w:w="0" w:type="dxa"/>
                    <w:right w:w="0" w:type="dxa"/>
                  </w:tcMar>
                  <w:vAlign w:val="center"/>
                </w:tcPr>
                <w:p w14:paraId="477BBC4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48.5</w:t>
                  </w:r>
                </w:p>
              </w:tc>
              <w:tc>
                <w:tcPr>
                  <w:tcW w:w="733" w:type="dxa"/>
                  <w:shd w:val="clear" w:color="auto" w:fill="FFFFFF"/>
                  <w:tcMar>
                    <w:top w:w="0" w:type="dxa"/>
                    <w:left w:w="0" w:type="dxa"/>
                    <w:bottom w:w="0" w:type="dxa"/>
                    <w:right w:w="0" w:type="dxa"/>
                  </w:tcMar>
                  <w:vAlign w:val="center"/>
                </w:tcPr>
                <w:p w14:paraId="48ACDD2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4112B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7D8AE91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zh-CN" w:eastAsia="zh-CN" w:bidi="ar-SA"/>
                    </w:rPr>
                  </w:pPr>
                  <w:r>
                    <w:rPr>
                      <w:rFonts w:hint="default" w:ascii="Times New Roman" w:hAnsi="Times New Roman" w:eastAsia="宋体" w:cs="Times New Roman"/>
                      <w:color w:val="auto"/>
                      <w:sz w:val="18"/>
                      <w:szCs w:val="18"/>
                    </w:rPr>
                    <w:t>4</w:t>
                  </w:r>
                </w:p>
              </w:tc>
              <w:tc>
                <w:tcPr>
                  <w:tcW w:w="542" w:type="dxa"/>
                  <w:vMerge w:val="continue"/>
                  <w:shd w:val="clear" w:color="auto" w:fill="FFFFFF"/>
                  <w:tcMar>
                    <w:top w:w="0" w:type="dxa"/>
                    <w:left w:w="0" w:type="dxa"/>
                    <w:bottom w:w="0" w:type="dxa"/>
                    <w:right w:w="0" w:type="dxa"/>
                  </w:tcMar>
                  <w:vAlign w:val="center"/>
                </w:tcPr>
                <w:p w14:paraId="7A0DE94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3F80412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风箱</w:t>
                  </w:r>
                </w:p>
              </w:tc>
              <w:tc>
                <w:tcPr>
                  <w:tcW w:w="683" w:type="dxa"/>
                  <w:shd w:val="clear" w:color="auto" w:fill="FFFFFF"/>
                  <w:tcMar>
                    <w:top w:w="0" w:type="dxa"/>
                    <w:left w:w="0" w:type="dxa"/>
                    <w:bottom w:w="0" w:type="dxa"/>
                    <w:right w:w="0" w:type="dxa"/>
                  </w:tcMar>
                  <w:vAlign w:val="center"/>
                </w:tcPr>
                <w:p w14:paraId="2EB9869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85/1</w:t>
                  </w:r>
                </w:p>
              </w:tc>
              <w:tc>
                <w:tcPr>
                  <w:tcW w:w="484" w:type="dxa"/>
                  <w:vMerge w:val="continue"/>
                  <w:shd w:val="clear" w:color="auto" w:fill="FFFFFF"/>
                  <w:tcMar>
                    <w:top w:w="0" w:type="dxa"/>
                    <w:left w:w="0" w:type="dxa"/>
                    <w:bottom w:w="0" w:type="dxa"/>
                    <w:right w:w="0" w:type="dxa"/>
                  </w:tcMar>
                  <w:vAlign w:val="center"/>
                </w:tcPr>
                <w:p w14:paraId="41E354F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603D8CB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-16.7</w:t>
                  </w:r>
                </w:p>
              </w:tc>
              <w:tc>
                <w:tcPr>
                  <w:tcW w:w="546" w:type="dxa"/>
                  <w:shd w:val="clear" w:color="auto" w:fill="FFFFFF"/>
                  <w:tcMar>
                    <w:top w:w="0" w:type="dxa"/>
                    <w:left w:w="0" w:type="dxa"/>
                    <w:bottom w:w="0" w:type="dxa"/>
                    <w:right w:w="0" w:type="dxa"/>
                  </w:tcMar>
                  <w:vAlign w:val="center"/>
                </w:tcPr>
                <w:p w14:paraId="17DD86B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12.3</w:t>
                  </w:r>
                </w:p>
              </w:tc>
              <w:tc>
                <w:tcPr>
                  <w:tcW w:w="571" w:type="dxa"/>
                  <w:shd w:val="clear" w:color="auto" w:fill="FFFFFF"/>
                  <w:tcMar>
                    <w:top w:w="0" w:type="dxa"/>
                    <w:left w:w="0" w:type="dxa"/>
                    <w:bottom w:w="0" w:type="dxa"/>
                    <w:right w:w="0" w:type="dxa"/>
                  </w:tcMar>
                  <w:vAlign w:val="center"/>
                </w:tcPr>
                <w:p w14:paraId="6788D80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6C03A20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43.3</w:t>
                  </w:r>
                </w:p>
              </w:tc>
              <w:tc>
                <w:tcPr>
                  <w:tcW w:w="523" w:type="dxa"/>
                  <w:shd w:val="clear" w:color="auto" w:fill="FFFFFF"/>
                  <w:tcMar>
                    <w:top w:w="0" w:type="dxa"/>
                    <w:left w:w="0" w:type="dxa"/>
                    <w:bottom w:w="0" w:type="dxa"/>
                    <w:right w:w="0" w:type="dxa"/>
                  </w:tcMar>
                  <w:vAlign w:val="center"/>
                </w:tcPr>
                <w:p w14:paraId="1169465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28.7</w:t>
                  </w:r>
                </w:p>
              </w:tc>
              <w:tc>
                <w:tcPr>
                  <w:tcW w:w="523" w:type="dxa"/>
                  <w:shd w:val="clear" w:color="auto" w:fill="FFFFFF"/>
                  <w:tcMar>
                    <w:top w:w="0" w:type="dxa"/>
                    <w:left w:w="0" w:type="dxa"/>
                    <w:bottom w:w="0" w:type="dxa"/>
                    <w:right w:w="0" w:type="dxa"/>
                  </w:tcMar>
                  <w:vAlign w:val="center"/>
                </w:tcPr>
                <w:p w14:paraId="763B06D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9.9</w:t>
                  </w:r>
                </w:p>
              </w:tc>
              <w:tc>
                <w:tcPr>
                  <w:tcW w:w="524" w:type="dxa"/>
                  <w:shd w:val="clear" w:color="auto" w:fill="FFFFFF"/>
                  <w:tcMar>
                    <w:top w:w="0" w:type="dxa"/>
                    <w:left w:w="0" w:type="dxa"/>
                    <w:bottom w:w="0" w:type="dxa"/>
                    <w:right w:w="0" w:type="dxa"/>
                  </w:tcMar>
                  <w:vAlign w:val="center"/>
                </w:tcPr>
                <w:p w14:paraId="53D3051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4.1</w:t>
                  </w:r>
                </w:p>
              </w:tc>
              <w:tc>
                <w:tcPr>
                  <w:tcW w:w="517" w:type="dxa"/>
                  <w:shd w:val="clear" w:color="auto" w:fill="FFFFFF"/>
                  <w:tcMar>
                    <w:top w:w="0" w:type="dxa"/>
                    <w:left w:w="0" w:type="dxa"/>
                    <w:bottom w:w="0" w:type="dxa"/>
                    <w:right w:w="0" w:type="dxa"/>
                  </w:tcMar>
                  <w:vAlign w:val="center"/>
                </w:tcPr>
                <w:p w14:paraId="677436C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67.9</w:t>
                  </w:r>
                </w:p>
              </w:tc>
              <w:tc>
                <w:tcPr>
                  <w:tcW w:w="517" w:type="dxa"/>
                  <w:shd w:val="clear" w:color="auto" w:fill="FFFFFF"/>
                  <w:tcMar>
                    <w:top w:w="0" w:type="dxa"/>
                    <w:left w:w="0" w:type="dxa"/>
                    <w:bottom w:w="0" w:type="dxa"/>
                    <w:right w:w="0" w:type="dxa"/>
                  </w:tcMar>
                  <w:vAlign w:val="center"/>
                </w:tcPr>
                <w:p w14:paraId="5C2F1D3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67.9</w:t>
                  </w:r>
                </w:p>
              </w:tc>
              <w:tc>
                <w:tcPr>
                  <w:tcW w:w="517" w:type="dxa"/>
                  <w:shd w:val="clear" w:color="auto" w:fill="FFFFFF"/>
                  <w:tcMar>
                    <w:top w:w="0" w:type="dxa"/>
                    <w:left w:w="0" w:type="dxa"/>
                    <w:bottom w:w="0" w:type="dxa"/>
                    <w:right w:w="0" w:type="dxa"/>
                  </w:tcMar>
                  <w:vAlign w:val="center"/>
                </w:tcPr>
                <w:p w14:paraId="112CFED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67.9</w:t>
                  </w:r>
                </w:p>
              </w:tc>
              <w:tc>
                <w:tcPr>
                  <w:tcW w:w="518" w:type="dxa"/>
                  <w:shd w:val="clear" w:color="auto" w:fill="FFFFFF"/>
                  <w:tcMar>
                    <w:top w:w="0" w:type="dxa"/>
                    <w:left w:w="0" w:type="dxa"/>
                    <w:bottom w:w="0" w:type="dxa"/>
                    <w:right w:w="0" w:type="dxa"/>
                  </w:tcMar>
                  <w:vAlign w:val="center"/>
                </w:tcPr>
                <w:p w14:paraId="2CEDBC0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67.9</w:t>
                  </w:r>
                </w:p>
              </w:tc>
              <w:tc>
                <w:tcPr>
                  <w:tcW w:w="449" w:type="dxa"/>
                  <w:vMerge w:val="continue"/>
                  <w:shd w:val="clear" w:color="auto" w:fill="FFFFFF"/>
                  <w:tcMar>
                    <w:top w:w="0" w:type="dxa"/>
                    <w:left w:w="0" w:type="dxa"/>
                    <w:bottom w:w="0" w:type="dxa"/>
                    <w:right w:w="0" w:type="dxa"/>
                  </w:tcMar>
                  <w:vAlign w:val="center"/>
                </w:tcPr>
                <w:p w14:paraId="0084A5D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580DB7E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4DD3D35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1EB85F2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47A3DA7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1393187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52.9</w:t>
                  </w:r>
                </w:p>
              </w:tc>
              <w:tc>
                <w:tcPr>
                  <w:tcW w:w="531" w:type="dxa"/>
                  <w:shd w:val="clear" w:color="auto" w:fill="FFFFFF"/>
                  <w:tcMar>
                    <w:top w:w="0" w:type="dxa"/>
                    <w:left w:w="0" w:type="dxa"/>
                    <w:bottom w:w="0" w:type="dxa"/>
                    <w:right w:w="0" w:type="dxa"/>
                  </w:tcMar>
                  <w:vAlign w:val="center"/>
                </w:tcPr>
                <w:p w14:paraId="6EAFF75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52.9</w:t>
                  </w:r>
                </w:p>
              </w:tc>
              <w:tc>
                <w:tcPr>
                  <w:tcW w:w="531" w:type="dxa"/>
                  <w:shd w:val="clear" w:color="auto" w:fill="FFFFFF"/>
                  <w:tcMar>
                    <w:top w:w="0" w:type="dxa"/>
                    <w:left w:w="0" w:type="dxa"/>
                    <w:bottom w:w="0" w:type="dxa"/>
                    <w:right w:w="0" w:type="dxa"/>
                  </w:tcMar>
                  <w:vAlign w:val="center"/>
                </w:tcPr>
                <w:p w14:paraId="6D89155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52.9</w:t>
                  </w:r>
                </w:p>
              </w:tc>
              <w:tc>
                <w:tcPr>
                  <w:tcW w:w="532" w:type="dxa"/>
                  <w:shd w:val="clear" w:color="auto" w:fill="FFFFFF"/>
                  <w:tcMar>
                    <w:top w:w="0" w:type="dxa"/>
                    <w:left w:w="0" w:type="dxa"/>
                    <w:bottom w:w="0" w:type="dxa"/>
                    <w:right w:w="0" w:type="dxa"/>
                  </w:tcMar>
                  <w:vAlign w:val="center"/>
                </w:tcPr>
                <w:p w14:paraId="30B43C6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52.9</w:t>
                  </w:r>
                </w:p>
              </w:tc>
              <w:tc>
                <w:tcPr>
                  <w:tcW w:w="733" w:type="dxa"/>
                  <w:shd w:val="clear" w:color="auto" w:fill="FFFFFF"/>
                  <w:tcMar>
                    <w:top w:w="0" w:type="dxa"/>
                    <w:left w:w="0" w:type="dxa"/>
                    <w:bottom w:w="0" w:type="dxa"/>
                    <w:right w:w="0" w:type="dxa"/>
                  </w:tcMar>
                  <w:vAlign w:val="center"/>
                </w:tcPr>
                <w:p w14:paraId="0BC226C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44A17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2CE9257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zh-CN" w:eastAsia="zh-CN" w:bidi="ar-SA"/>
                    </w:rPr>
                  </w:pPr>
                  <w:r>
                    <w:rPr>
                      <w:rFonts w:hint="default" w:ascii="Times New Roman" w:hAnsi="Times New Roman" w:eastAsia="宋体" w:cs="Times New Roman"/>
                      <w:color w:val="auto"/>
                      <w:sz w:val="18"/>
                      <w:szCs w:val="18"/>
                    </w:rPr>
                    <w:t>5</w:t>
                  </w:r>
                </w:p>
              </w:tc>
              <w:tc>
                <w:tcPr>
                  <w:tcW w:w="542" w:type="dxa"/>
                  <w:vMerge w:val="continue"/>
                  <w:shd w:val="clear" w:color="auto" w:fill="FFFFFF"/>
                  <w:tcMar>
                    <w:top w:w="0" w:type="dxa"/>
                    <w:left w:w="0" w:type="dxa"/>
                    <w:bottom w:w="0" w:type="dxa"/>
                    <w:right w:w="0" w:type="dxa"/>
                  </w:tcMar>
                  <w:vAlign w:val="center"/>
                </w:tcPr>
                <w:p w14:paraId="741FB06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5FF8478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操作系统</w:t>
                  </w:r>
                </w:p>
              </w:tc>
              <w:tc>
                <w:tcPr>
                  <w:tcW w:w="683" w:type="dxa"/>
                  <w:shd w:val="clear" w:color="auto" w:fill="FFFFFF"/>
                  <w:tcMar>
                    <w:top w:w="0" w:type="dxa"/>
                    <w:left w:w="0" w:type="dxa"/>
                    <w:bottom w:w="0" w:type="dxa"/>
                    <w:right w:w="0" w:type="dxa"/>
                  </w:tcMar>
                  <w:vAlign w:val="center"/>
                </w:tcPr>
                <w:p w14:paraId="096D0E0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70/1</w:t>
                  </w:r>
                </w:p>
              </w:tc>
              <w:tc>
                <w:tcPr>
                  <w:tcW w:w="484" w:type="dxa"/>
                  <w:vMerge w:val="continue"/>
                  <w:shd w:val="clear" w:color="auto" w:fill="FFFFFF"/>
                  <w:tcMar>
                    <w:top w:w="0" w:type="dxa"/>
                    <w:left w:w="0" w:type="dxa"/>
                    <w:bottom w:w="0" w:type="dxa"/>
                    <w:right w:w="0" w:type="dxa"/>
                  </w:tcMar>
                  <w:vAlign w:val="center"/>
                </w:tcPr>
                <w:p w14:paraId="1408761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5A2C40C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-14.1</w:t>
                  </w:r>
                </w:p>
              </w:tc>
              <w:tc>
                <w:tcPr>
                  <w:tcW w:w="546" w:type="dxa"/>
                  <w:shd w:val="clear" w:color="auto" w:fill="FFFFFF"/>
                  <w:tcMar>
                    <w:top w:w="0" w:type="dxa"/>
                    <w:left w:w="0" w:type="dxa"/>
                    <w:bottom w:w="0" w:type="dxa"/>
                    <w:right w:w="0" w:type="dxa"/>
                  </w:tcMar>
                  <w:vAlign w:val="center"/>
                </w:tcPr>
                <w:p w14:paraId="1956EB7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11.6</w:t>
                  </w:r>
                </w:p>
              </w:tc>
              <w:tc>
                <w:tcPr>
                  <w:tcW w:w="571" w:type="dxa"/>
                  <w:shd w:val="clear" w:color="auto" w:fill="FFFFFF"/>
                  <w:tcMar>
                    <w:top w:w="0" w:type="dxa"/>
                    <w:left w:w="0" w:type="dxa"/>
                    <w:bottom w:w="0" w:type="dxa"/>
                    <w:right w:w="0" w:type="dxa"/>
                  </w:tcMar>
                  <w:vAlign w:val="center"/>
                </w:tcPr>
                <w:p w14:paraId="7E42479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7E3CBC4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40.7</w:t>
                  </w:r>
                </w:p>
              </w:tc>
              <w:tc>
                <w:tcPr>
                  <w:tcW w:w="523" w:type="dxa"/>
                  <w:shd w:val="clear" w:color="auto" w:fill="FFFFFF"/>
                  <w:tcMar>
                    <w:top w:w="0" w:type="dxa"/>
                    <w:left w:w="0" w:type="dxa"/>
                    <w:bottom w:w="0" w:type="dxa"/>
                    <w:right w:w="0" w:type="dxa"/>
                  </w:tcMar>
                  <w:vAlign w:val="center"/>
                </w:tcPr>
                <w:p w14:paraId="6F20422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28</w:t>
                  </w:r>
                </w:p>
              </w:tc>
              <w:tc>
                <w:tcPr>
                  <w:tcW w:w="523" w:type="dxa"/>
                  <w:shd w:val="clear" w:color="auto" w:fill="FFFFFF"/>
                  <w:tcMar>
                    <w:top w:w="0" w:type="dxa"/>
                    <w:left w:w="0" w:type="dxa"/>
                    <w:bottom w:w="0" w:type="dxa"/>
                    <w:right w:w="0" w:type="dxa"/>
                  </w:tcMar>
                  <w:vAlign w:val="center"/>
                </w:tcPr>
                <w:p w14:paraId="3D28C7C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12.5</w:t>
                  </w:r>
                </w:p>
              </w:tc>
              <w:tc>
                <w:tcPr>
                  <w:tcW w:w="524" w:type="dxa"/>
                  <w:shd w:val="clear" w:color="auto" w:fill="FFFFFF"/>
                  <w:tcMar>
                    <w:top w:w="0" w:type="dxa"/>
                    <w:left w:w="0" w:type="dxa"/>
                    <w:bottom w:w="0" w:type="dxa"/>
                    <w:right w:w="0" w:type="dxa"/>
                  </w:tcMar>
                  <w:vAlign w:val="center"/>
                </w:tcPr>
                <w:p w14:paraId="7D947FE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4.8</w:t>
                  </w:r>
                </w:p>
              </w:tc>
              <w:tc>
                <w:tcPr>
                  <w:tcW w:w="517" w:type="dxa"/>
                  <w:shd w:val="clear" w:color="auto" w:fill="FFFFFF"/>
                  <w:tcMar>
                    <w:top w:w="0" w:type="dxa"/>
                    <w:left w:w="0" w:type="dxa"/>
                    <w:bottom w:w="0" w:type="dxa"/>
                    <w:right w:w="0" w:type="dxa"/>
                  </w:tcMar>
                  <w:vAlign w:val="center"/>
                </w:tcPr>
                <w:p w14:paraId="4546463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50.1</w:t>
                  </w:r>
                </w:p>
              </w:tc>
              <w:tc>
                <w:tcPr>
                  <w:tcW w:w="517" w:type="dxa"/>
                  <w:shd w:val="clear" w:color="auto" w:fill="FFFFFF"/>
                  <w:tcMar>
                    <w:top w:w="0" w:type="dxa"/>
                    <w:left w:w="0" w:type="dxa"/>
                    <w:bottom w:w="0" w:type="dxa"/>
                    <w:right w:w="0" w:type="dxa"/>
                  </w:tcMar>
                  <w:vAlign w:val="center"/>
                </w:tcPr>
                <w:p w14:paraId="6FC531D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50.1</w:t>
                  </w:r>
                </w:p>
              </w:tc>
              <w:tc>
                <w:tcPr>
                  <w:tcW w:w="517" w:type="dxa"/>
                  <w:shd w:val="clear" w:color="auto" w:fill="FFFFFF"/>
                  <w:tcMar>
                    <w:top w:w="0" w:type="dxa"/>
                    <w:left w:w="0" w:type="dxa"/>
                    <w:bottom w:w="0" w:type="dxa"/>
                    <w:right w:w="0" w:type="dxa"/>
                  </w:tcMar>
                  <w:vAlign w:val="center"/>
                </w:tcPr>
                <w:p w14:paraId="25902D0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50.</w:t>
                  </w:r>
                  <w:r>
                    <w:rPr>
                      <w:rFonts w:hint="eastAsia" w:ascii="Times New Roman" w:hAnsi="Times New Roman" w:eastAsia="宋体" w:cs="Times New Roman"/>
                      <w:color w:val="auto"/>
                      <w:sz w:val="18"/>
                      <w:szCs w:val="18"/>
                      <w:lang w:val="en-US" w:eastAsia="zh-CN"/>
                    </w:rPr>
                    <w:t>2</w:t>
                  </w:r>
                </w:p>
              </w:tc>
              <w:tc>
                <w:tcPr>
                  <w:tcW w:w="518" w:type="dxa"/>
                  <w:shd w:val="clear" w:color="auto" w:fill="FFFFFF"/>
                  <w:tcMar>
                    <w:top w:w="0" w:type="dxa"/>
                    <w:left w:w="0" w:type="dxa"/>
                    <w:bottom w:w="0" w:type="dxa"/>
                    <w:right w:w="0" w:type="dxa"/>
                  </w:tcMar>
                  <w:vAlign w:val="center"/>
                </w:tcPr>
                <w:p w14:paraId="6ECA2D4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50.1</w:t>
                  </w:r>
                </w:p>
              </w:tc>
              <w:tc>
                <w:tcPr>
                  <w:tcW w:w="449" w:type="dxa"/>
                  <w:vMerge w:val="continue"/>
                  <w:shd w:val="clear" w:color="auto" w:fill="FFFFFF"/>
                  <w:tcMar>
                    <w:top w:w="0" w:type="dxa"/>
                    <w:left w:w="0" w:type="dxa"/>
                    <w:bottom w:w="0" w:type="dxa"/>
                    <w:right w:w="0" w:type="dxa"/>
                  </w:tcMar>
                  <w:vAlign w:val="center"/>
                </w:tcPr>
                <w:p w14:paraId="4ABEA0A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051C7A1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75DECED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3C8BF4B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2C54FBB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06A8769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35.1</w:t>
                  </w:r>
                </w:p>
              </w:tc>
              <w:tc>
                <w:tcPr>
                  <w:tcW w:w="531" w:type="dxa"/>
                  <w:shd w:val="clear" w:color="auto" w:fill="FFFFFF"/>
                  <w:tcMar>
                    <w:top w:w="0" w:type="dxa"/>
                    <w:left w:w="0" w:type="dxa"/>
                    <w:bottom w:w="0" w:type="dxa"/>
                    <w:right w:w="0" w:type="dxa"/>
                  </w:tcMar>
                  <w:vAlign w:val="center"/>
                </w:tcPr>
                <w:p w14:paraId="72E08C6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35.1</w:t>
                  </w:r>
                </w:p>
              </w:tc>
              <w:tc>
                <w:tcPr>
                  <w:tcW w:w="531" w:type="dxa"/>
                  <w:shd w:val="clear" w:color="auto" w:fill="FFFFFF"/>
                  <w:tcMar>
                    <w:top w:w="0" w:type="dxa"/>
                    <w:left w:w="0" w:type="dxa"/>
                    <w:bottom w:w="0" w:type="dxa"/>
                    <w:right w:w="0" w:type="dxa"/>
                  </w:tcMar>
                  <w:vAlign w:val="center"/>
                </w:tcPr>
                <w:p w14:paraId="78C7918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35.2</w:t>
                  </w:r>
                </w:p>
              </w:tc>
              <w:tc>
                <w:tcPr>
                  <w:tcW w:w="532" w:type="dxa"/>
                  <w:shd w:val="clear" w:color="auto" w:fill="FFFFFF"/>
                  <w:tcMar>
                    <w:top w:w="0" w:type="dxa"/>
                    <w:left w:w="0" w:type="dxa"/>
                    <w:bottom w:w="0" w:type="dxa"/>
                    <w:right w:w="0" w:type="dxa"/>
                  </w:tcMar>
                  <w:vAlign w:val="center"/>
                </w:tcPr>
                <w:p w14:paraId="705E212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35.1</w:t>
                  </w:r>
                </w:p>
              </w:tc>
              <w:tc>
                <w:tcPr>
                  <w:tcW w:w="733" w:type="dxa"/>
                  <w:shd w:val="clear" w:color="auto" w:fill="FFFFFF"/>
                  <w:tcMar>
                    <w:top w:w="0" w:type="dxa"/>
                    <w:left w:w="0" w:type="dxa"/>
                    <w:bottom w:w="0" w:type="dxa"/>
                    <w:right w:w="0" w:type="dxa"/>
                  </w:tcMar>
                  <w:vAlign w:val="center"/>
                </w:tcPr>
                <w:p w14:paraId="0F2273E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674F3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6A14C7F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zh-CN" w:eastAsia="zh-CN" w:bidi="ar-SA"/>
                    </w:rPr>
                  </w:pPr>
                  <w:r>
                    <w:rPr>
                      <w:rFonts w:hint="default" w:ascii="Times New Roman" w:hAnsi="Times New Roman" w:eastAsia="宋体" w:cs="Times New Roman"/>
                      <w:color w:val="auto"/>
                      <w:sz w:val="18"/>
                      <w:szCs w:val="18"/>
                    </w:rPr>
                    <w:t>6</w:t>
                  </w:r>
                </w:p>
              </w:tc>
              <w:tc>
                <w:tcPr>
                  <w:tcW w:w="542" w:type="dxa"/>
                  <w:vMerge w:val="continue"/>
                  <w:shd w:val="clear" w:color="auto" w:fill="FFFFFF"/>
                  <w:tcMar>
                    <w:top w:w="0" w:type="dxa"/>
                    <w:left w:w="0" w:type="dxa"/>
                    <w:bottom w:w="0" w:type="dxa"/>
                    <w:right w:w="0" w:type="dxa"/>
                  </w:tcMar>
                  <w:vAlign w:val="center"/>
                </w:tcPr>
                <w:p w14:paraId="617A851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967" w:type="dxa"/>
                  <w:shd w:val="clear" w:color="auto" w:fill="FFFFFF"/>
                  <w:tcMar>
                    <w:top w:w="0" w:type="dxa"/>
                    <w:left w:w="0" w:type="dxa"/>
                    <w:bottom w:w="0" w:type="dxa"/>
                    <w:right w:w="0" w:type="dxa"/>
                  </w:tcMar>
                  <w:vAlign w:val="center"/>
                </w:tcPr>
                <w:p w14:paraId="6988843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脱水筛</w:t>
                  </w:r>
                </w:p>
              </w:tc>
              <w:tc>
                <w:tcPr>
                  <w:tcW w:w="683" w:type="dxa"/>
                  <w:shd w:val="clear" w:color="auto" w:fill="FFFFFF"/>
                  <w:tcMar>
                    <w:top w:w="0" w:type="dxa"/>
                    <w:left w:w="0" w:type="dxa"/>
                    <w:bottom w:w="0" w:type="dxa"/>
                    <w:right w:w="0" w:type="dxa"/>
                  </w:tcMar>
                  <w:vAlign w:val="center"/>
                </w:tcPr>
                <w:p w14:paraId="32B85BC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85/1</w:t>
                  </w:r>
                </w:p>
              </w:tc>
              <w:tc>
                <w:tcPr>
                  <w:tcW w:w="484" w:type="dxa"/>
                  <w:vMerge w:val="continue"/>
                  <w:shd w:val="clear" w:color="auto" w:fill="FFFFFF"/>
                  <w:tcMar>
                    <w:top w:w="0" w:type="dxa"/>
                    <w:left w:w="0" w:type="dxa"/>
                    <w:bottom w:w="0" w:type="dxa"/>
                    <w:right w:w="0" w:type="dxa"/>
                  </w:tcMar>
                  <w:vAlign w:val="center"/>
                </w:tcPr>
                <w:p w14:paraId="334461D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3BA5D9E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13.7</w:t>
                  </w:r>
                </w:p>
              </w:tc>
              <w:tc>
                <w:tcPr>
                  <w:tcW w:w="546" w:type="dxa"/>
                  <w:shd w:val="clear" w:color="auto" w:fill="FFFFFF"/>
                  <w:tcMar>
                    <w:top w:w="0" w:type="dxa"/>
                    <w:left w:w="0" w:type="dxa"/>
                    <w:bottom w:w="0" w:type="dxa"/>
                    <w:right w:w="0" w:type="dxa"/>
                  </w:tcMar>
                  <w:vAlign w:val="center"/>
                </w:tcPr>
                <w:p w14:paraId="7C609CD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-10.6</w:t>
                  </w:r>
                </w:p>
              </w:tc>
              <w:tc>
                <w:tcPr>
                  <w:tcW w:w="571" w:type="dxa"/>
                  <w:shd w:val="clear" w:color="auto" w:fill="FFFFFF"/>
                  <w:tcMar>
                    <w:top w:w="0" w:type="dxa"/>
                    <w:left w:w="0" w:type="dxa"/>
                    <w:bottom w:w="0" w:type="dxa"/>
                    <w:right w:w="0" w:type="dxa"/>
                  </w:tcMar>
                  <w:vAlign w:val="center"/>
                </w:tcPr>
                <w:p w14:paraId="6E261C1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5733B90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12.9</w:t>
                  </w:r>
                </w:p>
              </w:tc>
              <w:tc>
                <w:tcPr>
                  <w:tcW w:w="523" w:type="dxa"/>
                  <w:shd w:val="clear" w:color="auto" w:fill="FFFFFF"/>
                  <w:tcMar>
                    <w:top w:w="0" w:type="dxa"/>
                    <w:left w:w="0" w:type="dxa"/>
                    <w:bottom w:w="0" w:type="dxa"/>
                    <w:right w:w="0" w:type="dxa"/>
                  </w:tcMar>
                  <w:vAlign w:val="center"/>
                </w:tcPr>
                <w:p w14:paraId="268B40E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5.8</w:t>
                  </w:r>
                </w:p>
              </w:tc>
              <w:tc>
                <w:tcPr>
                  <w:tcW w:w="523" w:type="dxa"/>
                  <w:shd w:val="clear" w:color="auto" w:fill="FFFFFF"/>
                  <w:tcMar>
                    <w:top w:w="0" w:type="dxa"/>
                    <w:left w:w="0" w:type="dxa"/>
                    <w:bottom w:w="0" w:type="dxa"/>
                    <w:right w:w="0" w:type="dxa"/>
                  </w:tcMar>
                  <w:vAlign w:val="center"/>
                </w:tcPr>
                <w:p w14:paraId="61EC851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40.3</w:t>
                  </w:r>
                </w:p>
              </w:tc>
              <w:tc>
                <w:tcPr>
                  <w:tcW w:w="524" w:type="dxa"/>
                  <w:shd w:val="clear" w:color="auto" w:fill="FFFFFF"/>
                  <w:tcMar>
                    <w:top w:w="0" w:type="dxa"/>
                    <w:left w:w="0" w:type="dxa"/>
                    <w:bottom w:w="0" w:type="dxa"/>
                    <w:right w:w="0" w:type="dxa"/>
                  </w:tcMar>
                  <w:vAlign w:val="center"/>
                </w:tcPr>
                <w:p w14:paraId="3364A35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27</w:t>
                  </w:r>
                </w:p>
              </w:tc>
              <w:tc>
                <w:tcPr>
                  <w:tcW w:w="517" w:type="dxa"/>
                  <w:shd w:val="clear" w:color="auto" w:fill="FFFFFF"/>
                  <w:tcMar>
                    <w:top w:w="0" w:type="dxa"/>
                    <w:left w:w="0" w:type="dxa"/>
                    <w:bottom w:w="0" w:type="dxa"/>
                    <w:right w:w="0" w:type="dxa"/>
                  </w:tcMar>
                  <w:vAlign w:val="center"/>
                </w:tcPr>
                <w:p w14:paraId="4E79CD0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69</w:t>
                  </w:r>
                  <w:r>
                    <w:rPr>
                      <w:rFonts w:hint="default" w:ascii="Times New Roman" w:hAnsi="Times New Roman" w:eastAsia="宋体" w:cs="Times New Roman"/>
                      <w:color w:val="auto"/>
                      <w:sz w:val="18"/>
                      <w:szCs w:val="18"/>
                      <w:lang w:val="en-US" w:eastAsia="zh-CN"/>
                    </w:rPr>
                    <w:t>.1</w:t>
                  </w:r>
                </w:p>
              </w:tc>
              <w:tc>
                <w:tcPr>
                  <w:tcW w:w="517" w:type="dxa"/>
                  <w:shd w:val="clear" w:color="auto" w:fill="FFFFFF"/>
                  <w:tcMar>
                    <w:top w:w="0" w:type="dxa"/>
                    <w:left w:w="0" w:type="dxa"/>
                    <w:bottom w:w="0" w:type="dxa"/>
                    <w:right w:w="0" w:type="dxa"/>
                  </w:tcMar>
                  <w:vAlign w:val="center"/>
                </w:tcPr>
                <w:p w14:paraId="45CCA8B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69</w:t>
                  </w:r>
                  <w:r>
                    <w:rPr>
                      <w:rFonts w:hint="default" w:ascii="Times New Roman" w:hAnsi="Times New Roman" w:eastAsia="宋体" w:cs="Times New Roman"/>
                      <w:color w:val="auto"/>
                      <w:sz w:val="18"/>
                      <w:szCs w:val="18"/>
                      <w:lang w:val="en-US" w:eastAsia="zh-CN"/>
                    </w:rPr>
                    <w:t>.1</w:t>
                  </w:r>
                </w:p>
              </w:tc>
              <w:tc>
                <w:tcPr>
                  <w:tcW w:w="517" w:type="dxa"/>
                  <w:shd w:val="clear" w:color="auto" w:fill="FFFFFF"/>
                  <w:tcMar>
                    <w:top w:w="0" w:type="dxa"/>
                    <w:left w:w="0" w:type="dxa"/>
                    <w:bottom w:w="0" w:type="dxa"/>
                    <w:right w:w="0" w:type="dxa"/>
                  </w:tcMar>
                  <w:vAlign w:val="center"/>
                </w:tcPr>
                <w:p w14:paraId="6972433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69</w:t>
                  </w:r>
                  <w:r>
                    <w:rPr>
                      <w:rFonts w:hint="default" w:ascii="Times New Roman" w:hAnsi="Times New Roman" w:eastAsia="宋体" w:cs="Times New Roman"/>
                      <w:color w:val="auto"/>
                      <w:sz w:val="18"/>
                      <w:szCs w:val="18"/>
                      <w:lang w:val="en-US" w:eastAsia="zh-CN"/>
                    </w:rPr>
                    <w:t>.1</w:t>
                  </w:r>
                </w:p>
              </w:tc>
              <w:tc>
                <w:tcPr>
                  <w:tcW w:w="518" w:type="dxa"/>
                  <w:shd w:val="clear" w:color="auto" w:fill="FFFFFF"/>
                  <w:tcMar>
                    <w:top w:w="0" w:type="dxa"/>
                    <w:left w:w="0" w:type="dxa"/>
                    <w:bottom w:w="0" w:type="dxa"/>
                    <w:right w:w="0" w:type="dxa"/>
                  </w:tcMar>
                  <w:vAlign w:val="center"/>
                </w:tcPr>
                <w:p w14:paraId="7664B9A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69</w:t>
                  </w:r>
                  <w:r>
                    <w:rPr>
                      <w:rFonts w:hint="default" w:ascii="Times New Roman" w:hAnsi="Times New Roman" w:eastAsia="宋体" w:cs="Times New Roman"/>
                      <w:color w:val="auto"/>
                      <w:sz w:val="18"/>
                      <w:szCs w:val="18"/>
                      <w:lang w:val="en-US" w:eastAsia="zh-CN"/>
                    </w:rPr>
                    <w:t>.1</w:t>
                  </w:r>
                </w:p>
              </w:tc>
              <w:tc>
                <w:tcPr>
                  <w:tcW w:w="449" w:type="dxa"/>
                  <w:vMerge w:val="continue"/>
                  <w:shd w:val="clear" w:color="auto" w:fill="FFFFFF"/>
                  <w:tcMar>
                    <w:top w:w="0" w:type="dxa"/>
                    <w:left w:w="0" w:type="dxa"/>
                    <w:bottom w:w="0" w:type="dxa"/>
                    <w:right w:w="0" w:type="dxa"/>
                  </w:tcMar>
                  <w:vAlign w:val="center"/>
                </w:tcPr>
                <w:p w14:paraId="12C0102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5B16E35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21FDFC9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60EA4FC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2072CED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144ED59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54.1</w:t>
                  </w:r>
                </w:p>
              </w:tc>
              <w:tc>
                <w:tcPr>
                  <w:tcW w:w="531" w:type="dxa"/>
                  <w:shd w:val="clear" w:color="auto" w:fill="FFFFFF"/>
                  <w:tcMar>
                    <w:top w:w="0" w:type="dxa"/>
                    <w:left w:w="0" w:type="dxa"/>
                    <w:bottom w:w="0" w:type="dxa"/>
                    <w:right w:w="0" w:type="dxa"/>
                  </w:tcMar>
                  <w:vAlign w:val="center"/>
                </w:tcPr>
                <w:p w14:paraId="064173E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54.1</w:t>
                  </w:r>
                </w:p>
              </w:tc>
              <w:tc>
                <w:tcPr>
                  <w:tcW w:w="531" w:type="dxa"/>
                  <w:shd w:val="clear" w:color="auto" w:fill="FFFFFF"/>
                  <w:tcMar>
                    <w:top w:w="0" w:type="dxa"/>
                    <w:left w:w="0" w:type="dxa"/>
                    <w:bottom w:w="0" w:type="dxa"/>
                    <w:right w:w="0" w:type="dxa"/>
                  </w:tcMar>
                  <w:vAlign w:val="center"/>
                </w:tcPr>
                <w:p w14:paraId="64EE57C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54.1</w:t>
                  </w:r>
                </w:p>
              </w:tc>
              <w:tc>
                <w:tcPr>
                  <w:tcW w:w="532" w:type="dxa"/>
                  <w:shd w:val="clear" w:color="auto" w:fill="FFFFFF"/>
                  <w:tcMar>
                    <w:top w:w="0" w:type="dxa"/>
                    <w:left w:w="0" w:type="dxa"/>
                    <w:bottom w:w="0" w:type="dxa"/>
                    <w:right w:w="0" w:type="dxa"/>
                  </w:tcMar>
                  <w:vAlign w:val="center"/>
                </w:tcPr>
                <w:p w14:paraId="3CCE8F0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54.1</w:t>
                  </w:r>
                </w:p>
              </w:tc>
              <w:tc>
                <w:tcPr>
                  <w:tcW w:w="733" w:type="dxa"/>
                  <w:shd w:val="clear" w:color="auto" w:fill="FFFFFF"/>
                  <w:tcMar>
                    <w:top w:w="0" w:type="dxa"/>
                    <w:left w:w="0" w:type="dxa"/>
                    <w:bottom w:w="0" w:type="dxa"/>
                    <w:right w:w="0" w:type="dxa"/>
                  </w:tcMar>
                  <w:vAlign w:val="center"/>
                </w:tcPr>
                <w:p w14:paraId="6E3C8F0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06FAD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0244073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zh-CN" w:eastAsia="zh-CN" w:bidi="ar-SA"/>
                    </w:rPr>
                  </w:pPr>
                  <w:r>
                    <w:rPr>
                      <w:rFonts w:hint="default" w:ascii="Times New Roman" w:hAnsi="Times New Roman" w:eastAsia="宋体" w:cs="Times New Roman"/>
                      <w:color w:val="auto"/>
                      <w:sz w:val="18"/>
                      <w:szCs w:val="18"/>
                    </w:rPr>
                    <w:t>7</w:t>
                  </w:r>
                </w:p>
              </w:tc>
              <w:tc>
                <w:tcPr>
                  <w:tcW w:w="542" w:type="dxa"/>
                  <w:vMerge w:val="continue"/>
                  <w:shd w:val="clear" w:color="auto" w:fill="FFFFFF"/>
                  <w:tcMar>
                    <w:top w:w="0" w:type="dxa"/>
                    <w:left w:w="0" w:type="dxa"/>
                    <w:bottom w:w="0" w:type="dxa"/>
                    <w:right w:w="0" w:type="dxa"/>
                  </w:tcMar>
                  <w:vAlign w:val="center"/>
                </w:tcPr>
                <w:p w14:paraId="1B5E3B8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6079B05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提斗机</w:t>
                  </w:r>
                </w:p>
              </w:tc>
              <w:tc>
                <w:tcPr>
                  <w:tcW w:w="683" w:type="dxa"/>
                  <w:shd w:val="clear" w:color="auto" w:fill="FFFFFF"/>
                  <w:tcMar>
                    <w:top w:w="0" w:type="dxa"/>
                    <w:left w:w="0" w:type="dxa"/>
                    <w:bottom w:w="0" w:type="dxa"/>
                    <w:right w:w="0" w:type="dxa"/>
                  </w:tcMar>
                  <w:vAlign w:val="center"/>
                </w:tcPr>
                <w:p w14:paraId="08043FF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80/1</w:t>
                  </w:r>
                </w:p>
              </w:tc>
              <w:tc>
                <w:tcPr>
                  <w:tcW w:w="484" w:type="dxa"/>
                  <w:vMerge w:val="continue"/>
                  <w:shd w:val="clear" w:color="auto" w:fill="FFFFFF"/>
                  <w:tcMar>
                    <w:top w:w="0" w:type="dxa"/>
                    <w:left w:w="0" w:type="dxa"/>
                    <w:bottom w:w="0" w:type="dxa"/>
                    <w:right w:w="0" w:type="dxa"/>
                  </w:tcMar>
                  <w:vAlign w:val="center"/>
                </w:tcPr>
                <w:p w14:paraId="6225B96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55BEB48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17.5</w:t>
                  </w:r>
                </w:p>
              </w:tc>
              <w:tc>
                <w:tcPr>
                  <w:tcW w:w="546" w:type="dxa"/>
                  <w:shd w:val="clear" w:color="auto" w:fill="FFFFFF"/>
                  <w:tcMar>
                    <w:top w:w="0" w:type="dxa"/>
                    <w:left w:w="0" w:type="dxa"/>
                    <w:bottom w:w="0" w:type="dxa"/>
                    <w:right w:w="0" w:type="dxa"/>
                  </w:tcMar>
                  <w:vAlign w:val="center"/>
                </w:tcPr>
                <w:p w14:paraId="4E6BEEB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-8.8</w:t>
                  </w:r>
                </w:p>
              </w:tc>
              <w:tc>
                <w:tcPr>
                  <w:tcW w:w="571" w:type="dxa"/>
                  <w:shd w:val="clear" w:color="auto" w:fill="FFFFFF"/>
                  <w:tcMar>
                    <w:top w:w="0" w:type="dxa"/>
                    <w:left w:w="0" w:type="dxa"/>
                    <w:bottom w:w="0" w:type="dxa"/>
                    <w:right w:w="0" w:type="dxa"/>
                  </w:tcMar>
                  <w:vAlign w:val="center"/>
                </w:tcPr>
                <w:p w14:paraId="1739D9D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5BA76D7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9.1</w:t>
                  </w:r>
                </w:p>
              </w:tc>
              <w:tc>
                <w:tcPr>
                  <w:tcW w:w="523" w:type="dxa"/>
                  <w:shd w:val="clear" w:color="auto" w:fill="FFFFFF"/>
                  <w:tcMar>
                    <w:top w:w="0" w:type="dxa"/>
                    <w:left w:w="0" w:type="dxa"/>
                    <w:bottom w:w="0" w:type="dxa"/>
                    <w:right w:w="0" w:type="dxa"/>
                  </w:tcMar>
                  <w:vAlign w:val="center"/>
                </w:tcPr>
                <w:p w14:paraId="22F2548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7.6</w:t>
                  </w:r>
                </w:p>
              </w:tc>
              <w:tc>
                <w:tcPr>
                  <w:tcW w:w="523" w:type="dxa"/>
                  <w:shd w:val="clear" w:color="auto" w:fill="FFFFFF"/>
                  <w:tcMar>
                    <w:top w:w="0" w:type="dxa"/>
                    <w:left w:w="0" w:type="dxa"/>
                    <w:bottom w:w="0" w:type="dxa"/>
                    <w:right w:w="0" w:type="dxa"/>
                  </w:tcMar>
                  <w:vAlign w:val="center"/>
                </w:tcPr>
                <w:p w14:paraId="7C7BF98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44.1</w:t>
                  </w:r>
                </w:p>
              </w:tc>
              <w:tc>
                <w:tcPr>
                  <w:tcW w:w="524" w:type="dxa"/>
                  <w:shd w:val="clear" w:color="auto" w:fill="FFFFFF"/>
                  <w:tcMar>
                    <w:top w:w="0" w:type="dxa"/>
                    <w:left w:w="0" w:type="dxa"/>
                    <w:bottom w:w="0" w:type="dxa"/>
                    <w:right w:w="0" w:type="dxa"/>
                  </w:tcMar>
                  <w:vAlign w:val="center"/>
                </w:tcPr>
                <w:p w14:paraId="6FB8899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25.2</w:t>
                  </w:r>
                </w:p>
              </w:tc>
              <w:tc>
                <w:tcPr>
                  <w:tcW w:w="517" w:type="dxa"/>
                  <w:shd w:val="clear" w:color="auto" w:fill="FFFFFF"/>
                  <w:tcMar>
                    <w:top w:w="0" w:type="dxa"/>
                    <w:left w:w="0" w:type="dxa"/>
                    <w:bottom w:w="0" w:type="dxa"/>
                    <w:right w:w="0" w:type="dxa"/>
                  </w:tcMar>
                  <w:vAlign w:val="center"/>
                </w:tcPr>
                <w:p w14:paraId="24D93DC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lang w:val="en-US" w:eastAsia="zh-CN"/>
                    </w:rPr>
                    <w:t>7</w:t>
                  </w:r>
                  <w:r>
                    <w:rPr>
                      <w:rFonts w:hint="default" w:ascii="Times New Roman" w:hAnsi="Times New Roman" w:eastAsia="宋体" w:cs="Times New Roman"/>
                      <w:color w:val="auto"/>
                      <w:sz w:val="18"/>
                      <w:szCs w:val="18"/>
                      <w:lang w:val="en-US" w:eastAsia="zh-CN"/>
                    </w:rPr>
                    <w:t>.8</w:t>
                  </w:r>
                </w:p>
              </w:tc>
              <w:tc>
                <w:tcPr>
                  <w:tcW w:w="517" w:type="dxa"/>
                  <w:shd w:val="clear" w:color="auto" w:fill="FFFFFF"/>
                  <w:tcMar>
                    <w:top w:w="0" w:type="dxa"/>
                    <w:left w:w="0" w:type="dxa"/>
                    <w:bottom w:w="0" w:type="dxa"/>
                    <w:right w:w="0" w:type="dxa"/>
                  </w:tcMar>
                  <w:vAlign w:val="center"/>
                </w:tcPr>
                <w:p w14:paraId="1929EF6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lang w:val="en-US" w:eastAsia="zh-CN"/>
                    </w:rPr>
                    <w:t>7</w:t>
                  </w:r>
                  <w:r>
                    <w:rPr>
                      <w:rFonts w:hint="default" w:ascii="Times New Roman" w:hAnsi="Times New Roman" w:eastAsia="宋体" w:cs="Times New Roman"/>
                      <w:color w:val="auto"/>
                      <w:sz w:val="18"/>
                      <w:szCs w:val="18"/>
                      <w:lang w:val="en-US" w:eastAsia="zh-CN"/>
                    </w:rPr>
                    <w:t>.8</w:t>
                  </w:r>
                </w:p>
              </w:tc>
              <w:tc>
                <w:tcPr>
                  <w:tcW w:w="517" w:type="dxa"/>
                  <w:shd w:val="clear" w:color="auto" w:fill="FFFFFF"/>
                  <w:tcMar>
                    <w:top w:w="0" w:type="dxa"/>
                    <w:left w:w="0" w:type="dxa"/>
                    <w:bottom w:w="0" w:type="dxa"/>
                    <w:right w:w="0" w:type="dxa"/>
                  </w:tcMar>
                  <w:vAlign w:val="center"/>
                </w:tcPr>
                <w:p w14:paraId="5932BF2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lang w:val="en-US" w:eastAsia="zh-CN"/>
                    </w:rPr>
                    <w:t>7</w:t>
                  </w:r>
                  <w:r>
                    <w:rPr>
                      <w:rFonts w:hint="default" w:ascii="Times New Roman" w:hAnsi="Times New Roman" w:eastAsia="宋体" w:cs="Times New Roman"/>
                      <w:color w:val="auto"/>
                      <w:sz w:val="18"/>
                      <w:szCs w:val="18"/>
                      <w:lang w:val="en-US" w:eastAsia="zh-CN"/>
                    </w:rPr>
                    <w:t>.8</w:t>
                  </w:r>
                </w:p>
              </w:tc>
              <w:tc>
                <w:tcPr>
                  <w:tcW w:w="518" w:type="dxa"/>
                  <w:shd w:val="clear" w:color="auto" w:fill="FFFFFF"/>
                  <w:tcMar>
                    <w:top w:w="0" w:type="dxa"/>
                    <w:left w:w="0" w:type="dxa"/>
                    <w:bottom w:w="0" w:type="dxa"/>
                    <w:right w:w="0" w:type="dxa"/>
                  </w:tcMar>
                  <w:vAlign w:val="center"/>
                </w:tcPr>
                <w:p w14:paraId="01BB573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lang w:val="en-US" w:eastAsia="zh-CN"/>
                    </w:rPr>
                    <w:t>7</w:t>
                  </w:r>
                  <w:r>
                    <w:rPr>
                      <w:rFonts w:hint="default" w:ascii="Times New Roman" w:hAnsi="Times New Roman" w:eastAsia="宋体" w:cs="Times New Roman"/>
                      <w:color w:val="auto"/>
                      <w:sz w:val="18"/>
                      <w:szCs w:val="18"/>
                      <w:lang w:val="en-US" w:eastAsia="zh-CN"/>
                    </w:rPr>
                    <w:t>.8</w:t>
                  </w:r>
                </w:p>
              </w:tc>
              <w:tc>
                <w:tcPr>
                  <w:tcW w:w="449" w:type="dxa"/>
                  <w:vMerge w:val="continue"/>
                  <w:shd w:val="clear" w:color="auto" w:fill="FFFFFF"/>
                  <w:tcMar>
                    <w:top w:w="0" w:type="dxa"/>
                    <w:left w:w="0" w:type="dxa"/>
                    <w:bottom w:w="0" w:type="dxa"/>
                    <w:right w:w="0" w:type="dxa"/>
                  </w:tcMar>
                  <w:vAlign w:val="center"/>
                </w:tcPr>
                <w:p w14:paraId="0129A70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29A88E9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58E5839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0ED474E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1FA90AE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7B468C2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42.8</w:t>
                  </w:r>
                </w:p>
              </w:tc>
              <w:tc>
                <w:tcPr>
                  <w:tcW w:w="531" w:type="dxa"/>
                  <w:shd w:val="clear" w:color="auto" w:fill="FFFFFF"/>
                  <w:tcMar>
                    <w:top w:w="0" w:type="dxa"/>
                    <w:left w:w="0" w:type="dxa"/>
                    <w:bottom w:w="0" w:type="dxa"/>
                    <w:right w:w="0" w:type="dxa"/>
                  </w:tcMar>
                  <w:vAlign w:val="center"/>
                </w:tcPr>
                <w:p w14:paraId="0C4EF05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42.8</w:t>
                  </w:r>
                </w:p>
              </w:tc>
              <w:tc>
                <w:tcPr>
                  <w:tcW w:w="531" w:type="dxa"/>
                  <w:shd w:val="clear" w:color="auto" w:fill="FFFFFF"/>
                  <w:tcMar>
                    <w:top w:w="0" w:type="dxa"/>
                    <w:left w:w="0" w:type="dxa"/>
                    <w:bottom w:w="0" w:type="dxa"/>
                    <w:right w:w="0" w:type="dxa"/>
                  </w:tcMar>
                  <w:vAlign w:val="center"/>
                </w:tcPr>
                <w:p w14:paraId="104B5E7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42.8</w:t>
                  </w:r>
                </w:p>
              </w:tc>
              <w:tc>
                <w:tcPr>
                  <w:tcW w:w="532" w:type="dxa"/>
                  <w:shd w:val="clear" w:color="auto" w:fill="FFFFFF"/>
                  <w:tcMar>
                    <w:top w:w="0" w:type="dxa"/>
                    <w:left w:w="0" w:type="dxa"/>
                    <w:bottom w:w="0" w:type="dxa"/>
                    <w:right w:w="0" w:type="dxa"/>
                  </w:tcMar>
                  <w:vAlign w:val="center"/>
                </w:tcPr>
                <w:p w14:paraId="34661AB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42.8</w:t>
                  </w:r>
                </w:p>
              </w:tc>
              <w:tc>
                <w:tcPr>
                  <w:tcW w:w="733" w:type="dxa"/>
                  <w:shd w:val="clear" w:color="auto" w:fill="FFFFFF"/>
                  <w:tcMar>
                    <w:top w:w="0" w:type="dxa"/>
                    <w:left w:w="0" w:type="dxa"/>
                    <w:bottom w:w="0" w:type="dxa"/>
                    <w:right w:w="0" w:type="dxa"/>
                  </w:tcMar>
                  <w:vAlign w:val="center"/>
                </w:tcPr>
                <w:p w14:paraId="5209E60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483C3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6" w:hRule="atLeast"/>
                <w:jc w:val="center"/>
              </w:trPr>
              <w:tc>
                <w:tcPr>
                  <w:tcW w:w="398" w:type="dxa"/>
                  <w:shd w:val="clear" w:color="auto" w:fill="FFFFFF"/>
                  <w:tcMar>
                    <w:top w:w="0" w:type="dxa"/>
                    <w:left w:w="0" w:type="dxa"/>
                    <w:bottom w:w="0" w:type="dxa"/>
                    <w:right w:w="0" w:type="dxa"/>
                  </w:tcMar>
                  <w:vAlign w:val="center"/>
                </w:tcPr>
                <w:p w14:paraId="041FB77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8</w:t>
                  </w:r>
                </w:p>
              </w:tc>
              <w:tc>
                <w:tcPr>
                  <w:tcW w:w="542" w:type="dxa"/>
                  <w:vMerge w:val="continue"/>
                  <w:shd w:val="clear" w:color="auto" w:fill="FFFFFF"/>
                  <w:tcMar>
                    <w:top w:w="0" w:type="dxa"/>
                    <w:left w:w="0" w:type="dxa"/>
                    <w:bottom w:w="0" w:type="dxa"/>
                    <w:right w:w="0" w:type="dxa"/>
                  </w:tcMar>
                  <w:vAlign w:val="center"/>
                </w:tcPr>
                <w:p w14:paraId="06BE137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5FAA48F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水泵</w:t>
                  </w:r>
                </w:p>
              </w:tc>
              <w:tc>
                <w:tcPr>
                  <w:tcW w:w="683" w:type="dxa"/>
                  <w:shd w:val="clear" w:color="auto" w:fill="FFFFFF"/>
                  <w:tcMar>
                    <w:top w:w="0" w:type="dxa"/>
                    <w:left w:w="0" w:type="dxa"/>
                    <w:bottom w:w="0" w:type="dxa"/>
                    <w:right w:w="0" w:type="dxa"/>
                  </w:tcMar>
                  <w:vAlign w:val="center"/>
                </w:tcPr>
                <w:p w14:paraId="48E67B6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90/1</w:t>
                  </w:r>
                </w:p>
              </w:tc>
              <w:tc>
                <w:tcPr>
                  <w:tcW w:w="484" w:type="dxa"/>
                  <w:vMerge w:val="continue"/>
                  <w:shd w:val="clear" w:color="auto" w:fill="FFFFFF"/>
                  <w:tcMar>
                    <w:top w:w="0" w:type="dxa"/>
                    <w:left w:w="0" w:type="dxa"/>
                    <w:bottom w:w="0" w:type="dxa"/>
                    <w:right w:w="0" w:type="dxa"/>
                  </w:tcMar>
                  <w:vAlign w:val="center"/>
                </w:tcPr>
                <w:p w14:paraId="26450BF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6D62CC3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20.9</w:t>
                  </w:r>
                </w:p>
              </w:tc>
              <w:tc>
                <w:tcPr>
                  <w:tcW w:w="546" w:type="dxa"/>
                  <w:shd w:val="clear" w:color="auto" w:fill="FFFFFF"/>
                  <w:tcMar>
                    <w:top w:w="0" w:type="dxa"/>
                    <w:left w:w="0" w:type="dxa"/>
                    <w:bottom w:w="0" w:type="dxa"/>
                    <w:right w:w="0" w:type="dxa"/>
                  </w:tcMar>
                  <w:vAlign w:val="center"/>
                </w:tcPr>
                <w:p w14:paraId="670B8E4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-13.3</w:t>
                  </w:r>
                </w:p>
              </w:tc>
              <w:tc>
                <w:tcPr>
                  <w:tcW w:w="571" w:type="dxa"/>
                  <w:shd w:val="clear" w:color="auto" w:fill="FFFFFF"/>
                  <w:tcMar>
                    <w:top w:w="0" w:type="dxa"/>
                    <w:left w:w="0" w:type="dxa"/>
                    <w:bottom w:w="0" w:type="dxa"/>
                    <w:right w:w="0" w:type="dxa"/>
                  </w:tcMar>
                  <w:vAlign w:val="center"/>
                </w:tcPr>
                <w:p w14:paraId="2B65E9C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2535ACE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5.7</w:t>
                  </w:r>
                </w:p>
              </w:tc>
              <w:tc>
                <w:tcPr>
                  <w:tcW w:w="523" w:type="dxa"/>
                  <w:shd w:val="clear" w:color="auto" w:fill="FFFFFF"/>
                  <w:tcMar>
                    <w:top w:w="0" w:type="dxa"/>
                    <w:left w:w="0" w:type="dxa"/>
                    <w:bottom w:w="0" w:type="dxa"/>
                    <w:right w:w="0" w:type="dxa"/>
                  </w:tcMar>
                  <w:vAlign w:val="center"/>
                </w:tcPr>
                <w:p w14:paraId="3D7FF0F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3.1</w:t>
                  </w:r>
                </w:p>
              </w:tc>
              <w:tc>
                <w:tcPr>
                  <w:tcW w:w="523" w:type="dxa"/>
                  <w:shd w:val="clear" w:color="auto" w:fill="FFFFFF"/>
                  <w:tcMar>
                    <w:top w:w="0" w:type="dxa"/>
                    <w:left w:w="0" w:type="dxa"/>
                    <w:bottom w:w="0" w:type="dxa"/>
                    <w:right w:w="0" w:type="dxa"/>
                  </w:tcMar>
                  <w:vAlign w:val="center"/>
                </w:tcPr>
                <w:p w14:paraId="759E195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47.5</w:t>
                  </w:r>
                </w:p>
              </w:tc>
              <w:tc>
                <w:tcPr>
                  <w:tcW w:w="524" w:type="dxa"/>
                  <w:shd w:val="clear" w:color="auto" w:fill="FFFFFF"/>
                  <w:tcMar>
                    <w:top w:w="0" w:type="dxa"/>
                    <w:left w:w="0" w:type="dxa"/>
                    <w:bottom w:w="0" w:type="dxa"/>
                    <w:right w:w="0" w:type="dxa"/>
                  </w:tcMar>
                  <w:vAlign w:val="center"/>
                </w:tcPr>
                <w:p w14:paraId="3999411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29.7</w:t>
                  </w:r>
                </w:p>
              </w:tc>
              <w:tc>
                <w:tcPr>
                  <w:tcW w:w="517" w:type="dxa"/>
                  <w:shd w:val="clear" w:color="auto" w:fill="FFFFFF"/>
                  <w:tcMar>
                    <w:top w:w="0" w:type="dxa"/>
                    <w:left w:w="0" w:type="dxa"/>
                    <w:bottom w:w="0" w:type="dxa"/>
                    <w:right w:w="0" w:type="dxa"/>
                  </w:tcMar>
                  <w:vAlign w:val="center"/>
                </w:tcPr>
                <w:p w14:paraId="0E22AA9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68.4</w:t>
                  </w:r>
                </w:p>
              </w:tc>
              <w:tc>
                <w:tcPr>
                  <w:tcW w:w="517" w:type="dxa"/>
                  <w:shd w:val="clear" w:color="auto" w:fill="FFFFFF"/>
                  <w:tcMar>
                    <w:top w:w="0" w:type="dxa"/>
                    <w:left w:w="0" w:type="dxa"/>
                    <w:bottom w:w="0" w:type="dxa"/>
                    <w:right w:w="0" w:type="dxa"/>
                  </w:tcMar>
                  <w:vAlign w:val="center"/>
                </w:tcPr>
                <w:p w14:paraId="1D971D0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68.4</w:t>
                  </w:r>
                </w:p>
              </w:tc>
              <w:tc>
                <w:tcPr>
                  <w:tcW w:w="517" w:type="dxa"/>
                  <w:shd w:val="clear" w:color="auto" w:fill="FFFFFF"/>
                  <w:tcMar>
                    <w:top w:w="0" w:type="dxa"/>
                    <w:left w:w="0" w:type="dxa"/>
                    <w:bottom w:w="0" w:type="dxa"/>
                    <w:right w:w="0" w:type="dxa"/>
                  </w:tcMar>
                  <w:vAlign w:val="center"/>
                </w:tcPr>
                <w:p w14:paraId="371F5C8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68.4</w:t>
                  </w:r>
                </w:p>
              </w:tc>
              <w:tc>
                <w:tcPr>
                  <w:tcW w:w="518" w:type="dxa"/>
                  <w:shd w:val="clear" w:color="auto" w:fill="FFFFFF"/>
                  <w:tcMar>
                    <w:top w:w="0" w:type="dxa"/>
                    <w:left w:w="0" w:type="dxa"/>
                    <w:bottom w:w="0" w:type="dxa"/>
                    <w:right w:w="0" w:type="dxa"/>
                  </w:tcMar>
                  <w:vAlign w:val="center"/>
                </w:tcPr>
                <w:p w14:paraId="0357FB1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68.4</w:t>
                  </w:r>
                </w:p>
              </w:tc>
              <w:tc>
                <w:tcPr>
                  <w:tcW w:w="449" w:type="dxa"/>
                  <w:vMerge w:val="continue"/>
                  <w:shd w:val="clear" w:color="auto" w:fill="FFFFFF"/>
                  <w:tcMar>
                    <w:top w:w="0" w:type="dxa"/>
                    <w:left w:w="0" w:type="dxa"/>
                    <w:bottom w:w="0" w:type="dxa"/>
                    <w:right w:w="0" w:type="dxa"/>
                  </w:tcMar>
                  <w:vAlign w:val="center"/>
                </w:tcPr>
                <w:p w14:paraId="0998DF4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526C3AC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3A27220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6F419EE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1E1D608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31AC653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53.4</w:t>
                  </w:r>
                </w:p>
              </w:tc>
              <w:tc>
                <w:tcPr>
                  <w:tcW w:w="531" w:type="dxa"/>
                  <w:shd w:val="clear" w:color="auto" w:fill="FFFFFF"/>
                  <w:tcMar>
                    <w:top w:w="0" w:type="dxa"/>
                    <w:left w:w="0" w:type="dxa"/>
                    <w:bottom w:w="0" w:type="dxa"/>
                    <w:right w:w="0" w:type="dxa"/>
                  </w:tcMar>
                  <w:vAlign w:val="center"/>
                </w:tcPr>
                <w:p w14:paraId="2F819D1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53.4</w:t>
                  </w:r>
                </w:p>
              </w:tc>
              <w:tc>
                <w:tcPr>
                  <w:tcW w:w="531" w:type="dxa"/>
                  <w:shd w:val="clear" w:color="auto" w:fill="FFFFFF"/>
                  <w:tcMar>
                    <w:top w:w="0" w:type="dxa"/>
                    <w:left w:w="0" w:type="dxa"/>
                    <w:bottom w:w="0" w:type="dxa"/>
                    <w:right w:w="0" w:type="dxa"/>
                  </w:tcMar>
                  <w:vAlign w:val="center"/>
                </w:tcPr>
                <w:p w14:paraId="2FB37CC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53.4</w:t>
                  </w:r>
                </w:p>
              </w:tc>
              <w:tc>
                <w:tcPr>
                  <w:tcW w:w="532" w:type="dxa"/>
                  <w:shd w:val="clear" w:color="auto" w:fill="FFFFFF"/>
                  <w:tcMar>
                    <w:top w:w="0" w:type="dxa"/>
                    <w:left w:w="0" w:type="dxa"/>
                    <w:bottom w:w="0" w:type="dxa"/>
                    <w:right w:w="0" w:type="dxa"/>
                  </w:tcMar>
                  <w:vAlign w:val="center"/>
                </w:tcPr>
                <w:p w14:paraId="14C53A3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53.4</w:t>
                  </w:r>
                </w:p>
              </w:tc>
              <w:tc>
                <w:tcPr>
                  <w:tcW w:w="733" w:type="dxa"/>
                  <w:shd w:val="clear" w:color="auto" w:fill="FFFFFF"/>
                  <w:tcMar>
                    <w:top w:w="0" w:type="dxa"/>
                    <w:left w:w="0" w:type="dxa"/>
                    <w:bottom w:w="0" w:type="dxa"/>
                    <w:right w:w="0" w:type="dxa"/>
                  </w:tcMar>
                  <w:vAlign w:val="center"/>
                </w:tcPr>
                <w:p w14:paraId="33301A3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w:t>
                  </w:r>
                </w:p>
              </w:tc>
            </w:tr>
            <w:tr w14:paraId="58CE6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0123C0A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9</w:t>
                  </w:r>
                </w:p>
              </w:tc>
              <w:tc>
                <w:tcPr>
                  <w:tcW w:w="542" w:type="dxa"/>
                  <w:vMerge w:val="continue"/>
                  <w:shd w:val="clear" w:color="auto" w:fill="FFFFFF"/>
                  <w:tcMar>
                    <w:top w:w="0" w:type="dxa"/>
                    <w:left w:w="0" w:type="dxa"/>
                    <w:bottom w:w="0" w:type="dxa"/>
                    <w:right w:w="0" w:type="dxa"/>
                  </w:tcMar>
                  <w:vAlign w:val="center"/>
                </w:tcPr>
                <w:p w14:paraId="717D6A2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3C386FE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风机</w:t>
                  </w:r>
                </w:p>
              </w:tc>
              <w:tc>
                <w:tcPr>
                  <w:tcW w:w="683" w:type="dxa"/>
                  <w:shd w:val="clear" w:color="auto" w:fill="FFFFFF"/>
                  <w:tcMar>
                    <w:top w:w="0" w:type="dxa"/>
                    <w:left w:w="0" w:type="dxa"/>
                    <w:bottom w:w="0" w:type="dxa"/>
                    <w:right w:w="0" w:type="dxa"/>
                  </w:tcMar>
                  <w:vAlign w:val="center"/>
                </w:tcPr>
                <w:p w14:paraId="0B06ECF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90/1</w:t>
                  </w:r>
                </w:p>
              </w:tc>
              <w:tc>
                <w:tcPr>
                  <w:tcW w:w="484" w:type="dxa"/>
                  <w:vMerge w:val="continue"/>
                  <w:shd w:val="clear" w:color="auto" w:fill="FFFFFF"/>
                  <w:tcMar>
                    <w:top w:w="0" w:type="dxa"/>
                    <w:left w:w="0" w:type="dxa"/>
                    <w:bottom w:w="0" w:type="dxa"/>
                    <w:right w:w="0" w:type="dxa"/>
                  </w:tcMar>
                  <w:vAlign w:val="center"/>
                </w:tcPr>
                <w:p w14:paraId="1B2E94F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69518CD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25.2</w:t>
                  </w:r>
                </w:p>
              </w:tc>
              <w:tc>
                <w:tcPr>
                  <w:tcW w:w="546" w:type="dxa"/>
                  <w:shd w:val="clear" w:color="auto" w:fill="FFFFFF"/>
                  <w:tcMar>
                    <w:top w:w="0" w:type="dxa"/>
                    <w:left w:w="0" w:type="dxa"/>
                    <w:bottom w:w="0" w:type="dxa"/>
                    <w:right w:w="0" w:type="dxa"/>
                  </w:tcMar>
                  <w:vAlign w:val="center"/>
                </w:tcPr>
                <w:p w14:paraId="0584985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-12.1-</w:t>
                  </w:r>
                </w:p>
              </w:tc>
              <w:tc>
                <w:tcPr>
                  <w:tcW w:w="571" w:type="dxa"/>
                  <w:shd w:val="clear" w:color="auto" w:fill="FFFFFF"/>
                  <w:tcMar>
                    <w:top w:w="0" w:type="dxa"/>
                    <w:left w:w="0" w:type="dxa"/>
                    <w:bottom w:w="0" w:type="dxa"/>
                    <w:right w:w="0" w:type="dxa"/>
                  </w:tcMar>
                  <w:vAlign w:val="center"/>
                </w:tcPr>
                <w:p w14:paraId="20DBD4D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5C3A156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1.4</w:t>
                  </w:r>
                </w:p>
              </w:tc>
              <w:tc>
                <w:tcPr>
                  <w:tcW w:w="523" w:type="dxa"/>
                  <w:shd w:val="clear" w:color="auto" w:fill="FFFFFF"/>
                  <w:tcMar>
                    <w:top w:w="0" w:type="dxa"/>
                    <w:left w:w="0" w:type="dxa"/>
                    <w:bottom w:w="0" w:type="dxa"/>
                    <w:right w:w="0" w:type="dxa"/>
                  </w:tcMar>
                  <w:vAlign w:val="center"/>
                </w:tcPr>
                <w:p w14:paraId="56273F2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4.3</w:t>
                  </w:r>
                </w:p>
              </w:tc>
              <w:tc>
                <w:tcPr>
                  <w:tcW w:w="523" w:type="dxa"/>
                  <w:shd w:val="clear" w:color="auto" w:fill="FFFFFF"/>
                  <w:tcMar>
                    <w:top w:w="0" w:type="dxa"/>
                    <w:left w:w="0" w:type="dxa"/>
                    <w:bottom w:w="0" w:type="dxa"/>
                    <w:right w:w="0" w:type="dxa"/>
                  </w:tcMar>
                  <w:vAlign w:val="center"/>
                </w:tcPr>
                <w:p w14:paraId="44E60AB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51.8</w:t>
                  </w:r>
                </w:p>
              </w:tc>
              <w:tc>
                <w:tcPr>
                  <w:tcW w:w="524" w:type="dxa"/>
                  <w:shd w:val="clear" w:color="auto" w:fill="FFFFFF"/>
                  <w:tcMar>
                    <w:top w:w="0" w:type="dxa"/>
                    <w:left w:w="0" w:type="dxa"/>
                    <w:bottom w:w="0" w:type="dxa"/>
                    <w:right w:w="0" w:type="dxa"/>
                  </w:tcMar>
                  <w:vAlign w:val="center"/>
                </w:tcPr>
                <w:p w14:paraId="3585B66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28.5</w:t>
                  </w:r>
                </w:p>
              </w:tc>
              <w:tc>
                <w:tcPr>
                  <w:tcW w:w="517" w:type="dxa"/>
                  <w:shd w:val="clear" w:color="auto" w:fill="FFFFFF"/>
                  <w:tcMar>
                    <w:top w:w="0" w:type="dxa"/>
                    <w:left w:w="0" w:type="dxa"/>
                    <w:bottom w:w="0" w:type="dxa"/>
                    <w:right w:w="0" w:type="dxa"/>
                  </w:tcMar>
                  <w:vAlign w:val="center"/>
                </w:tcPr>
                <w:p w14:paraId="531B736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w:t>
                  </w:r>
                  <w:r>
                    <w:rPr>
                      <w:rFonts w:hint="default" w:ascii="Times New Roman" w:hAnsi="Times New Roman" w:eastAsia="宋体" w:cs="Times New Roman"/>
                      <w:color w:val="auto"/>
                      <w:sz w:val="18"/>
                      <w:szCs w:val="18"/>
                      <w:lang w:val="en-US" w:eastAsia="zh-CN"/>
                    </w:rPr>
                    <w:t>8.</w:t>
                  </w:r>
                  <w:r>
                    <w:rPr>
                      <w:rFonts w:hint="eastAsia" w:ascii="Times New Roman" w:hAnsi="Times New Roman" w:eastAsia="宋体" w:cs="Times New Roman"/>
                      <w:color w:val="auto"/>
                      <w:sz w:val="18"/>
                      <w:szCs w:val="18"/>
                      <w:lang w:val="en-US" w:eastAsia="zh-CN"/>
                    </w:rPr>
                    <w:t>8</w:t>
                  </w:r>
                </w:p>
              </w:tc>
              <w:tc>
                <w:tcPr>
                  <w:tcW w:w="517" w:type="dxa"/>
                  <w:shd w:val="clear" w:color="auto" w:fill="FFFFFF"/>
                  <w:tcMar>
                    <w:top w:w="0" w:type="dxa"/>
                    <w:left w:w="0" w:type="dxa"/>
                    <w:bottom w:w="0" w:type="dxa"/>
                    <w:right w:w="0" w:type="dxa"/>
                  </w:tcMar>
                  <w:vAlign w:val="center"/>
                </w:tcPr>
                <w:p w14:paraId="1C18AA5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w:t>
                  </w:r>
                  <w:r>
                    <w:rPr>
                      <w:rFonts w:hint="default" w:ascii="Times New Roman" w:hAnsi="Times New Roman" w:eastAsia="宋体" w:cs="Times New Roman"/>
                      <w:color w:val="auto"/>
                      <w:sz w:val="18"/>
                      <w:szCs w:val="18"/>
                      <w:lang w:val="en-US" w:eastAsia="zh-CN"/>
                    </w:rPr>
                    <w:t>8.</w:t>
                  </w:r>
                  <w:r>
                    <w:rPr>
                      <w:rFonts w:hint="eastAsia" w:ascii="Times New Roman" w:hAnsi="Times New Roman" w:eastAsia="宋体" w:cs="Times New Roman"/>
                      <w:color w:val="auto"/>
                      <w:sz w:val="18"/>
                      <w:szCs w:val="18"/>
                      <w:lang w:val="en-US" w:eastAsia="zh-CN"/>
                    </w:rPr>
                    <w:t>8</w:t>
                  </w:r>
                </w:p>
              </w:tc>
              <w:tc>
                <w:tcPr>
                  <w:tcW w:w="517" w:type="dxa"/>
                  <w:shd w:val="clear" w:color="auto" w:fill="FFFFFF"/>
                  <w:tcMar>
                    <w:top w:w="0" w:type="dxa"/>
                    <w:left w:w="0" w:type="dxa"/>
                    <w:bottom w:w="0" w:type="dxa"/>
                    <w:right w:w="0" w:type="dxa"/>
                  </w:tcMar>
                  <w:vAlign w:val="center"/>
                </w:tcPr>
                <w:p w14:paraId="5C38231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w:t>
                  </w:r>
                  <w:r>
                    <w:rPr>
                      <w:rFonts w:hint="default" w:ascii="Times New Roman" w:hAnsi="Times New Roman" w:eastAsia="宋体" w:cs="Times New Roman"/>
                      <w:color w:val="auto"/>
                      <w:sz w:val="18"/>
                      <w:szCs w:val="18"/>
                      <w:lang w:val="en-US" w:eastAsia="zh-CN"/>
                    </w:rPr>
                    <w:t>8.</w:t>
                  </w:r>
                  <w:r>
                    <w:rPr>
                      <w:rFonts w:hint="eastAsia" w:ascii="Times New Roman" w:hAnsi="Times New Roman" w:eastAsia="宋体" w:cs="Times New Roman"/>
                      <w:color w:val="auto"/>
                      <w:sz w:val="18"/>
                      <w:szCs w:val="18"/>
                      <w:lang w:val="en-US" w:eastAsia="zh-CN"/>
                    </w:rPr>
                    <w:t>8</w:t>
                  </w:r>
                </w:p>
              </w:tc>
              <w:tc>
                <w:tcPr>
                  <w:tcW w:w="518" w:type="dxa"/>
                  <w:shd w:val="clear" w:color="auto" w:fill="FFFFFF"/>
                  <w:tcMar>
                    <w:top w:w="0" w:type="dxa"/>
                    <w:left w:w="0" w:type="dxa"/>
                    <w:bottom w:w="0" w:type="dxa"/>
                    <w:right w:w="0" w:type="dxa"/>
                  </w:tcMar>
                  <w:vAlign w:val="center"/>
                </w:tcPr>
                <w:p w14:paraId="78F01D6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6</w:t>
                  </w:r>
                  <w:r>
                    <w:rPr>
                      <w:rFonts w:hint="default" w:ascii="Times New Roman" w:hAnsi="Times New Roman" w:eastAsia="宋体" w:cs="Times New Roman"/>
                      <w:color w:val="auto"/>
                      <w:sz w:val="18"/>
                      <w:szCs w:val="18"/>
                      <w:lang w:val="en-US" w:eastAsia="zh-CN"/>
                    </w:rPr>
                    <w:t>8.</w:t>
                  </w:r>
                  <w:r>
                    <w:rPr>
                      <w:rFonts w:hint="eastAsia" w:ascii="Times New Roman" w:hAnsi="Times New Roman" w:eastAsia="宋体" w:cs="Times New Roman"/>
                      <w:color w:val="auto"/>
                      <w:sz w:val="18"/>
                      <w:szCs w:val="18"/>
                      <w:lang w:val="en-US" w:eastAsia="zh-CN"/>
                    </w:rPr>
                    <w:t>8</w:t>
                  </w:r>
                </w:p>
              </w:tc>
              <w:tc>
                <w:tcPr>
                  <w:tcW w:w="449" w:type="dxa"/>
                  <w:vMerge w:val="continue"/>
                  <w:shd w:val="clear" w:color="auto" w:fill="FFFFFF"/>
                  <w:tcMar>
                    <w:top w:w="0" w:type="dxa"/>
                    <w:left w:w="0" w:type="dxa"/>
                    <w:bottom w:w="0" w:type="dxa"/>
                    <w:right w:w="0" w:type="dxa"/>
                  </w:tcMar>
                  <w:vAlign w:val="center"/>
                </w:tcPr>
                <w:p w14:paraId="19F907B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062011C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3B01B3F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4849BE5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439C92E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607820B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53.8</w:t>
                  </w:r>
                </w:p>
              </w:tc>
              <w:tc>
                <w:tcPr>
                  <w:tcW w:w="531" w:type="dxa"/>
                  <w:shd w:val="clear" w:color="auto" w:fill="FFFFFF"/>
                  <w:tcMar>
                    <w:top w:w="0" w:type="dxa"/>
                    <w:left w:w="0" w:type="dxa"/>
                    <w:bottom w:w="0" w:type="dxa"/>
                    <w:right w:w="0" w:type="dxa"/>
                  </w:tcMar>
                  <w:vAlign w:val="center"/>
                </w:tcPr>
                <w:p w14:paraId="26636C1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53.8</w:t>
                  </w:r>
                </w:p>
              </w:tc>
              <w:tc>
                <w:tcPr>
                  <w:tcW w:w="531" w:type="dxa"/>
                  <w:shd w:val="clear" w:color="auto" w:fill="FFFFFF"/>
                  <w:tcMar>
                    <w:top w:w="0" w:type="dxa"/>
                    <w:left w:w="0" w:type="dxa"/>
                    <w:bottom w:w="0" w:type="dxa"/>
                    <w:right w:w="0" w:type="dxa"/>
                  </w:tcMar>
                  <w:vAlign w:val="center"/>
                </w:tcPr>
                <w:p w14:paraId="755EE96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53.8</w:t>
                  </w:r>
                </w:p>
              </w:tc>
              <w:tc>
                <w:tcPr>
                  <w:tcW w:w="532" w:type="dxa"/>
                  <w:shd w:val="clear" w:color="auto" w:fill="FFFFFF"/>
                  <w:tcMar>
                    <w:top w:w="0" w:type="dxa"/>
                    <w:left w:w="0" w:type="dxa"/>
                    <w:bottom w:w="0" w:type="dxa"/>
                    <w:right w:w="0" w:type="dxa"/>
                  </w:tcMar>
                  <w:vAlign w:val="center"/>
                </w:tcPr>
                <w:p w14:paraId="6F5985E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53.8</w:t>
                  </w:r>
                </w:p>
              </w:tc>
              <w:tc>
                <w:tcPr>
                  <w:tcW w:w="733" w:type="dxa"/>
                  <w:shd w:val="clear" w:color="auto" w:fill="FFFFFF"/>
                  <w:tcMar>
                    <w:top w:w="0" w:type="dxa"/>
                    <w:left w:w="0" w:type="dxa"/>
                    <w:bottom w:w="0" w:type="dxa"/>
                    <w:right w:w="0" w:type="dxa"/>
                  </w:tcMar>
                  <w:vAlign w:val="center"/>
                </w:tcPr>
                <w:p w14:paraId="31849DD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26AA5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7671CD1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10</w:t>
                  </w:r>
                </w:p>
              </w:tc>
              <w:tc>
                <w:tcPr>
                  <w:tcW w:w="542" w:type="dxa"/>
                  <w:vMerge w:val="continue"/>
                  <w:shd w:val="clear" w:color="auto" w:fill="FFFFFF"/>
                  <w:tcMar>
                    <w:top w:w="0" w:type="dxa"/>
                    <w:left w:w="0" w:type="dxa"/>
                    <w:bottom w:w="0" w:type="dxa"/>
                    <w:right w:w="0" w:type="dxa"/>
                  </w:tcMar>
                  <w:vAlign w:val="center"/>
                </w:tcPr>
                <w:p w14:paraId="2362090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0A08112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浓缩罐</w:t>
                  </w:r>
                </w:p>
              </w:tc>
              <w:tc>
                <w:tcPr>
                  <w:tcW w:w="683" w:type="dxa"/>
                  <w:shd w:val="clear" w:color="auto" w:fill="FFFFFF"/>
                  <w:tcMar>
                    <w:top w:w="0" w:type="dxa"/>
                    <w:left w:w="0" w:type="dxa"/>
                    <w:bottom w:w="0" w:type="dxa"/>
                    <w:right w:w="0" w:type="dxa"/>
                  </w:tcMar>
                  <w:vAlign w:val="center"/>
                </w:tcPr>
                <w:p w14:paraId="26A9B60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75/1</w:t>
                  </w:r>
                </w:p>
              </w:tc>
              <w:tc>
                <w:tcPr>
                  <w:tcW w:w="484" w:type="dxa"/>
                  <w:vMerge w:val="continue"/>
                  <w:shd w:val="clear" w:color="auto" w:fill="FFFFFF"/>
                  <w:tcMar>
                    <w:top w:w="0" w:type="dxa"/>
                    <w:left w:w="0" w:type="dxa"/>
                    <w:bottom w:w="0" w:type="dxa"/>
                    <w:right w:w="0" w:type="dxa"/>
                  </w:tcMar>
                  <w:vAlign w:val="center"/>
                </w:tcPr>
                <w:p w14:paraId="7B85185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5234B1B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-3.6</w:t>
                  </w:r>
                </w:p>
              </w:tc>
              <w:tc>
                <w:tcPr>
                  <w:tcW w:w="546" w:type="dxa"/>
                  <w:shd w:val="clear" w:color="auto" w:fill="FFFFFF"/>
                  <w:tcMar>
                    <w:top w:w="0" w:type="dxa"/>
                    <w:left w:w="0" w:type="dxa"/>
                    <w:bottom w:w="0" w:type="dxa"/>
                    <w:right w:w="0" w:type="dxa"/>
                  </w:tcMar>
                  <w:vAlign w:val="center"/>
                </w:tcPr>
                <w:p w14:paraId="2C64590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-8.8</w:t>
                  </w:r>
                </w:p>
              </w:tc>
              <w:tc>
                <w:tcPr>
                  <w:tcW w:w="571" w:type="dxa"/>
                  <w:shd w:val="clear" w:color="auto" w:fill="FFFFFF"/>
                  <w:tcMar>
                    <w:top w:w="0" w:type="dxa"/>
                    <w:left w:w="0" w:type="dxa"/>
                    <w:bottom w:w="0" w:type="dxa"/>
                    <w:right w:w="0" w:type="dxa"/>
                  </w:tcMar>
                  <w:vAlign w:val="center"/>
                </w:tcPr>
                <w:p w14:paraId="27D2A0A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717C20A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30.2</w:t>
                  </w:r>
                </w:p>
              </w:tc>
              <w:tc>
                <w:tcPr>
                  <w:tcW w:w="523" w:type="dxa"/>
                  <w:shd w:val="clear" w:color="auto" w:fill="FFFFFF"/>
                  <w:tcMar>
                    <w:top w:w="0" w:type="dxa"/>
                    <w:left w:w="0" w:type="dxa"/>
                    <w:bottom w:w="0" w:type="dxa"/>
                    <w:right w:w="0" w:type="dxa"/>
                  </w:tcMar>
                  <w:vAlign w:val="center"/>
                </w:tcPr>
                <w:p w14:paraId="57B34A6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7.6</w:t>
                  </w:r>
                </w:p>
              </w:tc>
              <w:tc>
                <w:tcPr>
                  <w:tcW w:w="523" w:type="dxa"/>
                  <w:shd w:val="clear" w:color="auto" w:fill="FFFFFF"/>
                  <w:tcMar>
                    <w:top w:w="0" w:type="dxa"/>
                    <w:left w:w="0" w:type="dxa"/>
                    <w:bottom w:w="0" w:type="dxa"/>
                    <w:right w:w="0" w:type="dxa"/>
                  </w:tcMar>
                  <w:vAlign w:val="center"/>
                </w:tcPr>
                <w:p w14:paraId="61F0B15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23</w:t>
                  </w:r>
                </w:p>
              </w:tc>
              <w:tc>
                <w:tcPr>
                  <w:tcW w:w="524" w:type="dxa"/>
                  <w:shd w:val="clear" w:color="auto" w:fill="FFFFFF"/>
                  <w:tcMar>
                    <w:top w:w="0" w:type="dxa"/>
                    <w:left w:w="0" w:type="dxa"/>
                    <w:bottom w:w="0" w:type="dxa"/>
                    <w:right w:w="0" w:type="dxa"/>
                  </w:tcMar>
                  <w:vAlign w:val="center"/>
                </w:tcPr>
                <w:p w14:paraId="3FACC15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25.2</w:t>
                  </w:r>
                </w:p>
              </w:tc>
              <w:tc>
                <w:tcPr>
                  <w:tcW w:w="517" w:type="dxa"/>
                  <w:shd w:val="clear" w:color="auto" w:fill="FFFFFF"/>
                  <w:tcMar>
                    <w:top w:w="0" w:type="dxa"/>
                    <w:left w:w="0" w:type="dxa"/>
                    <w:bottom w:w="0" w:type="dxa"/>
                    <w:right w:w="0" w:type="dxa"/>
                  </w:tcMar>
                  <w:vAlign w:val="center"/>
                </w:tcPr>
                <w:p w14:paraId="47D64D1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lang w:val="en-US" w:eastAsia="zh-CN"/>
                    </w:rPr>
                    <w:t>4</w:t>
                  </w:r>
                  <w:r>
                    <w:rPr>
                      <w:rFonts w:hint="default" w:ascii="Times New Roman" w:hAnsi="Times New Roman" w:eastAsia="宋体" w:cs="Times New Roman"/>
                      <w:color w:val="auto"/>
                      <w:sz w:val="18"/>
                      <w:szCs w:val="18"/>
                      <w:lang w:val="en-US" w:eastAsia="zh-CN"/>
                    </w:rPr>
                    <w:t>.</w:t>
                  </w:r>
                  <w:r>
                    <w:rPr>
                      <w:rFonts w:hint="eastAsia" w:ascii="Times New Roman" w:hAnsi="Times New Roman" w:eastAsia="宋体" w:cs="Times New Roman"/>
                      <w:color w:val="auto"/>
                      <w:sz w:val="18"/>
                      <w:szCs w:val="18"/>
                      <w:lang w:val="en-US" w:eastAsia="zh-CN"/>
                    </w:rPr>
                    <w:t>0</w:t>
                  </w:r>
                </w:p>
              </w:tc>
              <w:tc>
                <w:tcPr>
                  <w:tcW w:w="517" w:type="dxa"/>
                  <w:shd w:val="clear" w:color="auto" w:fill="FFFFFF"/>
                  <w:tcMar>
                    <w:top w:w="0" w:type="dxa"/>
                    <w:left w:w="0" w:type="dxa"/>
                    <w:bottom w:w="0" w:type="dxa"/>
                    <w:right w:w="0" w:type="dxa"/>
                  </w:tcMar>
                  <w:vAlign w:val="center"/>
                </w:tcPr>
                <w:p w14:paraId="43E0413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lang w:val="en-US" w:eastAsia="zh-CN"/>
                    </w:rPr>
                    <w:t>4</w:t>
                  </w:r>
                  <w:r>
                    <w:rPr>
                      <w:rFonts w:hint="default" w:ascii="Times New Roman" w:hAnsi="Times New Roman" w:eastAsia="宋体" w:cs="Times New Roman"/>
                      <w:color w:val="auto"/>
                      <w:sz w:val="18"/>
                      <w:szCs w:val="18"/>
                      <w:lang w:val="en-US" w:eastAsia="zh-CN"/>
                    </w:rPr>
                    <w:t>.1</w:t>
                  </w:r>
                </w:p>
              </w:tc>
              <w:tc>
                <w:tcPr>
                  <w:tcW w:w="517" w:type="dxa"/>
                  <w:shd w:val="clear" w:color="auto" w:fill="FFFFFF"/>
                  <w:tcMar>
                    <w:top w:w="0" w:type="dxa"/>
                    <w:left w:w="0" w:type="dxa"/>
                    <w:bottom w:w="0" w:type="dxa"/>
                    <w:right w:w="0" w:type="dxa"/>
                  </w:tcMar>
                  <w:vAlign w:val="center"/>
                </w:tcPr>
                <w:p w14:paraId="068B4BB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lang w:val="en-US" w:eastAsia="zh-CN"/>
                    </w:rPr>
                    <w:t>4</w:t>
                  </w:r>
                  <w:r>
                    <w:rPr>
                      <w:rFonts w:hint="default" w:ascii="Times New Roman" w:hAnsi="Times New Roman" w:eastAsia="宋体" w:cs="Times New Roman"/>
                      <w:color w:val="auto"/>
                      <w:sz w:val="18"/>
                      <w:szCs w:val="18"/>
                      <w:lang w:val="en-US" w:eastAsia="zh-CN"/>
                    </w:rPr>
                    <w:t>.1</w:t>
                  </w:r>
                </w:p>
              </w:tc>
              <w:tc>
                <w:tcPr>
                  <w:tcW w:w="518" w:type="dxa"/>
                  <w:shd w:val="clear" w:color="auto" w:fill="FFFFFF"/>
                  <w:tcMar>
                    <w:top w:w="0" w:type="dxa"/>
                    <w:left w:w="0" w:type="dxa"/>
                    <w:bottom w:w="0" w:type="dxa"/>
                    <w:right w:w="0" w:type="dxa"/>
                  </w:tcMar>
                  <w:vAlign w:val="center"/>
                </w:tcPr>
                <w:p w14:paraId="0B6A443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w:t>
                  </w:r>
                  <w:r>
                    <w:rPr>
                      <w:rFonts w:hint="eastAsia" w:ascii="Times New Roman" w:hAnsi="Times New Roman" w:eastAsia="宋体" w:cs="Times New Roman"/>
                      <w:color w:val="auto"/>
                      <w:sz w:val="18"/>
                      <w:szCs w:val="18"/>
                      <w:lang w:val="en-US" w:eastAsia="zh-CN"/>
                    </w:rPr>
                    <w:t>4</w:t>
                  </w:r>
                  <w:r>
                    <w:rPr>
                      <w:rFonts w:hint="default" w:ascii="Times New Roman" w:hAnsi="Times New Roman" w:eastAsia="宋体" w:cs="Times New Roman"/>
                      <w:color w:val="auto"/>
                      <w:sz w:val="18"/>
                      <w:szCs w:val="18"/>
                      <w:lang w:val="en-US" w:eastAsia="zh-CN"/>
                    </w:rPr>
                    <w:t>.1</w:t>
                  </w:r>
                </w:p>
              </w:tc>
              <w:tc>
                <w:tcPr>
                  <w:tcW w:w="449" w:type="dxa"/>
                  <w:vMerge w:val="continue"/>
                  <w:shd w:val="clear" w:color="auto" w:fill="FFFFFF"/>
                  <w:tcMar>
                    <w:top w:w="0" w:type="dxa"/>
                    <w:left w:w="0" w:type="dxa"/>
                    <w:bottom w:w="0" w:type="dxa"/>
                    <w:right w:w="0" w:type="dxa"/>
                  </w:tcMar>
                  <w:vAlign w:val="center"/>
                </w:tcPr>
                <w:p w14:paraId="33C72D4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72979C4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3236A6F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6F89FC6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171EA5D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796A72A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39</w:t>
                  </w:r>
                </w:p>
              </w:tc>
              <w:tc>
                <w:tcPr>
                  <w:tcW w:w="531" w:type="dxa"/>
                  <w:shd w:val="clear" w:color="auto" w:fill="FFFFFF"/>
                  <w:tcMar>
                    <w:top w:w="0" w:type="dxa"/>
                    <w:left w:w="0" w:type="dxa"/>
                    <w:bottom w:w="0" w:type="dxa"/>
                    <w:right w:w="0" w:type="dxa"/>
                  </w:tcMar>
                  <w:vAlign w:val="center"/>
                </w:tcPr>
                <w:p w14:paraId="3157487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39.1</w:t>
                  </w:r>
                </w:p>
              </w:tc>
              <w:tc>
                <w:tcPr>
                  <w:tcW w:w="531" w:type="dxa"/>
                  <w:shd w:val="clear" w:color="auto" w:fill="FFFFFF"/>
                  <w:tcMar>
                    <w:top w:w="0" w:type="dxa"/>
                    <w:left w:w="0" w:type="dxa"/>
                    <w:bottom w:w="0" w:type="dxa"/>
                    <w:right w:w="0" w:type="dxa"/>
                  </w:tcMar>
                  <w:vAlign w:val="center"/>
                </w:tcPr>
                <w:p w14:paraId="077D280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39.1</w:t>
                  </w:r>
                </w:p>
              </w:tc>
              <w:tc>
                <w:tcPr>
                  <w:tcW w:w="532" w:type="dxa"/>
                  <w:shd w:val="clear" w:color="auto" w:fill="FFFFFF"/>
                  <w:tcMar>
                    <w:top w:w="0" w:type="dxa"/>
                    <w:left w:w="0" w:type="dxa"/>
                    <w:bottom w:w="0" w:type="dxa"/>
                    <w:right w:w="0" w:type="dxa"/>
                  </w:tcMar>
                  <w:vAlign w:val="center"/>
                </w:tcPr>
                <w:p w14:paraId="5059D83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39.1</w:t>
                  </w:r>
                </w:p>
              </w:tc>
              <w:tc>
                <w:tcPr>
                  <w:tcW w:w="733" w:type="dxa"/>
                  <w:shd w:val="clear" w:color="auto" w:fill="FFFFFF"/>
                  <w:tcMar>
                    <w:top w:w="0" w:type="dxa"/>
                    <w:left w:w="0" w:type="dxa"/>
                    <w:bottom w:w="0" w:type="dxa"/>
                    <w:right w:w="0" w:type="dxa"/>
                  </w:tcMar>
                  <w:vAlign w:val="center"/>
                </w:tcPr>
                <w:p w14:paraId="48F682B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416EA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5EB44394">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11</w:t>
                  </w:r>
                </w:p>
              </w:tc>
              <w:tc>
                <w:tcPr>
                  <w:tcW w:w="542" w:type="dxa"/>
                  <w:vMerge w:val="continue"/>
                  <w:shd w:val="clear" w:color="auto" w:fill="FFFFFF"/>
                  <w:tcMar>
                    <w:top w:w="0" w:type="dxa"/>
                    <w:left w:w="0" w:type="dxa"/>
                    <w:bottom w:w="0" w:type="dxa"/>
                    <w:right w:w="0" w:type="dxa"/>
                  </w:tcMar>
                  <w:vAlign w:val="center"/>
                </w:tcPr>
                <w:p w14:paraId="3A61688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53051DD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压滤机</w:t>
                  </w:r>
                </w:p>
              </w:tc>
              <w:tc>
                <w:tcPr>
                  <w:tcW w:w="683" w:type="dxa"/>
                  <w:shd w:val="clear" w:color="auto" w:fill="FFFFFF"/>
                  <w:tcMar>
                    <w:top w:w="0" w:type="dxa"/>
                    <w:left w:w="0" w:type="dxa"/>
                    <w:bottom w:w="0" w:type="dxa"/>
                    <w:right w:w="0" w:type="dxa"/>
                  </w:tcMar>
                  <w:vAlign w:val="center"/>
                </w:tcPr>
                <w:p w14:paraId="5804770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80/1</w:t>
                  </w:r>
                </w:p>
              </w:tc>
              <w:tc>
                <w:tcPr>
                  <w:tcW w:w="484" w:type="dxa"/>
                  <w:vMerge w:val="continue"/>
                  <w:shd w:val="clear" w:color="auto" w:fill="FFFFFF"/>
                  <w:tcMar>
                    <w:top w:w="0" w:type="dxa"/>
                    <w:left w:w="0" w:type="dxa"/>
                    <w:bottom w:w="0" w:type="dxa"/>
                    <w:right w:w="0" w:type="dxa"/>
                  </w:tcMar>
                  <w:vAlign w:val="center"/>
                </w:tcPr>
                <w:p w14:paraId="2A3DF68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1E774E9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-5.7</w:t>
                  </w:r>
                </w:p>
              </w:tc>
              <w:tc>
                <w:tcPr>
                  <w:tcW w:w="546" w:type="dxa"/>
                  <w:shd w:val="clear" w:color="auto" w:fill="FFFFFF"/>
                  <w:tcMar>
                    <w:top w:w="0" w:type="dxa"/>
                    <w:left w:w="0" w:type="dxa"/>
                    <w:bottom w:w="0" w:type="dxa"/>
                    <w:right w:w="0" w:type="dxa"/>
                  </w:tcMar>
                  <w:vAlign w:val="center"/>
                </w:tcPr>
                <w:p w14:paraId="5B10660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-8.8</w:t>
                  </w:r>
                </w:p>
              </w:tc>
              <w:tc>
                <w:tcPr>
                  <w:tcW w:w="571" w:type="dxa"/>
                  <w:shd w:val="clear" w:color="auto" w:fill="FFFFFF"/>
                  <w:tcMar>
                    <w:top w:w="0" w:type="dxa"/>
                    <w:left w:w="0" w:type="dxa"/>
                    <w:bottom w:w="0" w:type="dxa"/>
                    <w:right w:w="0" w:type="dxa"/>
                  </w:tcMar>
                  <w:vAlign w:val="center"/>
                </w:tcPr>
                <w:p w14:paraId="0B0D6191">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3D5A48F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32.3</w:t>
                  </w:r>
                </w:p>
              </w:tc>
              <w:tc>
                <w:tcPr>
                  <w:tcW w:w="523" w:type="dxa"/>
                  <w:shd w:val="clear" w:color="auto" w:fill="FFFFFF"/>
                  <w:tcMar>
                    <w:top w:w="0" w:type="dxa"/>
                    <w:left w:w="0" w:type="dxa"/>
                    <w:bottom w:w="0" w:type="dxa"/>
                    <w:right w:w="0" w:type="dxa"/>
                  </w:tcMar>
                  <w:vAlign w:val="center"/>
                </w:tcPr>
                <w:p w14:paraId="550E056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7.6</w:t>
                  </w:r>
                </w:p>
              </w:tc>
              <w:tc>
                <w:tcPr>
                  <w:tcW w:w="523" w:type="dxa"/>
                  <w:shd w:val="clear" w:color="auto" w:fill="FFFFFF"/>
                  <w:tcMar>
                    <w:top w:w="0" w:type="dxa"/>
                    <w:left w:w="0" w:type="dxa"/>
                    <w:bottom w:w="0" w:type="dxa"/>
                    <w:right w:w="0" w:type="dxa"/>
                  </w:tcMar>
                  <w:vAlign w:val="center"/>
                </w:tcPr>
                <w:p w14:paraId="4CDE4BD2">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20.9</w:t>
                  </w:r>
                </w:p>
              </w:tc>
              <w:tc>
                <w:tcPr>
                  <w:tcW w:w="524" w:type="dxa"/>
                  <w:shd w:val="clear" w:color="auto" w:fill="FFFFFF"/>
                  <w:tcMar>
                    <w:top w:w="0" w:type="dxa"/>
                    <w:left w:w="0" w:type="dxa"/>
                    <w:bottom w:w="0" w:type="dxa"/>
                    <w:right w:w="0" w:type="dxa"/>
                  </w:tcMar>
                  <w:vAlign w:val="center"/>
                </w:tcPr>
                <w:p w14:paraId="0DAF39C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25.2</w:t>
                  </w:r>
                </w:p>
              </w:tc>
              <w:tc>
                <w:tcPr>
                  <w:tcW w:w="517" w:type="dxa"/>
                  <w:shd w:val="clear" w:color="auto" w:fill="FFFFFF"/>
                  <w:tcMar>
                    <w:top w:w="0" w:type="dxa"/>
                    <w:left w:w="0" w:type="dxa"/>
                    <w:bottom w:w="0" w:type="dxa"/>
                    <w:right w:w="0" w:type="dxa"/>
                  </w:tcMar>
                  <w:vAlign w:val="center"/>
                </w:tcPr>
                <w:p w14:paraId="78D176D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58.</w:t>
                  </w:r>
                  <w:r>
                    <w:rPr>
                      <w:rFonts w:hint="eastAsia" w:ascii="Times New Roman" w:hAnsi="Times New Roman" w:eastAsia="宋体" w:cs="Times New Roman"/>
                      <w:color w:val="auto"/>
                      <w:sz w:val="18"/>
                      <w:szCs w:val="18"/>
                      <w:lang w:val="en-US" w:eastAsia="zh-CN"/>
                    </w:rPr>
                    <w:t>0</w:t>
                  </w:r>
                </w:p>
              </w:tc>
              <w:tc>
                <w:tcPr>
                  <w:tcW w:w="517" w:type="dxa"/>
                  <w:shd w:val="clear" w:color="auto" w:fill="FFFFFF"/>
                  <w:tcMar>
                    <w:top w:w="0" w:type="dxa"/>
                    <w:left w:w="0" w:type="dxa"/>
                    <w:bottom w:w="0" w:type="dxa"/>
                    <w:right w:w="0" w:type="dxa"/>
                  </w:tcMar>
                  <w:vAlign w:val="center"/>
                </w:tcPr>
                <w:p w14:paraId="12415E2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58.1</w:t>
                  </w:r>
                </w:p>
              </w:tc>
              <w:tc>
                <w:tcPr>
                  <w:tcW w:w="517" w:type="dxa"/>
                  <w:shd w:val="clear" w:color="auto" w:fill="FFFFFF"/>
                  <w:tcMar>
                    <w:top w:w="0" w:type="dxa"/>
                    <w:left w:w="0" w:type="dxa"/>
                    <w:bottom w:w="0" w:type="dxa"/>
                    <w:right w:w="0" w:type="dxa"/>
                  </w:tcMar>
                  <w:vAlign w:val="center"/>
                </w:tcPr>
                <w:p w14:paraId="5A7B304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58.1</w:t>
                  </w:r>
                </w:p>
              </w:tc>
              <w:tc>
                <w:tcPr>
                  <w:tcW w:w="518" w:type="dxa"/>
                  <w:shd w:val="clear" w:color="auto" w:fill="FFFFFF"/>
                  <w:tcMar>
                    <w:top w:w="0" w:type="dxa"/>
                    <w:left w:w="0" w:type="dxa"/>
                    <w:bottom w:w="0" w:type="dxa"/>
                    <w:right w:w="0" w:type="dxa"/>
                  </w:tcMar>
                  <w:vAlign w:val="center"/>
                </w:tcPr>
                <w:p w14:paraId="69EF7FA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58.1</w:t>
                  </w:r>
                </w:p>
              </w:tc>
              <w:tc>
                <w:tcPr>
                  <w:tcW w:w="449" w:type="dxa"/>
                  <w:vMerge w:val="continue"/>
                  <w:shd w:val="clear" w:color="auto" w:fill="FFFFFF"/>
                  <w:tcMar>
                    <w:top w:w="0" w:type="dxa"/>
                    <w:left w:w="0" w:type="dxa"/>
                    <w:bottom w:w="0" w:type="dxa"/>
                    <w:right w:w="0" w:type="dxa"/>
                  </w:tcMar>
                  <w:vAlign w:val="center"/>
                </w:tcPr>
                <w:p w14:paraId="6EFE472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37196E96">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5ED058A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63AF263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15E68D3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7AD60153">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43</w:t>
                  </w:r>
                </w:p>
              </w:tc>
              <w:tc>
                <w:tcPr>
                  <w:tcW w:w="531" w:type="dxa"/>
                  <w:shd w:val="clear" w:color="auto" w:fill="FFFFFF"/>
                  <w:tcMar>
                    <w:top w:w="0" w:type="dxa"/>
                    <w:left w:w="0" w:type="dxa"/>
                    <w:bottom w:w="0" w:type="dxa"/>
                    <w:right w:w="0" w:type="dxa"/>
                  </w:tcMar>
                  <w:vAlign w:val="center"/>
                </w:tcPr>
                <w:p w14:paraId="3FEC907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43.1</w:t>
                  </w:r>
                </w:p>
              </w:tc>
              <w:tc>
                <w:tcPr>
                  <w:tcW w:w="531" w:type="dxa"/>
                  <w:shd w:val="clear" w:color="auto" w:fill="FFFFFF"/>
                  <w:tcMar>
                    <w:top w:w="0" w:type="dxa"/>
                    <w:left w:w="0" w:type="dxa"/>
                    <w:bottom w:w="0" w:type="dxa"/>
                    <w:right w:w="0" w:type="dxa"/>
                  </w:tcMar>
                  <w:vAlign w:val="center"/>
                </w:tcPr>
                <w:p w14:paraId="228A476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43.1</w:t>
                  </w:r>
                </w:p>
              </w:tc>
              <w:tc>
                <w:tcPr>
                  <w:tcW w:w="532" w:type="dxa"/>
                  <w:shd w:val="clear" w:color="auto" w:fill="FFFFFF"/>
                  <w:tcMar>
                    <w:top w:w="0" w:type="dxa"/>
                    <w:left w:w="0" w:type="dxa"/>
                    <w:bottom w:w="0" w:type="dxa"/>
                    <w:right w:w="0" w:type="dxa"/>
                  </w:tcMar>
                  <w:vAlign w:val="center"/>
                </w:tcPr>
                <w:p w14:paraId="247BB73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43.1</w:t>
                  </w:r>
                </w:p>
              </w:tc>
              <w:tc>
                <w:tcPr>
                  <w:tcW w:w="733" w:type="dxa"/>
                  <w:shd w:val="clear" w:color="auto" w:fill="FFFFFF"/>
                  <w:tcMar>
                    <w:top w:w="0" w:type="dxa"/>
                    <w:left w:w="0" w:type="dxa"/>
                    <w:bottom w:w="0" w:type="dxa"/>
                    <w:right w:w="0" w:type="dxa"/>
                  </w:tcMar>
                  <w:vAlign w:val="center"/>
                </w:tcPr>
                <w:p w14:paraId="11F60DD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tr w14:paraId="385F2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57" w:type="dxa"/>
                  <w:bottom w:w="0" w:type="dxa"/>
                  <w:right w:w="57" w:type="dxa"/>
                </w:tblCellMar>
              </w:tblPrEx>
              <w:trPr>
                <w:trHeight w:val="340" w:hRule="atLeast"/>
                <w:jc w:val="center"/>
              </w:trPr>
              <w:tc>
                <w:tcPr>
                  <w:tcW w:w="398" w:type="dxa"/>
                  <w:shd w:val="clear" w:color="auto" w:fill="FFFFFF"/>
                  <w:tcMar>
                    <w:top w:w="0" w:type="dxa"/>
                    <w:left w:w="0" w:type="dxa"/>
                    <w:bottom w:w="0" w:type="dxa"/>
                    <w:right w:w="0" w:type="dxa"/>
                  </w:tcMar>
                  <w:vAlign w:val="center"/>
                </w:tcPr>
                <w:p w14:paraId="481F32F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2"/>
                      <w:sz w:val="18"/>
                      <w:szCs w:val="18"/>
                      <w:lang w:val="en-US" w:eastAsia="zh-CN" w:bidi="ar-SA"/>
                    </w:rPr>
                  </w:pPr>
                  <w:r>
                    <w:rPr>
                      <w:rFonts w:hint="default" w:ascii="Times New Roman" w:hAnsi="Times New Roman" w:eastAsia="宋体" w:cs="Times New Roman"/>
                      <w:color w:val="auto"/>
                      <w:sz w:val="18"/>
                      <w:szCs w:val="18"/>
                    </w:rPr>
                    <w:t>12</w:t>
                  </w:r>
                </w:p>
              </w:tc>
              <w:tc>
                <w:tcPr>
                  <w:tcW w:w="542" w:type="dxa"/>
                  <w:vMerge w:val="continue"/>
                  <w:shd w:val="clear" w:color="auto" w:fill="FFFFFF"/>
                  <w:tcMar>
                    <w:top w:w="0" w:type="dxa"/>
                    <w:left w:w="0" w:type="dxa"/>
                    <w:bottom w:w="0" w:type="dxa"/>
                    <w:right w:w="0" w:type="dxa"/>
                  </w:tcMar>
                  <w:vAlign w:val="center"/>
                </w:tcPr>
                <w:p w14:paraId="3692D94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p>
              </w:tc>
              <w:tc>
                <w:tcPr>
                  <w:tcW w:w="967" w:type="dxa"/>
                  <w:shd w:val="clear" w:color="auto" w:fill="FFFFFF"/>
                  <w:tcMar>
                    <w:top w:w="0" w:type="dxa"/>
                    <w:left w:w="0" w:type="dxa"/>
                    <w:bottom w:w="0" w:type="dxa"/>
                    <w:right w:w="0" w:type="dxa"/>
                  </w:tcMar>
                  <w:vAlign w:val="center"/>
                </w:tcPr>
                <w:p w14:paraId="7D2AC4B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eastAsia="zh-CN"/>
                    </w:rPr>
                    <w:t>浆泵</w:t>
                  </w:r>
                </w:p>
              </w:tc>
              <w:tc>
                <w:tcPr>
                  <w:tcW w:w="683" w:type="dxa"/>
                  <w:shd w:val="clear" w:color="auto" w:fill="FFFFFF"/>
                  <w:tcMar>
                    <w:top w:w="0" w:type="dxa"/>
                    <w:left w:w="0" w:type="dxa"/>
                    <w:bottom w:w="0" w:type="dxa"/>
                    <w:right w:w="0" w:type="dxa"/>
                  </w:tcMar>
                  <w:vAlign w:val="center"/>
                </w:tcPr>
                <w:p w14:paraId="63BC76C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90/1</w:t>
                  </w:r>
                </w:p>
              </w:tc>
              <w:tc>
                <w:tcPr>
                  <w:tcW w:w="484" w:type="dxa"/>
                  <w:vMerge w:val="continue"/>
                  <w:shd w:val="clear" w:color="auto" w:fill="FFFFFF"/>
                  <w:tcMar>
                    <w:top w:w="0" w:type="dxa"/>
                    <w:left w:w="0" w:type="dxa"/>
                    <w:bottom w:w="0" w:type="dxa"/>
                    <w:right w:w="0" w:type="dxa"/>
                  </w:tcMar>
                  <w:vAlign w:val="center"/>
                </w:tcPr>
                <w:p w14:paraId="26DBAE0D">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kern w:val="0"/>
                      <w:sz w:val="18"/>
                      <w:szCs w:val="18"/>
                      <w:lang w:val="en-US" w:eastAsia="zh-CN" w:bidi="ar"/>
                    </w:rPr>
                  </w:pPr>
                </w:p>
              </w:tc>
              <w:tc>
                <w:tcPr>
                  <w:tcW w:w="471" w:type="dxa"/>
                  <w:shd w:val="clear" w:color="auto" w:fill="FFFFFF"/>
                  <w:tcMar>
                    <w:top w:w="0" w:type="dxa"/>
                    <w:left w:w="0" w:type="dxa"/>
                    <w:bottom w:w="0" w:type="dxa"/>
                    <w:right w:w="0" w:type="dxa"/>
                  </w:tcMar>
                  <w:vAlign w:val="center"/>
                </w:tcPr>
                <w:p w14:paraId="2FDB7FA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-5.7</w:t>
                  </w:r>
                </w:p>
              </w:tc>
              <w:tc>
                <w:tcPr>
                  <w:tcW w:w="546" w:type="dxa"/>
                  <w:shd w:val="clear" w:color="auto" w:fill="FFFFFF"/>
                  <w:tcMar>
                    <w:top w:w="0" w:type="dxa"/>
                    <w:left w:w="0" w:type="dxa"/>
                    <w:bottom w:w="0" w:type="dxa"/>
                    <w:right w:w="0" w:type="dxa"/>
                  </w:tcMar>
                  <w:vAlign w:val="center"/>
                </w:tcPr>
                <w:p w14:paraId="3C9AC07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-10.5</w:t>
                  </w:r>
                </w:p>
              </w:tc>
              <w:tc>
                <w:tcPr>
                  <w:tcW w:w="571" w:type="dxa"/>
                  <w:shd w:val="clear" w:color="auto" w:fill="FFFFFF"/>
                  <w:tcMar>
                    <w:top w:w="0" w:type="dxa"/>
                    <w:left w:w="0" w:type="dxa"/>
                    <w:bottom w:w="0" w:type="dxa"/>
                    <w:right w:w="0" w:type="dxa"/>
                  </w:tcMar>
                  <w:vAlign w:val="center"/>
                </w:tcPr>
                <w:p w14:paraId="0F2E191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5</w:t>
                  </w:r>
                </w:p>
              </w:tc>
              <w:tc>
                <w:tcPr>
                  <w:tcW w:w="523" w:type="dxa"/>
                  <w:shd w:val="clear" w:color="auto" w:fill="FFFFFF"/>
                  <w:tcMar>
                    <w:top w:w="0" w:type="dxa"/>
                    <w:left w:w="0" w:type="dxa"/>
                    <w:bottom w:w="0" w:type="dxa"/>
                    <w:right w:w="0" w:type="dxa"/>
                  </w:tcMar>
                  <w:vAlign w:val="center"/>
                </w:tcPr>
                <w:p w14:paraId="2F933AFC">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32.3</w:t>
                  </w:r>
                </w:p>
              </w:tc>
              <w:tc>
                <w:tcPr>
                  <w:tcW w:w="523" w:type="dxa"/>
                  <w:shd w:val="clear" w:color="auto" w:fill="FFFFFF"/>
                  <w:tcMar>
                    <w:top w:w="0" w:type="dxa"/>
                    <w:left w:w="0" w:type="dxa"/>
                    <w:bottom w:w="0" w:type="dxa"/>
                    <w:right w:w="0" w:type="dxa"/>
                  </w:tcMar>
                  <w:vAlign w:val="center"/>
                </w:tcPr>
                <w:p w14:paraId="058352F7">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5.9</w:t>
                  </w:r>
                </w:p>
              </w:tc>
              <w:tc>
                <w:tcPr>
                  <w:tcW w:w="523" w:type="dxa"/>
                  <w:shd w:val="clear" w:color="auto" w:fill="FFFFFF"/>
                  <w:tcMar>
                    <w:top w:w="0" w:type="dxa"/>
                    <w:left w:w="0" w:type="dxa"/>
                    <w:bottom w:w="0" w:type="dxa"/>
                    <w:right w:w="0" w:type="dxa"/>
                  </w:tcMar>
                  <w:vAlign w:val="center"/>
                </w:tcPr>
                <w:p w14:paraId="7916C4D0">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20.9</w:t>
                  </w:r>
                </w:p>
              </w:tc>
              <w:tc>
                <w:tcPr>
                  <w:tcW w:w="524" w:type="dxa"/>
                  <w:shd w:val="clear" w:color="auto" w:fill="FFFFFF"/>
                  <w:tcMar>
                    <w:top w:w="0" w:type="dxa"/>
                    <w:left w:w="0" w:type="dxa"/>
                    <w:bottom w:w="0" w:type="dxa"/>
                    <w:right w:w="0" w:type="dxa"/>
                  </w:tcMar>
                  <w:vAlign w:val="center"/>
                </w:tcPr>
                <w:p w14:paraId="014A9AE3">
                  <w:pPr>
                    <w:keepNext w:val="0"/>
                    <w:keepLines w:val="0"/>
                    <w:widowControl/>
                    <w:suppressLineNumbers w:val="0"/>
                    <w:jc w:val="center"/>
                    <w:textAlignment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i w:val="0"/>
                      <w:iCs w:val="0"/>
                      <w:color w:val="auto"/>
                      <w:kern w:val="0"/>
                      <w:sz w:val="18"/>
                      <w:szCs w:val="18"/>
                      <w:u w:val="none"/>
                      <w:lang w:val="en-US" w:eastAsia="zh-CN" w:bidi="ar"/>
                    </w:rPr>
                    <w:t>26.9</w:t>
                  </w:r>
                </w:p>
              </w:tc>
              <w:tc>
                <w:tcPr>
                  <w:tcW w:w="517" w:type="dxa"/>
                  <w:shd w:val="clear" w:color="auto" w:fill="FFFFFF"/>
                  <w:tcMar>
                    <w:top w:w="0" w:type="dxa"/>
                    <w:left w:w="0" w:type="dxa"/>
                    <w:bottom w:w="0" w:type="dxa"/>
                    <w:right w:w="0" w:type="dxa"/>
                  </w:tcMar>
                  <w:vAlign w:val="center"/>
                </w:tcPr>
                <w:p w14:paraId="5C96BA8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w:t>
                  </w:r>
                  <w:r>
                    <w:rPr>
                      <w:rFonts w:hint="default" w:ascii="Times New Roman" w:hAnsi="Times New Roman" w:eastAsia="宋体" w:cs="Times New Roman"/>
                      <w:color w:val="auto"/>
                      <w:sz w:val="18"/>
                      <w:szCs w:val="18"/>
                    </w:rPr>
                    <w:t>9.7</w:t>
                  </w:r>
                </w:p>
              </w:tc>
              <w:tc>
                <w:tcPr>
                  <w:tcW w:w="517" w:type="dxa"/>
                  <w:shd w:val="clear" w:color="auto" w:fill="FFFFFF"/>
                  <w:tcMar>
                    <w:top w:w="0" w:type="dxa"/>
                    <w:left w:w="0" w:type="dxa"/>
                    <w:bottom w:w="0" w:type="dxa"/>
                    <w:right w:w="0" w:type="dxa"/>
                  </w:tcMar>
                  <w:vAlign w:val="center"/>
                </w:tcPr>
                <w:p w14:paraId="4604FEA7">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eastAsia"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w:t>
                  </w:r>
                  <w:r>
                    <w:rPr>
                      <w:rFonts w:hint="default" w:ascii="Times New Roman" w:hAnsi="Times New Roman" w:eastAsia="宋体" w:cs="Times New Roman"/>
                      <w:color w:val="auto"/>
                      <w:sz w:val="18"/>
                      <w:szCs w:val="18"/>
                    </w:rPr>
                    <w:t>9.7</w:t>
                  </w:r>
                </w:p>
              </w:tc>
              <w:tc>
                <w:tcPr>
                  <w:tcW w:w="517" w:type="dxa"/>
                  <w:shd w:val="clear" w:color="auto" w:fill="FFFFFF"/>
                  <w:tcMar>
                    <w:top w:w="0" w:type="dxa"/>
                    <w:left w:w="0" w:type="dxa"/>
                    <w:bottom w:w="0" w:type="dxa"/>
                    <w:right w:w="0" w:type="dxa"/>
                  </w:tcMar>
                  <w:vAlign w:val="center"/>
                </w:tcPr>
                <w:p w14:paraId="63CD8B85">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w:t>
                  </w:r>
                  <w:r>
                    <w:rPr>
                      <w:rFonts w:hint="default" w:ascii="Times New Roman" w:hAnsi="Times New Roman" w:eastAsia="宋体" w:cs="Times New Roman"/>
                      <w:color w:val="auto"/>
                      <w:sz w:val="18"/>
                      <w:szCs w:val="18"/>
                    </w:rPr>
                    <w:t>9.7</w:t>
                  </w:r>
                </w:p>
              </w:tc>
              <w:tc>
                <w:tcPr>
                  <w:tcW w:w="518" w:type="dxa"/>
                  <w:shd w:val="clear" w:color="auto" w:fill="FFFFFF"/>
                  <w:tcMar>
                    <w:top w:w="0" w:type="dxa"/>
                    <w:left w:w="0" w:type="dxa"/>
                    <w:bottom w:w="0" w:type="dxa"/>
                    <w:right w:w="0" w:type="dxa"/>
                  </w:tcMar>
                  <w:vAlign w:val="center"/>
                </w:tcPr>
                <w:p w14:paraId="05B727F9">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cs="Times New Roman"/>
                      <w:color w:val="auto"/>
                      <w:sz w:val="18"/>
                      <w:szCs w:val="18"/>
                      <w:lang w:val="en-US" w:eastAsia="zh-CN"/>
                    </w:rPr>
                    <w:t>6</w:t>
                  </w:r>
                  <w:r>
                    <w:rPr>
                      <w:rFonts w:hint="default" w:ascii="Times New Roman" w:hAnsi="Times New Roman" w:eastAsia="宋体" w:cs="Times New Roman"/>
                      <w:color w:val="auto"/>
                      <w:sz w:val="18"/>
                      <w:szCs w:val="18"/>
                    </w:rPr>
                    <w:t>9.7</w:t>
                  </w:r>
                </w:p>
              </w:tc>
              <w:tc>
                <w:tcPr>
                  <w:tcW w:w="449" w:type="dxa"/>
                  <w:vMerge w:val="continue"/>
                  <w:shd w:val="clear" w:color="auto" w:fill="FFFFFF"/>
                  <w:tcMar>
                    <w:top w:w="0" w:type="dxa"/>
                    <w:left w:w="0" w:type="dxa"/>
                    <w:bottom w:w="0" w:type="dxa"/>
                    <w:right w:w="0" w:type="dxa"/>
                  </w:tcMar>
                  <w:vAlign w:val="center"/>
                </w:tcPr>
                <w:p w14:paraId="3409FA9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p>
              </w:tc>
              <w:tc>
                <w:tcPr>
                  <w:tcW w:w="498" w:type="dxa"/>
                  <w:shd w:val="clear" w:color="auto" w:fill="FFFFFF"/>
                  <w:tcMar>
                    <w:top w:w="0" w:type="dxa"/>
                    <w:left w:w="0" w:type="dxa"/>
                    <w:bottom w:w="0" w:type="dxa"/>
                    <w:right w:w="0" w:type="dxa"/>
                  </w:tcMar>
                  <w:vAlign w:val="center"/>
                </w:tcPr>
                <w:p w14:paraId="1FAE553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4CBE55B0">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eastAsia"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02DA3BEF">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498" w:type="dxa"/>
                  <w:shd w:val="clear" w:color="auto" w:fill="FFFFFF"/>
                  <w:tcMar>
                    <w:top w:w="0" w:type="dxa"/>
                    <w:left w:w="0" w:type="dxa"/>
                    <w:bottom w:w="0" w:type="dxa"/>
                    <w:right w:w="0" w:type="dxa"/>
                  </w:tcMar>
                  <w:vAlign w:val="center"/>
                </w:tcPr>
                <w:p w14:paraId="4B58A1B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15</w:t>
                  </w:r>
                </w:p>
              </w:tc>
              <w:tc>
                <w:tcPr>
                  <w:tcW w:w="531" w:type="dxa"/>
                  <w:shd w:val="clear" w:color="auto" w:fill="FFFFFF"/>
                  <w:tcMar>
                    <w:top w:w="0" w:type="dxa"/>
                    <w:left w:w="0" w:type="dxa"/>
                    <w:bottom w:w="0" w:type="dxa"/>
                    <w:right w:w="0" w:type="dxa"/>
                  </w:tcMar>
                  <w:vAlign w:val="center"/>
                </w:tcPr>
                <w:p w14:paraId="07F08BB8">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54.7</w:t>
                  </w:r>
                </w:p>
              </w:tc>
              <w:tc>
                <w:tcPr>
                  <w:tcW w:w="531" w:type="dxa"/>
                  <w:shd w:val="clear" w:color="auto" w:fill="FFFFFF"/>
                  <w:tcMar>
                    <w:top w:w="0" w:type="dxa"/>
                    <w:left w:w="0" w:type="dxa"/>
                    <w:bottom w:w="0" w:type="dxa"/>
                    <w:right w:w="0" w:type="dxa"/>
                  </w:tcMar>
                  <w:vAlign w:val="center"/>
                </w:tcPr>
                <w:p w14:paraId="23DC398E">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54.7</w:t>
                  </w:r>
                </w:p>
              </w:tc>
              <w:tc>
                <w:tcPr>
                  <w:tcW w:w="531" w:type="dxa"/>
                  <w:shd w:val="clear" w:color="auto" w:fill="FFFFFF"/>
                  <w:tcMar>
                    <w:top w:w="0" w:type="dxa"/>
                    <w:left w:w="0" w:type="dxa"/>
                    <w:bottom w:w="0" w:type="dxa"/>
                    <w:right w:w="0" w:type="dxa"/>
                  </w:tcMar>
                  <w:vAlign w:val="center"/>
                </w:tcPr>
                <w:p w14:paraId="3D9F58DB">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54.7</w:t>
                  </w:r>
                </w:p>
              </w:tc>
              <w:tc>
                <w:tcPr>
                  <w:tcW w:w="532" w:type="dxa"/>
                  <w:shd w:val="clear" w:color="auto" w:fill="FFFFFF"/>
                  <w:tcMar>
                    <w:top w:w="0" w:type="dxa"/>
                    <w:left w:w="0" w:type="dxa"/>
                    <w:bottom w:w="0" w:type="dxa"/>
                    <w:right w:w="0" w:type="dxa"/>
                  </w:tcMar>
                  <w:vAlign w:val="center"/>
                </w:tcPr>
                <w:p w14:paraId="6075ADAC">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 w:val="18"/>
                      <w:szCs w:val="18"/>
                      <w:lang w:val="en-US" w:eastAsia="zh-CN"/>
                    </w:rPr>
                    <w:t>54.7</w:t>
                  </w:r>
                </w:p>
              </w:tc>
              <w:tc>
                <w:tcPr>
                  <w:tcW w:w="733" w:type="dxa"/>
                  <w:shd w:val="clear" w:color="auto" w:fill="FFFFFF"/>
                  <w:tcMar>
                    <w:top w:w="0" w:type="dxa"/>
                    <w:left w:w="0" w:type="dxa"/>
                    <w:bottom w:w="0" w:type="dxa"/>
                    <w:right w:w="0" w:type="dxa"/>
                  </w:tcMar>
                  <w:vAlign w:val="center"/>
                </w:tcPr>
                <w:p w14:paraId="6D4E857A">
                  <w:pPr>
                    <w:keepNext w:val="0"/>
                    <w:keepLines w:val="0"/>
                    <w:pageBreakBefore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1</w:t>
                  </w:r>
                </w:p>
              </w:tc>
            </w:tr>
            <w:bookmarkEnd w:id="23"/>
          </w:tbl>
          <w:p w14:paraId="0FF0120A">
            <w:pPr>
              <w:pStyle w:val="181"/>
              <w:wordWrap/>
              <w:ind w:firstLine="480"/>
              <w:rPr>
                <w:color w:val="auto"/>
              </w:rPr>
            </w:pPr>
            <w:r>
              <w:rPr>
                <w:rFonts w:hint="eastAsia"/>
                <w:bCs/>
                <w:color w:val="auto"/>
                <w:sz w:val="18"/>
                <w:szCs w:val="13"/>
              </w:rPr>
              <w:t>表中坐标以</w:t>
            </w:r>
            <w:r>
              <w:rPr>
                <w:rFonts w:hint="eastAsia"/>
                <w:bCs/>
                <w:color w:val="auto"/>
                <w:sz w:val="18"/>
                <w:szCs w:val="13"/>
                <w:lang w:eastAsia="zh-CN"/>
              </w:rPr>
              <w:t>数控跳汰洗选车间</w:t>
            </w:r>
            <w:r>
              <w:rPr>
                <w:rFonts w:hint="eastAsia"/>
                <w:bCs/>
                <w:color w:val="auto"/>
                <w:sz w:val="18"/>
                <w:szCs w:val="13"/>
              </w:rPr>
              <w:t>中心（</w:t>
            </w:r>
            <w:r>
              <w:rPr>
                <w:rFonts w:hint="eastAsia"/>
                <w:bCs/>
                <w:color w:val="auto"/>
                <w:sz w:val="18"/>
                <w:szCs w:val="13"/>
                <w:lang w:eastAsia="zh-CN"/>
              </w:rPr>
              <w:t>116.830994°，32.611712°</w:t>
            </w:r>
            <w:r>
              <w:rPr>
                <w:rFonts w:hint="eastAsia"/>
                <w:bCs/>
                <w:color w:val="auto"/>
                <w:sz w:val="18"/>
                <w:szCs w:val="13"/>
              </w:rPr>
              <w:t>）为坐标原点，正东向为X轴正方向，正北向为Y轴正方向。</w:t>
            </w:r>
          </w:p>
        </w:tc>
      </w:tr>
    </w:tbl>
    <w:p w14:paraId="522D4DCB">
      <w:pPr>
        <w:widowControl/>
        <w:spacing w:before="120" w:beforeLines="50" w:after="0" w:line="360" w:lineRule="auto"/>
        <w:outlineLvl w:val="0"/>
        <w:rPr>
          <w:color w:val="auto"/>
          <w:sz w:val="28"/>
          <w:szCs w:val="28"/>
        </w:rPr>
        <w:sectPr>
          <w:headerReference r:id="rId16" w:type="default"/>
          <w:pgSz w:w="16838" w:h="11906" w:orient="landscape"/>
          <w:pgMar w:top="567" w:right="851" w:bottom="567" w:left="1361" w:header="567" w:footer="283" w:gutter="0"/>
          <w:pgNumType w:fmt="decimal"/>
          <w:cols w:space="720" w:num="1"/>
          <w:docGrid w:linePitch="326" w:charSpace="0"/>
        </w:sectPr>
      </w:pPr>
    </w:p>
    <w:tbl>
      <w:tblPr>
        <w:tblStyle w:val="53"/>
        <w:tblpPr w:leftFromText="180" w:rightFromText="180" w:vertAnchor="text" w:tblpXSpec="center" w:tblpY="1"/>
        <w:tblOverlap w:val="never"/>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62"/>
        <w:gridCol w:w="8744"/>
      </w:tblGrid>
      <w:tr w14:paraId="1529D8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82" w:hRule="atLeast"/>
        </w:trPr>
        <w:tc>
          <w:tcPr>
            <w:tcW w:w="588" w:type="dxa"/>
            <w:tcMar>
              <w:left w:w="28" w:type="dxa"/>
              <w:right w:w="28" w:type="dxa"/>
            </w:tcMar>
            <w:vAlign w:val="center"/>
          </w:tcPr>
          <w:p w14:paraId="2A4F9BC2">
            <w:pPr>
              <w:adjustRightInd w:val="0"/>
              <w:snapToGrid w:val="0"/>
              <w:spacing w:after="0"/>
              <w:jc w:val="center"/>
              <w:rPr>
                <w:rFonts w:ascii="Calibri" w:hAnsi="Calibri"/>
                <w:color w:val="auto"/>
                <w:kern w:val="2"/>
                <w:sz w:val="21"/>
                <w:szCs w:val="21"/>
              </w:rPr>
            </w:pPr>
            <w:r>
              <w:rPr>
                <w:rFonts w:ascii="Calibri" w:hAnsi="Calibri"/>
                <w:color w:val="auto"/>
                <w:kern w:val="2"/>
                <w:sz w:val="21"/>
                <w:szCs w:val="21"/>
              </w:rPr>
              <w:t>运营</w:t>
            </w:r>
          </w:p>
          <w:p w14:paraId="382432BA">
            <w:pPr>
              <w:adjustRightInd w:val="0"/>
              <w:snapToGrid w:val="0"/>
              <w:spacing w:after="0"/>
              <w:jc w:val="center"/>
              <w:rPr>
                <w:rFonts w:ascii="Calibri" w:hAnsi="Calibri"/>
                <w:color w:val="auto"/>
                <w:kern w:val="2"/>
                <w:sz w:val="21"/>
                <w:szCs w:val="21"/>
              </w:rPr>
            </w:pPr>
            <w:r>
              <w:rPr>
                <w:rFonts w:ascii="Calibri" w:hAnsi="Calibri"/>
                <w:color w:val="auto"/>
                <w:kern w:val="2"/>
                <w:sz w:val="21"/>
                <w:szCs w:val="21"/>
              </w:rPr>
              <w:t>期环</w:t>
            </w:r>
          </w:p>
          <w:p w14:paraId="0BF216CB">
            <w:pPr>
              <w:adjustRightInd w:val="0"/>
              <w:snapToGrid w:val="0"/>
              <w:spacing w:after="0"/>
              <w:jc w:val="center"/>
              <w:rPr>
                <w:rFonts w:ascii="Calibri" w:hAnsi="Calibri"/>
                <w:color w:val="auto"/>
                <w:kern w:val="2"/>
                <w:sz w:val="21"/>
                <w:szCs w:val="21"/>
              </w:rPr>
            </w:pPr>
            <w:r>
              <w:rPr>
                <w:rFonts w:ascii="Calibri" w:hAnsi="Calibri"/>
                <w:color w:val="auto"/>
                <w:kern w:val="2"/>
                <w:sz w:val="21"/>
                <w:szCs w:val="21"/>
              </w:rPr>
              <w:t>境影</w:t>
            </w:r>
          </w:p>
          <w:p w14:paraId="41D93F56">
            <w:pPr>
              <w:adjustRightInd w:val="0"/>
              <w:snapToGrid w:val="0"/>
              <w:spacing w:after="0"/>
              <w:jc w:val="center"/>
              <w:rPr>
                <w:rFonts w:ascii="Calibri" w:hAnsi="Calibri"/>
                <w:color w:val="auto"/>
                <w:kern w:val="2"/>
                <w:sz w:val="21"/>
                <w:szCs w:val="21"/>
              </w:rPr>
            </w:pPr>
            <w:r>
              <w:rPr>
                <w:rFonts w:ascii="Calibri" w:hAnsi="Calibri"/>
                <w:color w:val="auto"/>
                <w:kern w:val="2"/>
                <w:sz w:val="21"/>
                <w:szCs w:val="21"/>
              </w:rPr>
              <w:t>响和</w:t>
            </w:r>
          </w:p>
          <w:p w14:paraId="6AA743ED">
            <w:pPr>
              <w:adjustRightInd w:val="0"/>
              <w:snapToGrid w:val="0"/>
              <w:spacing w:after="0"/>
              <w:jc w:val="center"/>
              <w:rPr>
                <w:rFonts w:ascii="Calibri" w:hAnsi="Calibri"/>
                <w:color w:val="auto"/>
                <w:kern w:val="2"/>
                <w:sz w:val="21"/>
                <w:szCs w:val="21"/>
              </w:rPr>
            </w:pPr>
            <w:r>
              <w:rPr>
                <w:rFonts w:ascii="Calibri" w:hAnsi="Calibri"/>
                <w:color w:val="auto"/>
                <w:kern w:val="2"/>
                <w:sz w:val="21"/>
                <w:szCs w:val="21"/>
              </w:rPr>
              <w:t>保护</w:t>
            </w:r>
          </w:p>
          <w:p w14:paraId="36DC4387">
            <w:pPr>
              <w:adjustRightInd w:val="0"/>
              <w:snapToGrid w:val="0"/>
              <w:spacing w:after="0"/>
              <w:jc w:val="center"/>
              <w:rPr>
                <w:rFonts w:ascii="Calibri" w:hAnsi="Calibri"/>
                <w:b/>
                <w:bCs/>
                <w:color w:val="auto"/>
                <w:kern w:val="2"/>
                <w:sz w:val="21"/>
                <w:szCs w:val="21"/>
              </w:rPr>
            </w:pPr>
            <w:r>
              <w:rPr>
                <w:rFonts w:ascii="Calibri" w:hAnsi="Calibri"/>
                <w:color w:val="auto"/>
                <w:kern w:val="2"/>
                <w:sz w:val="21"/>
                <w:szCs w:val="21"/>
              </w:rPr>
              <w:t>措施</w:t>
            </w:r>
          </w:p>
        </w:tc>
        <w:tc>
          <w:tcPr>
            <w:tcW w:w="10884" w:type="dxa"/>
            <w:shd w:val="clear" w:color="auto" w:fill="auto"/>
            <w:vAlign w:val="center"/>
          </w:tcPr>
          <w:p w14:paraId="444931E5">
            <w:pPr>
              <w:pStyle w:val="771"/>
              <w:bidi w:val="0"/>
              <w:rPr>
                <w:b/>
                <w:bCs/>
                <w:color w:val="auto"/>
                <w:shd w:val="clear" w:color="auto" w:fill="FFFFFF"/>
              </w:rPr>
            </w:pPr>
            <w:r>
              <w:rPr>
                <w:rFonts w:eastAsiaTheme="minorEastAsia"/>
                <w:b/>
                <w:bCs/>
                <w:color w:val="auto"/>
                <w:shd w:val="clear" w:color="auto" w:fill="FFFFFF"/>
              </w:rPr>
              <w:t>4.4.2</w:t>
            </w:r>
            <w:r>
              <w:rPr>
                <w:rFonts w:hint="eastAsia"/>
                <w:b/>
                <w:bCs/>
                <w:color w:val="auto"/>
                <w:shd w:val="clear" w:color="auto" w:fill="FFFFFF"/>
              </w:rPr>
              <w:t>项目噪声预测情况</w:t>
            </w:r>
          </w:p>
          <w:p w14:paraId="1E3CD9D0">
            <w:pPr>
              <w:pStyle w:val="771"/>
              <w:bidi w:val="0"/>
              <w:rPr>
                <w:color w:val="auto"/>
              </w:rPr>
            </w:pPr>
            <w:r>
              <w:rPr>
                <w:rFonts w:hint="eastAsia"/>
                <w:color w:val="auto"/>
              </w:rPr>
              <w:t>1、</w:t>
            </w:r>
            <w:r>
              <w:rPr>
                <w:color w:val="auto"/>
              </w:rPr>
              <w:t>预测模式</w:t>
            </w:r>
          </w:p>
          <w:p w14:paraId="6CC94644">
            <w:pPr>
              <w:pStyle w:val="771"/>
              <w:bidi w:val="0"/>
              <w:rPr>
                <w:color w:val="auto"/>
              </w:rPr>
            </w:pPr>
            <w:r>
              <w:rPr>
                <w:color w:val="auto"/>
              </w:rPr>
              <w:t>根据项目建设内容及《环境影响评价技术导则—声环境》（HJ2.4-2021）的要求，项目环评</w:t>
            </w:r>
            <w:r>
              <w:rPr>
                <w:rFonts w:hint="eastAsia"/>
                <w:color w:val="auto"/>
                <w:lang w:eastAsia="zh-CN"/>
              </w:rPr>
              <w:t>采</w:t>
            </w:r>
            <w:r>
              <w:rPr>
                <w:color w:val="auto"/>
              </w:rPr>
              <w:t>用环安噪声环境影响评价系统。该软件计算工业噪声时采用的模型为《环境影响评价技术导则 声环境》</w:t>
            </w:r>
            <w:r>
              <w:rPr>
                <w:rFonts w:hint="eastAsia"/>
                <w:color w:val="auto"/>
                <w:lang w:eastAsia="zh-CN"/>
              </w:rPr>
              <w:t>（</w:t>
            </w:r>
            <w:r>
              <w:rPr>
                <w:color w:val="auto"/>
              </w:rPr>
              <w:t>HJ2.4.2021</w:t>
            </w:r>
            <w:r>
              <w:rPr>
                <w:rFonts w:hint="eastAsia"/>
                <w:color w:val="auto"/>
                <w:lang w:eastAsia="zh-CN"/>
              </w:rPr>
              <w:t>）</w:t>
            </w:r>
            <w:r>
              <w:rPr>
                <w:color w:val="auto"/>
              </w:rPr>
              <w:t>附录B（规范性附录）中</w:t>
            </w:r>
            <w:r>
              <w:rPr>
                <w:rFonts w:hint="eastAsia"/>
                <w:color w:val="auto"/>
                <w:lang w:eastAsia="zh-CN"/>
              </w:rPr>
              <w:t>“</w:t>
            </w:r>
            <w:r>
              <w:rPr>
                <w:color w:val="auto"/>
              </w:rPr>
              <w:t>B.1工业噪声预测计算模型</w:t>
            </w:r>
            <w:r>
              <w:rPr>
                <w:rFonts w:hint="eastAsia"/>
                <w:color w:val="auto"/>
                <w:lang w:eastAsia="zh-CN"/>
              </w:rPr>
              <w:t>”</w:t>
            </w:r>
            <w:r>
              <w:rPr>
                <w:color w:val="auto"/>
              </w:rPr>
              <w:t>。</w:t>
            </w:r>
          </w:p>
          <w:p w14:paraId="173F5BC7">
            <w:pPr>
              <w:pStyle w:val="771"/>
              <w:bidi w:val="0"/>
              <w:rPr>
                <w:color w:val="auto"/>
              </w:rPr>
            </w:pPr>
            <w:r>
              <w:rPr>
                <w:color w:val="auto"/>
              </w:rPr>
              <w:t>声环境影响预测时，一般采用声源的倍频带声功率级，A声功率级或靠近声源某一位置的倍频带声压级，A声级来预测计算距声源不同距离的声级。分别计算室外和室内两种工业声源。</w:t>
            </w:r>
          </w:p>
          <w:p w14:paraId="542BDC27">
            <w:pPr>
              <w:pStyle w:val="771"/>
              <w:bidi w:val="0"/>
              <w:rPr>
                <w:color w:val="auto"/>
              </w:rPr>
            </w:pPr>
            <w:r>
              <w:rPr>
                <w:rFonts w:hint="eastAsia"/>
                <w:color w:val="auto"/>
              </w:rPr>
              <w:t>（1）</w:t>
            </w:r>
            <w:r>
              <w:rPr>
                <w:color w:val="auto"/>
              </w:rPr>
              <w:t>室内声源等效室外声源声功率级计算方法</w:t>
            </w:r>
          </w:p>
          <w:p w14:paraId="79F96BF8">
            <w:pPr>
              <w:pStyle w:val="771"/>
              <w:bidi w:val="0"/>
              <w:rPr>
                <w:color w:val="auto"/>
              </w:rPr>
            </w:pPr>
            <w:r>
              <w:rPr>
                <w:rFonts w:hint="eastAsia"/>
                <w:color w:val="auto"/>
                <w:lang w:eastAsia="zh-CN"/>
              </w:rPr>
              <w:t>①</w:t>
            </w:r>
            <w:r>
              <w:rPr>
                <w:color w:val="auto"/>
              </w:rPr>
              <w:t>如图1所示，声源位于室内，室内声源可采用等效室外声源声功率级法进行计算。设靠近开口处（或窗户）室内、室外某倍频带的声压级分别为Lp1和Lp2。若声源所在室内声场为近似扩散声场，计算某一室内声源靠近围护结构处产生的倍频带声压级：</w:t>
            </w:r>
          </w:p>
          <w:p w14:paraId="5BFF3DD7">
            <w:pPr>
              <w:autoSpaceDE w:val="0"/>
              <w:autoSpaceDN w:val="0"/>
              <w:adjustRightInd w:val="0"/>
              <w:spacing w:after="0" w:line="360" w:lineRule="auto"/>
              <w:ind w:firstLine="2"/>
              <w:jc w:val="center"/>
              <w:rPr>
                <w:rFonts w:ascii="Calibri" w:hAnsi="Calibri"/>
                <w:color w:val="auto"/>
                <w:kern w:val="2"/>
                <w:sz w:val="21"/>
                <w:szCs w:val="21"/>
              </w:rPr>
            </w:pPr>
            <w:r>
              <w:rPr>
                <w:rFonts w:ascii="Calibri" w:hAnsi="Calibri"/>
                <w:color w:val="auto"/>
                <w:kern w:val="2"/>
                <w:sz w:val="21"/>
                <w:szCs w:val="21"/>
              </w:rPr>
              <w:drawing>
                <wp:inline distT="0" distB="0" distL="0" distR="0">
                  <wp:extent cx="2671445" cy="1209040"/>
                  <wp:effectExtent l="0" t="0" r="0" b="0"/>
                  <wp:docPr id="127677628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776284" name="图片 12"/>
                          <pic:cNvPicPr>
                            <a:picLocks noChangeAspect="1" noChangeArrowheads="1"/>
                          </pic:cNvPicPr>
                        </pic:nvPicPr>
                        <pic:blipFill>
                          <a:blip r:embed="rId30">
                            <a:extLst>
                              <a:ext uri="{28A0092B-C50C-407E-A947-70E740481C1C}">
                                <a14:useLocalDpi xmlns:a14="http://schemas.microsoft.com/office/drawing/2010/main" val="0"/>
                              </a:ext>
                            </a:extLst>
                          </a:blip>
                          <a:srcRect t="7907" b="6047"/>
                          <a:stretch>
                            <a:fillRect/>
                          </a:stretch>
                        </pic:blipFill>
                        <pic:spPr>
                          <a:xfrm>
                            <a:off x="0" y="0"/>
                            <a:ext cx="2746900" cy="1243635"/>
                          </a:xfrm>
                          <a:prstGeom prst="rect">
                            <a:avLst/>
                          </a:prstGeom>
                          <a:noFill/>
                          <a:ln>
                            <a:noFill/>
                          </a:ln>
                        </pic:spPr>
                      </pic:pic>
                    </a:graphicData>
                  </a:graphic>
                </wp:inline>
              </w:drawing>
            </w:r>
          </w:p>
          <w:p w14:paraId="157518D0">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ascii="Calibri" w:hAnsi="Calibri"/>
                <w:b/>
                <w:bCs/>
                <w:color w:val="auto"/>
                <w:kern w:val="2"/>
                <w:sz w:val="21"/>
                <w:szCs w:val="21"/>
              </w:rPr>
            </w:pPr>
            <w:r>
              <w:rPr>
                <w:color w:val="auto"/>
              </w:rPr>
              <w:t xml:space="preserve">图 </w:t>
            </w:r>
            <w:r>
              <w:rPr>
                <w:rFonts w:hint="eastAsia"/>
                <w:color w:val="auto"/>
                <w:lang w:val="en-US" w:eastAsia="zh-CN"/>
              </w:rPr>
              <w:t>4</w:t>
            </w:r>
            <w:r>
              <w:rPr>
                <w:rFonts w:hint="eastAsia"/>
                <w:color w:val="auto"/>
                <w:lang w:eastAsia="zh-CN"/>
              </w:rPr>
              <w:t>-</w:t>
            </w:r>
            <w:r>
              <w:rPr>
                <w:color w:val="auto"/>
              </w:rPr>
              <w:fldChar w:fldCharType="begin"/>
            </w:r>
            <w:r>
              <w:rPr>
                <w:color w:val="auto"/>
              </w:rPr>
              <w:instrText xml:space="preserve"> SEQ 图 \* ARABIC \s 1 </w:instrText>
            </w:r>
            <w:r>
              <w:rPr>
                <w:color w:val="auto"/>
              </w:rPr>
              <w:fldChar w:fldCharType="separate"/>
            </w:r>
            <w:r>
              <w:rPr>
                <w:color w:val="auto"/>
              </w:rPr>
              <w:t>1</w:t>
            </w:r>
            <w:r>
              <w:rPr>
                <w:color w:val="auto"/>
              </w:rPr>
              <w:fldChar w:fldCharType="end"/>
            </w:r>
            <w:r>
              <w:rPr>
                <w:rFonts w:hint="eastAsia"/>
                <w:color w:val="auto"/>
                <w:lang w:val="en-US" w:eastAsia="zh-CN"/>
              </w:rPr>
              <w:t xml:space="preserve"> </w:t>
            </w:r>
            <w:r>
              <w:rPr>
                <w:rStyle w:val="729"/>
                <w:b/>
                <w:color w:val="auto"/>
              </w:rPr>
              <w:t>室内声源等效为室外声源图</w:t>
            </w:r>
            <w:r>
              <w:rPr>
                <w:rFonts w:ascii="Calibri" w:hAnsi="Calibri"/>
                <w:b/>
                <w:bCs/>
                <w:color w:val="auto"/>
                <w:kern w:val="2"/>
                <w:sz w:val="21"/>
                <w:szCs w:val="21"/>
              </w:rPr>
              <w:t>例</w:t>
            </w:r>
          </w:p>
          <w:p w14:paraId="3D25F8E5">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ascii="Calibri" w:hAnsi="Calibri"/>
                <w:bCs/>
                <w:color w:val="auto"/>
                <w:kern w:val="2"/>
                <w:sz w:val="21"/>
                <w:szCs w:val="21"/>
              </w:rPr>
            </w:pPr>
            <w:r>
              <w:rPr>
                <w:rStyle w:val="729"/>
                <w:b w:val="0"/>
                <w:color w:val="auto"/>
              </w:rPr>
              <w:pict>
                <v:shape id="_x0000_i1025" o:spt="75" type="#_x0000_t75" style="height:34pt;width:135.15pt;" filled="f" o:preferrelative="t" stroked="f" coordsize="21600,21600">
                  <v:path/>
                  <v:fill on="f" focussize="0,0"/>
                  <v:stroke on="f"/>
                  <v:imagedata r:id="rId31" o:title=""/>
                  <o:lock v:ext="edit" aspectratio="t"/>
                  <w10:wrap type="none"/>
                  <w10:anchorlock/>
                </v:shape>
              </w:pict>
            </w:r>
          </w:p>
          <w:p w14:paraId="7A4FED6B">
            <w:pPr>
              <w:pStyle w:val="181"/>
              <w:wordWrap/>
              <w:ind w:firstLine="480"/>
              <w:rPr>
                <w:bCs/>
                <w:color w:val="auto"/>
                <w:shd w:val="clear" w:color="auto" w:fill="FFFFFF"/>
              </w:rPr>
            </w:pPr>
            <w:r>
              <w:rPr>
                <w:bCs/>
                <w:color w:val="auto"/>
                <w:shd w:val="clear" w:color="auto" w:fill="FFFFFF"/>
              </w:rPr>
              <w:t>式中：</w:t>
            </w:r>
          </w:p>
          <w:p w14:paraId="50E167DC">
            <w:pPr>
              <w:pStyle w:val="181"/>
              <w:wordWrap/>
              <w:ind w:firstLine="960" w:firstLineChars="400"/>
              <w:rPr>
                <w:bCs/>
                <w:color w:val="auto"/>
                <w:shd w:val="clear" w:color="auto" w:fill="FFFFFF"/>
              </w:rPr>
            </w:pPr>
            <w:r>
              <w:rPr>
                <w:bCs/>
                <w:i/>
                <w:iCs/>
                <w:color w:val="auto"/>
                <w:shd w:val="clear" w:color="auto" w:fill="FFFFFF"/>
              </w:rPr>
              <w:t>L</w:t>
            </w:r>
            <w:r>
              <w:rPr>
                <w:bCs/>
                <w:i/>
                <w:iCs/>
                <w:color w:val="auto"/>
                <w:shd w:val="clear" w:color="auto" w:fill="FFFFFF"/>
                <w:vertAlign w:val="subscript"/>
              </w:rPr>
              <w:t>p1</w:t>
            </w:r>
            <w:r>
              <w:rPr>
                <w:bCs/>
                <w:color w:val="auto"/>
                <w:shd w:val="clear" w:color="auto" w:fill="FFFFFF"/>
              </w:rPr>
              <w:t>—靠近开口处（或窗户）室内某倍频带的声压级或A声级，dB；</w:t>
            </w:r>
          </w:p>
          <w:p w14:paraId="7942B39D">
            <w:pPr>
              <w:pStyle w:val="181"/>
              <w:wordWrap/>
              <w:ind w:firstLine="960" w:firstLineChars="400"/>
              <w:rPr>
                <w:bCs/>
                <w:color w:val="auto"/>
                <w:shd w:val="clear" w:color="auto" w:fill="FFFFFF"/>
              </w:rPr>
            </w:pPr>
            <w:r>
              <w:rPr>
                <w:bCs/>
                <w:i/>
                <w:iCs/>
                <w:color w:val="auto"/>
                <w:shd w:val="clear" w:color="auto" w:fill="FFFFFF"/>
              </w:rPr>
              <w:t>L</w:t>
            </w:r>
            <w:r>
              <w:rPr>
                <w:bCs/>
                <w:i/>
                <w:iCs/>
                <w:color w:val="auto"/>
                <w:shd w:val="clear" w:color="auto" w:fill="FFFFFF"/>
                <w:vertAlign w:val="subscript"/>
              </w:rPr>
              <w:t>w</w:t>
            </w:r>
            <w:r>
              <w:rPr>
                <w:bCs/>
                <w:color w:val="auto"/>
                <w:shd w:val="clear" w:color="auto" w:fill="FFFFFF"/>
              </w:rPr>
              <w:t>—点声源声功率级（A计权或倍频带），dB；</w:t>
            </w:r>
          </w:p>
          <w:p w14:paraId="72CA0CC4">
            <w:pPr>
              <w:pStyle w:val="181"/>
              <w:wordWrap/>
              <w:ind w:firstLine="960" w:firstLineChars="400"/>
              <w:rPr>
                <w:bCs/>
                <w:color w:val="auto"/>
                <w:shd w:val="clear" w:color="auto" w:fill="FFFFFF"/>
              </w:rPr>
            </w:pPr>
            <w:r>
              <w:rPr>
                <w:bCs/>
                <w:i/>
                <w:iCs/>
                <w:color w:val="auto"/>
                <w:shd w:val="clear" w:color="auto" w:fill="FFFFFF"/>
              </w:rPr>
              <w:t>Q</w:t>
            </w:r>
            <w:r>
              <w:rPr>
                <w:bCs/>
                <w:color w:val="auto"/>
                <w:shd w:val="clear" w:color="auto" w:fill="FFFFFF"/>
              </w:rPr>
              <w:t>—指向性因数：通常对无指向性声源，当声源放在房间中心时，</w:t>
            </w:r>
            <w:r>
              <w:rPr>
                <w:bCs/>
                <w:i/>
                <w:iCs/>
                <w:color w:val="auto"/>
                <w:shd w:val="clear" w:color="auto" w:fill="FFFFFF"/>
              </w:rPr>
              <w:t>Q</w:t>
            </w:r>
            <w:r>
              <w:rPr>
                <w:bCs/>
                <w:color w:val="auto"/>
                <w:shd w:val="clear" w:color="auto" w:fill="FFFFFF"/>
              </w:rPr>
              <w:t>=1；当放在一面墙的中心时，</w:t>
            </w:r>
            <w:r>
              <w:rPr>
                <w:bCs/>
                <w:i/>
                <w:iCs/>
                <w:color w:val="auto"/>
                <w:shd w:val="clear" w:color="auto" w:fill="FFFFFF"/>
              </w:rPr>
              <w:t>Q</w:t>
            </w:r>
            <w:r>
              <w:rPr>
                <w:bCs/>
                <w:color w:val="auto"/>
                <w:shd w:val="clear" w:color="auto" w:fill="FFFFFF"/>
              </w:rPr>
              <w:t>=2；当放在两面墙夹角处时，</w:t>
            </w:r>
            <w:r>
              <w:rPr>
                <w:bCs/>
                <w:i/>
                <w:iCs/>
                <w:color w:val="auto"/>
                <w:shd w:val="clear" w:color="auto" w:fill="FFFFFF"/>
              </w:rPr>
              <w:t>Q</w:t>
            </w:r>
            <w:r>
              <w:rPr>
                <w:bCs/>
                <w:color w:val="auto"/>
                <w:shd w:val="clear" w:color="auto" w:fill="FFFFFF"/>
              </w:rPr>
              <w:t>=4；当放在三面墙夹角处时，</w:t>
            </w:r>
            <w:r>
              <w:rPr>
                <w:bCs/>
                <w:i/>
                <w:iCs/>
                <w:color w:val="auto"/>
                <w:shd w:val="clear" w:color="auto" w:fill="FFFFFF"/>
              </w:rPr>
              <w:t>Q</w:t>
            </w:r>
            <w:r>
              <w:rPr>
                <w:bCs/>
                <w:color w:val="auto"/>
                <w:shd w:val="clear" w:color="auto" w:fill="FFFFFF"/>
              </w:rPr>
              <w:t>=8。</w:t>
            </w:r>
          </w:p>
          <w:p w14:paraId="5CFC3436">
            <w:pPr>
              <w:pStyle w:val="181"/>
              <w:wordWrap/>
              <w:ind w:firstLine="960" w:firstLineChars="400"/>
              <w:rPr>
                <w:bCs/>
                <w:color w:val="auto"/>
                <w:shd w:val="clear" w:color="auto" w:fill="FFFFFF"/>
              </w:rPr>
            </w:pPr>
            <w:r>
              <w:rPr>
                <w:bCs/>
                <w:i/>
                <w:iCs/>
                <w:color w:val="auto"/>
                <w:shd w:val="clear" w:color="auto" w:fill="FFFFFF"/>
              </w:rPr>
              <w:t>R</w:t>
            </w:r>
            <w:r>
              <w:rPr>
                <w:bCs/>
                <w:color w:val="auto"/>
                <w:shd w:val="clear" w:color="auto" w:fill="FFFFFF"/>
              </w:rPr>
              <w:t>—房间常数：</w:t>
            </w:r>
            <w:r>
              <w:rPr>
                <w:bCs/>
                <w:i/>
                <w:iCs/>
                <w:color w:val="auto"/>
                <w:shd w:val="clear" w:color="auto" w:fill="FFFFFF"/>
              </w:rPr>
              <w:t>R=Sα/</w:t>
            </w:r>
            <w:r>
              <w:rPr>
                <w:rFonts w:hint="eastAsia"/>
                <w:bCs/>
                <w:i/>
                <w:iCs/>
                <w:color w:val="auto"/>
                <w:shd w:val="clear" w:color="auto" w:fill="FFFFFF"/>
                <w:lang w:eastAsia="zh-CN"/>
              </w:rPr>
              <w:t>（</w:t>
            </w:r>
            <w:r>
              <w:rPr>
                <w:bCs/>
                <w:i/>
                <w:iCs/>
                <w:color w:val="auto"/>
                <w:shd w:val="clear" w:color="auto" w:fill="FFFFFF"/>
              </w:rPr>
              <w:t>1−α</w:t>
            </w:r>
            <w:r>
              <w:rPr>
                <w:rFonts w:hint="eastAsia"/>
                <w:bCs/>
                <w:i/>
                <w:iCs/>
                <w:color w:val="auto"/>
                <w:shd w:val="clear" w:color="auto" w:fill="FFFFFF"/>
                <w:lang w:eastAsia="zh-CN"/>
              </w:rPr>
              <w:t>）</w:t>
            </w:r>
            <w:r>
              <w:rPr>
                <w:bCs/>
                <w:color w:val="auto"/>
                <w:shd w:val="clear" w:color="auto" w:fill="FFFFFF"/>
              </w:rPr>
              <w:t>，</w:t>
            </w:r>
            <w:r>
              <w:rPr>
                <w:bCs/>
                <w:i/>
                <w:iCs/>
                <w:color w:val="auto"/>
                <w:shd w:val="clear" w:color="auto" w:fill="FFFFFF"/>
              </w:rPr>
              <w:t>S</w:t>
            </w:r>
            <w:r>
              <w:rPr>
                <w:bCs/>
                <w:color w:val="auto"/>
                <w:shd w:val="clear" w:color="auto" w:fill="FFFFFF"/>
              </w:rPr>
              <w:t>为房间内表面面积，m</w:t>
            </w:r>
            <w:r>
              <w:rPr>
                <w:bCs/>
                <w:color w:val="auto"/>
                <w:shd w:val="clear" w:color="auto" w:fill="FFFFFF"/>
                <w:vertAlign w:val="superscript"/>
              </w:rPr>
              <w:t>2</w:t>
            </w:r>
            <w:r>
              <w:rPr>
                <w:bCs/>
                <w:color w:val="auto"/>
                <w:shd w:val="clear" w:color="auto" w:fill="FFFFFF"/>
              </w:rPr>
              <w:t>；</w:t>
            </w:r>
            <w:r>
              <w:rPr>
                <w:bCs/>
                <w:i/>
                <w:iCs/>
                <w:color w:val="auto"/>
                <w:shd w:val="clear" w:color="auto" w:fill="FFFFFF"/>
              </w:rPr>
              <w:t>α</w:t>
            </w:r>
            <w:r>
              <w:rPr>
                <w:bCs/>
                <w:color w:val="auto"/>
                <w:shd w:val="clear" w:color="auto" w:fill="FFFFFF"/>
              </w:rPr>
              <w:t>为平均吸声系数。</w:t>
            </w:r>
          </w:p>
          <w:p w14:paraId="661A4088">
            <w:pPr>
              <w:pStyle w:val="181"/>
              <w:wordWrap/>
              <w:ind w:firstLine="960" w:firstLineChars="400"/>
              <w:rPr>
                <w:bCs/>
                <w:color w:val="auto"/>
                <w:shd w:val="clear" w:color="auto" w:fill="FFFFFF"/>
              </w:rPr>
            </w:pPr>
            <w:r>
              <w:rPr>
                <w:bCs/>
                <w:i/>
                <w:iCs/>
                <w:color w:val="auto"/>
                <w:shd w:val="clear" w:color="auto" w:fill="FFFFFF"/>
              </w:rPr>
              <w:t>r</w:t>
            </w:r>
            <w:r>
              <w:rPr>
                <w:bCs/>
                <w:color w:val="auto"/>
                <w:shd w:val="clear" w:color="auto" w:fill="FFFFFF"/>
              </w:rPr>
              <w:t>—声源到靠近围护结构某点处的距离，m。</w:t>
            </w:r>
          </w:p>
          <w:p w14:paraId="2D2FA2BF">
            <w:pPr>
              <w:pStyle w:val="181"/>
              <w:wordWrap/>
              <w:ind w:firstLine="480"/>
              <w:rPr>
                <w:bCs/>
                <w:color w:val="auto"/>
                <w:shd w:val="clear" w:color="auto" w:fill="FFFFFF"/>
              </w:rPr>
            </w:pPr>
            <w:r>
              <w:rPr>
                <w:rFonts w:hint="eastAsia"/>
                <w:bCs/>
                <w:color w:val="auto"/>
                <w:shd w:val="clear" w:color="auto" w:fill="FFFFFF"/>
                <w:lang w:eastAsia="zh-CN"/>
              </w:rPr>
              <w:t>②</w:t>
            </w:r>
            <w:r>
              <w:rPr>
                <w:bCs/>
                <w:color w:val="auto"/>
                <w:shd w:val="clear" w:color="auto" w:fill="FFFFFF"/>
              </w:rPr>
              <w:t>计算出所有室内声源在围护结构处产生的i倍频带叠加声压级：</w:t>
            </w:r>
          </w:p>
          <w:p w14:paraId="70EABBE3">
            <w:pPr>
              <w:pStyle w:val="181"/>
              <w:wordWrap/>
              <w:ind w:left="0" w:leftChars="0" w:firstLine="0" w:firstLineChars="0"/>
              <w:jc w:val="center"/>
              <w:rPr>
                <w:bCs/>
                <w:color w:val="auto"/>
                <w:shd w:val="clear" w:color="auto" w:fill="FFFFFF"/>
              </w:rPr>
            </w:pPr>
            <w:r>
              <w:rPr>
                <w:bCs/>
                <w:color w:val="auto"/>
                <w:position w:val="-32"/>
                <w:shd w:val="clear" w:color="auto" w:fill="FFFFFF"/>
              </w:rPr>
              <w:drawing>
                <wp:inline distT="0" distB="0" distL="114300" distR="114300">
                  <wp:extent cx="1487170" cy="482600"/>
                  <wp:effectExtent l="0" t="0" r="17780" b="13335"/>
                  <wp:docPr id="17" name="Object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ject 289"/>
                          <pic:cNvPicPr>
                            <a:picLocks noChangeAspect="1"/>
                          </pic:cNvPicPr>
                        </pic:nvPicPr>
                        <pic:blipFill>
                          <a:blip r:embed="rId32"/>
                          <a:stretch>
                            <a:fillRect/>
                          </a:stretch>
                        </pic:blipFill>
                        <pic:spPr>
                          <a:xfrm>
                            <a:off x="0" y="0"/>
                            <a:ext cx="1487170" cy="482600"/>
                          </a:xfrm>
                          <a:prstGeom prst="rect">
                            <a:avLst/>
                          </a:prstGeom>
                          <a:noFill/>
                          <a:ln>
                            <a:noFill/>
                          </a:ln>
                        </pic:spPr>
                      </pic:pic>
                    </a:graphicData>
                  </a:graphic>
                </wp:inline>
              </w:drawing>
            </w:r>
          </w:p>
          <w:p w14:paraId="68F958C6">
            <w:pPr>
              <w:pStyle w:val="181"/>
              <w:wordWrap/>
              <w:ind w:firstLine="480"/>
              <w:rPr>
                <w:bCs/>
                <w:color w:val="auto"/>
                <w:szCs w:val="24"/>
                <w:shd w:val="clear" w:color="auto" w:fill="FFFFFF"/>
              </w:rPr>
            </w:pPr>
            <w:r>
              <w:rPr>
                <w:bCs/>
                <w:color w:val="auto"/>
                <w:szCs w:val="24"/>
                <w:shd w:val="clear" w:color="auto" w:fill="FFFFFF"/>
              </w:rPr>
              <w:t>式中：</w:t>
            </w:r>
          </w:p>
          <w:p w14:paraId="217AB536">
            <w:pPr>
              <w:pStyle w:val="181"/>
              <w:wordWrap/>
              <w:ind w:firstLine="960" w:firstLineChars="400"/>
              <w:rPr>
                <w:bCs/>
                <w:color w:val="auto"/>
                <w:szCs w:val="24"/>
                <w:shd w:val="clear" w:color="auto" w:fill="FFFFFF"/>
              </w:rPr>
            </w:pPr>
            <w:r>
              <w:rPr>
                <w:bCs/>
                <w:i/>
                <w:iCs/>
                <w:color w:val="auto"/>
                <w:szCs w:val="24"/>
                <w:shd w:val="clear" w:color="auto" w:fill="FFFFFF"/>
              </w:rPr>
              <w:t>L</w:t>
            </w:r>
            <w:r>
              <w:rPr>
                <w:bCs/>
                <w:i/>
                <w:iCs/>
                <w:color w:val="auto"/>
                <w:szCs w:val="24"/>
                <w:shd w:val="clear" w:color="auto" w:fill="FFFFFF"/>
                <w:vertAlign w:val="subscript"/>
              </w:rPr>
              <w:t>P1i</w:t>
            </w:r>
            <w:r>
              <w:rPr>
                <w:rFonts w:hint="eastAsia"/>
                <w:bCs/>
                <w:i/>
                <w:iCs/>
                <w:color w:val="auto"/>
                <w:szCs w:val="24"/>
                <w:shd w:val="clear" w:color="auto" w:fill="FFFFFF"/>
                <w:lang w:eastAsia="zh-CN"/>
              </w:rPr>
              <w:t>（</w:t>
            </w:r>
            <w:r>
              <w:rPr>
                <w:bCs/>
                <w:i/>
                <w:iCs/>
                <w:color w:val="auto"/>
                <w:szCs w:val="24"/>
                <w:shd w:val="clear" w:color="auto" w:fill="FFFFFF"/>
              </w:rPr>
              <w:t>T</w:t>
            </w:r>
            <w:r>
              <w:rPr>
                <w:rFonts w:hint="eastAsia"/>
                <w:bCs/>
                <w:i/>
                <w:iCs/>
                <w:color w:val="auto"/>
                <w:szCs w:val="24"/>
                <w:shd w:val="clear" w:color="auto" w:fill="FFFFFF"/>
                <w:lang w:eastAsia="zh-CN"/>
              </w:rPr>
              <w:t>）</w:t>
            </w:r>
            <w:r>
              <w:rPr>
                <w:bCs/>
                <w:color w:val="auto"/>
                <w:szCs w:val="24"/>
                <w:shd w:val="clear" w:color="auto" w:fill="FFFFFF"/>
              </w:rPr>
              <w:t>—靠近围护结构处室内</w:t>
            </w:r>
            <w:r>
              <w:rPr>
                <w:bCs/>
                <w:i/>
                <w:iCs/>
                <w:color w:val="auto"/>
                <w:szCs w:val="24"/>
                <w:shd w:val="clear" w:color="auto" w:fill="FFFFFF"/>
              </w:rPr>
              <w:t>N</w:t>
            </w:r>
            <w:r>
              <w:rPr>
                <w:bCs/>
                <w:color w:val="auto"/>
                <w:szCs w:val="24"/>
                <w:shd w:val="clear" w:color="auto" w:fill="FFFFFF"/>
              </w:rPr>
              <w:t>个声源</w:t>
            </w:r>
            <w:r>
              <w:rPr>
                <w:bCs/>
                <w:i/>
                <w:iCs/>
                <w:color w:val="auto"/>
                <w:szCs w:val="24"/>
                <w:shd w:val="clear" w:color="auto" w:fill="FFFFFF"/>
              </w:rPr>
              <w:t>i</w:t>
            </w:r>
            <w:r>
              <w:rPr>
                <w:bCs/>
                <w:color w:val="auto"/>
                <w:szCs w:val="24"/>
                <w:shd w:val="clear" w:color="auto" w:fill="FFFFFF"/>
              </w:rPr>
              <w:t>倍频带的叠加声压级，dB；</w:t>
            </w:r>
          </w:p>
          <w:p w14:paraId="2BC2E61D">
            <w:pPr>
              <w:pStyle w:val="181"/>
              <w:wordWrap/>
              <w:ind w:firstLine="960" w:firstLineChars="400"/>
              <w:rPr>
                <w:bCs/>
                <w:color w:val="auto"/>
                <w:szCs w:val="24"/>
                <w:shd w:val="clear" w:color="auto" w:fill="FFFFFF"/>
              </w:rPr>
            </w:pPr>
            <w:r>
              <w:rPr>
                <w:bCs/>
                <w:i/>
                <w:iCs/>
                <w:color w:val="auto"/>
                <w:szCs w:val="24"/>
                <w:shd w:val="clear" w:color="auto" w:fill="FFFFFF"/>
              </w:rPr>
              <w:t>L</w:t>
            </w:r>
            <w:r>
              <w:rPr>
                <w:bCs/>
                <w:i/>
                <w:iCs/>
                <w:color w:val="auto"/>
                <w:szCs w:val="24"/>
                <w:shd w:val="clear" w:color="auto" w:fill="FFFFFF"/>
                <w:vertAlign w:val="subscript"/>
              </w:rPr>
              <w:t>P1ij</w:t>
            </w:r>
            <w:r>
              <w:rPr>
                <w:bCs/>
                <w:color w:val="auto"/>
                <w:szCs w:val="24"/>
                <w:shd w:val="clear" w:color="auto" w:fill="FFFFFF"/>
              </w:rPr>
              <w:t>—室内</w:t>
            </w:r>
            <w:r>
              <w:rPr>
                <w:bCs/>
                <w:i/>
                <w:iCs/>
                <w:color w:val="auto"/>
                <w:szCs w:val="24"/>
                <w:shd w:val="clear" w:color="auto" w:fill="FFFFFF"/>
              </w:rPr>
              <w:t>j</w:t>
            </w:r>
            <w:r>
              <w:rPr>
                <w:bCs/>
                <w:color w:val="auto"/>
                <w:szCs w:val="24"/>
                <w:shd w:val="clear" w:color="auto" w:fill="FFFFFF"/>
              </w:rPr>
              <w:t>声源</w:t>
            </w:r>
            <w:r>
              <w:rPr>
                <w:bCs/>
                <w:i/>
                <w:iCs/>
                <w:color w:val="auto"/>
                <w:szCs w:val="24"/>
                <w:shd w:val="clear" w:color="auto" w:fill="FFFFFF"/>
              </w:rPr>
              <w:t>i</w:t>
            </w:r>
            <w:r>
              <w:rPr>
                <w:bCs/>
                <w:color w:val="auto"/>
                <w:szCs w:val="24"/>
                <w:shd w:val="clear" w:color="auto" w:fill="FFFFFF"/>
              </w:rPr>
              <w:t>倍频带的声压级，dB；</w:t>
            </w:r>
          </w:p>
          <w:p w14:paraId="54353E90">
            <w:pPr>
              <w:pStyle w:val="181"/>
              <w:wordWrap/>
              <w:ind w:firstLine="960" w:firstLineChars="400"/>
              <w:rPr>
                <w:bCs/>
                <w:color w:val="auto"/>
                <w:szCs w:val="24"/>
                <w:shd w:val="clear" w:color="auto" w:fill="FFFFFF"/>
              </w:rPr>
            </w:pPr>
            <w:r>
              <w:rPr>
                <w:bCs/>
                <w:i/>
                <w:iCs/>
                <w:color w:val="auto"/>
                <w:szCs w:val="24"/>
                <w:shd w:val="clear" w:color="auto" w:fill="FFFFFF"/>
              </w:rPr>
              <w:t>N</w:t>
            </w:r>
            <w:r>
              <w:rPr>
                <w:bCs/>
                <w:color w:val="auto"/>
                <w:szCs w:val="24"/>
                <w:shd w:val="clear" w:color="auto" w:fill="FFFFFF"/>
              </w:rPr>
              <w:t>—室内声源总数。</w:t>
            </w:r>
          </w:p>
          <w:p w14:paraId="745C9E12">
            <w:pPr>
              <w:pStyle w:val="181"/>
              <w:wordWrap/>
              <w:ind w:firstLine="480"/>
              <w:rPr>
                <w:bCs/>
                <w:color w:val="auto"/>
                <w:szCs w:val="24"/>
                <w:shd w:val="clear" w:color="auto" w:fill="FFFFFF"/>
              </w:rPr>
            </w:pPr>
            <w:r>
              <w:rPr>
                <w:rFonts w:hint="eastAsia"/>
                <w:bCs/>
                <w:color w:val="auto"/>
                <w:szCs w:val="24"/>
                <w:shd w:val="clear" w:color="auto" w:fill="FFFFFF"/>
                <w:lang w:eastAsia="zh-CN"/>
              </w:rPr>
              <w:t>③</w:t>
            </w:r>
            <w:r>
              <w:rPr>
                <w:bCs/>
                <w:color w:val="auto"/>
                <w:szCs w:val="24"/>
                <w:shd w:val="clear" w:color="auto" w:fill="FFFFFF"/>
              </w:rPr>
              <w:t>在室内近似为扩散声场时，计算出靠近室外围护结构处的声压级</w:t>
            </w:r>
            <w:r>
              <w:rPr>
                <w:rFonts w:hint="eastAsia"/>
                <w:bCs/>
                <w:color w:val="auto"/>
                <w:szCs w:val="24"/>
                <w:shd w:val="clear" w:color="auto" w:fill="FFFFFF"/>
              </w:rPr>
              <w:t>；</w:t>
            </w:r>
          </w:p>
          <w:p w14:paraId="713CDFCC">
            <w:pPr>
              <w:pStyle w:val="181"/>
              <w:wordWrap/>
              <w:ind w:firstLine="480"/>
              <w:jc w:val="center"/>
              <w:rPr>
                <w:bCs/>
                <w:color w:val="auto"/>
                <w:szCs w:val="24"/>
                <w:shd w:val="clear" w:color="auto" w:fill="FFFFFF"/>
              </w:rPr>
            </w:pPr>
            <w:r>
              <w:rPr>
                <w:bCs/>
                <w:i/>
                <w:iCs/>
                <w:color w:val="auto"/>
                <w:szCs w:val="24"/>
                <w:shd w:val="clear" w:color="auto" w:fill="FFFFFF"/>
              </w:rPr>
              <w:t>L</w:t>
            </w:r>
            <w:r>
              <w:rPr>
                <w:bCs/>
                <w:i/>
                <w:iCs/>
                <w:color w:val="auto"/>
                <w:szCs w:val="24"/>
                <w:shd w:val="clear" w:color="auto" w:fill="FFFFFF"/>
                <w:vertAlign w:val="subscript"/>
              </w:rPr>
              <w:t>P2i</w:t>
            </w:r>
            <w:r>
              <w:rPr>
                <w:rFonts w:hint="eastAsia"/>
                <w:bCs/>
                <w:i/>
                <w:iCs/>
                <w:color w:val="auto"/>
                <w:szCs w:val="24"/>
                <w:shd w:val="clear" w:color="auto" w:fill="FFFFFF"/>
                <w:lang w:eastAsia="zh-CN"/>
              </w:rPr>
              <w:t>（</w:t>
            </w:r>
            <w:r>
              <w:rPr>
                <w:bCs/>
                <w:i/>
                <w:iCs/>
                <w:color w:val="auto"/>
                <w:szCs w:val="24"/>
                <w:shd w:val="clear" w:color="auto" w:fill="FFFFFF"/>
              </w:rPr>
              <w:t>T</w:t>
            </w:r>
            <w:r>
              <w:rPr>
                <w:rFonts w:hint="eastAsia"/>
                <w:bCs/>
                <w:i/>
                <w:iCs/>
                <w:color w:val="auto"/>
                <w:szCs w:val="24"/>
                <w:shd w:val="clear" w:color="auto" w:fill="FFFFFF"/>
                <w:lang w:eastAsia="zh-CN"/>
              </w:rPr>
              <w:t>）</w:t>
            </w:r>
            <w:r>
              <w:rPr>
                <w:bCs/>
                <w:i/>
                <w:iCs/>
                <w:color w:val="auto"/>
                <w:szCs w:val="24"/>
                <w:shd w:val="clear" w:color="auto" w:fill="FFFFFF"/>
              </w:rPr>
              <w:t>=L</w:t>
            </w:r>
            <w:r>
              <w:rPr>
                <w:bCs/>
                <w:i/>
                <w:iCs/>
                <w:color w:val="auto"/>
                <w:szCs w:val="24"/>
                <w:shd w:val="clear" w:color="auto" w:fill="FFFFFF"/>
                <w:vertAlign w:val="subscript"/>
              </w:rPr>
              <w:t>P1i</w:t>
            </w:r>
            <w:r>
              <w:rPr>
                <w:rFonts w:hint="eastAsia"/>
                <w:bCs/>
                <w:i/>
                <w:iCs/>
                <w:color w:val="auto"/>
                <w:szCs w:val="24"/>
                <w:shd w:val="clear" w:color="auto" w:fill="FFFFFF"/>
                <w:lang w:eastAsia="zh-CN"/>
              </w:rPr>
              <w:t>（</w:t>
            </w:r>
            <w:r>
              <w:rPr>
                <w:bCs/>
                <w:i/>
                <w:iCs/>
                <w:color w:val="auto"/>
                <w:szCs w:val="24"/>
                <w:shd w:val="clear" w:color="auto" w:fill="FFFFFF"/>
              </w:rPr>
              <w:t>T</w:t>
            </w:r>
            <w:r>
              <w:rPr>
                <w:rFonts w:hint="eastAsia"/>
                <w:bCs/>
                <w:i/>
                <w:iCs/>
                <w:color w:val="auto"/>
                <w:szCs w:val="24"/>
                <w:shd w:val="clear" w:color="auto" w:fill="FFFFFF"/>
                <w:lang w:eastAsia="zh-CN"/>
              </w:rPr>
              <w:t>）</w:t>
            </w:r>
            <w:r>
              <w:rPr>
                <w:bCs/>
                <w:i/>
                <w:iCs/>
                <w:color w:val="auto"/>
                <w:szCs w:val="24"/>
                <w:shd w:val="clear" w:color="auto" w:fill="FFFFFF"/>
              </w:rPr>
              <w:t>-（T</w:t>
            </w:r>
            <w:r>
              <w:rPr>
                <w:bCs/>
                <w:i/>
                <w:iCs/>
                <w:color w:val="auto"/>
                <w:szCs w:val="24"/>
                <w:shd w:val="clear" w:color="auto" w:fill="FFFFFF"/>
                <w:vertAlign w:val="subscript"/>
              </w:rPr>
              <w:t>Li</w:t>
            </w:r>
            <w:r>
              <w:rPr>
                <w:bCs/>
                <w:i/>
                <w:iCs/>
                <w:color w:val="auto"/>
                <w:szCs w:val="24"/>
                <w:shd w:val="clear" w:color="auto" w:fill="FFFFFF"/>
              </w:rPr>
              <w:t>+6）</w:t>
            </w:r>
          </w:p>
          <w:p w14:paraId="02C581D6">
            <w:pPr>
              <w:pStyle w:val="181"/>
              <w:wordWrap/>
              <w:ind w:firstLine="480"/>
              <w:rPr>
                <w:bCs/>
                <w:color w:val="auto"/>
                <w:szCs w:val="24"/>
                <w:shd w:val="clear" w:color="auto" w:fill="FFFFFF"/>
              </w:rPr>
            </w:pPr>
            <w:r>
              <w:rPr>
                <w:bCs/>
                <w:color w:val="auto"/>
                <w:szCs w:val="24"/>
                <w:shd w:val="clear" w:color="auto" w:fill="FFFFFF"/>
              </w:rPr>
              <w:t>式中：</w:t>
            </w:r>
          </w:p>
          <w:p w14:paraId="63F2376E">
            <w:pPr>
              <w:pStyle w:val="181"/>
              <w:wordWrap/>
              <w:ind w:firstLine="960" w:firstLineChars="400"/>
              <w:rPr>
                <w:bCs/>
                <w:color w:val="auto"/>
                <w:szCs w:val="24"/>
                <w:shd w:val="clear" w:color="auto" w:fill="FFFFFF"/>
              </w:rPr>
            </w:pPr>
            <w:r>
              <w:rPr>
                <w:bCs/>
                <w:i/>
                <w:iCs/>
                <w:color w:val="auto"/>
                <w:szCs w:val="24"/>
                <w:shd w:val="clear" w:color="auto" w:fill="FFFFFF"/>
              </w:rPr>
              <w:t>L</w:t>
            </w:r>
            <w:r>
              <w:rPr>
                <w:bCs/>
                <w:i/>
                <w:iCs/>
                <w:color w:val="auto"/>
                <w:szCs w:val="24"/>
                <w:shd w:val="clear" w:color="auto" w:fill="FFFFFF"/>
                <w:vertAlign w:val="subscript"/>
              </w:rPr>
              <w:t>P2i</w:t>
            </w:r>
            <w:r>
              <w:rPr>
                <w:rFonts w:hint="eastAsia"/>
                <w:bCs/>
                <w:i/>
                <w:iCs/>
                <w:color w:val="auto"/>
                <w:szCs w:val="24"/>
                <w:shd w:val="clear" w:color="auto" w:fill="FFFFFF"/>
                <w:lang w:eastAsia="zh-CN"/>
              </w:rPr>
              <w:t>（</w:t>
            </w:r>
            <w:r>
              <w:rPr>
                <w:bCs/>
                <w:i/>
                <w:iCs/>
                <w:color w:val="auto"/>
                <w:szCs w:val="24"/>
                <w:shd w:val="clear" w:color="auto" w:fill="FFFFFF"/>
              </w:rPr>
              <w:t>T</w:t>
            </w:r>
            <w:r>
              <w:rPr>
                <w:rFonts w:hint="eastAsia"/>
                <w:bCs/>
                <w:i/>
                <w:iCs/>
                <w:color w:val="auto"/>
                <w:szCs w:val="24"/>
                <w:shd w:val="clear" w:color="auto" w:fill="FFFFFF"/>
                <w:lang w:eastAsia="zh-CN"/>
              </w:rPr>
              <w:t>）</w:t>
            </w:r>
            <w:r>
              <w:rPr>
                <w:bCs/>
                <w:color w:val="auto"/>
                <w:szCs w:val="24"/>
                <w:shd w:val="clear" w:color="auto" w:fill="FFFFFF"/>
              </w:rPr>
              <w:t>—靠近围护结构处室外</w:t>
            </w:r>
            <w:r>
              <w:rPr>
                <w:bCs/>
                <w:i/>
                <w:iCs/>
                <w:color w:val="auto"/>
                <w:szCs w:val="24"/>
                <w:shd w:val="clear" w:color="auto" w:fill="FFFFFF"/>
              </w:rPr>
              <w:t>N</w:t>
            </w:r>
            <w:r>
              <w:rPr>
                <w:bCs/>
                <w:color w:val="auto"/>
                <w:szCs w:val="24"/>
                <w:shd w:val="clear" w:color="auto" w:fill="FFFFFF"/>
              </w:rPr>
              <w:t>个声源</w:t>
            </w:r>
            <w:r>
              <w:rPr>
                <w:bCs/>
                <w:i/>
                <w:iCs/>
                <w:color w:val="auto"/>
                <w:szCs w:val="24"/>
                <w:shd w:val="clear" w:color="auto" w:fill="FFFFFF"/>
              </w:rPr>
              <w:t>i</w:t>
            </w:r>
            <w:r>
              <w:rPr>
                <w:bCs/>
                <w:color w:val="auto"/>
                <w:szCs w:val="24"/>
                <w:shd w:val="clear" w:color="auto" w:fill="FFFFFF"/>
              </w:rPr>
              <w:t>倍频带的叠加声压级，dB；</w:t>
            </w:r>
          </w:p>
          <w:p w14:paraId="63F351E4">
            <w:pPr>
              <w:pStyle w:val="181"/>
              <w:wordWrap/>
              <w:ind w:firstLine="960" w:firstLineChars="400"/>
              <w:rPr>
                <w:bCs/>
                <w:color w:val="auto"/>
                <w:szCs w:val="24"/>
                <w:shd w:val="clear" w:color="auto" w:fill="FFFFFF"/>
              </w:rPr>
            </w:pPr>
            <w:r>
              <w:rPr>
                <w:bCs/>
                <w:i/>
                <w:iCs/>
                <w:color w:val="auto"/>
                <w:szCs w:val="24"/>
                <w:shd w:val="clear" w:color="auto" w:fill="FFFFFF"/>
              </w:rPr>
              <w:t>T</w:t>
            </w:r>
            <w:r>
              <w:rPr>
                <w:bCs/>
                <w:i/>
                <w:iCs/>
                <w:color w:val="auto"/>
                <w:szCs w:val="24"/>
                <w:shd w:val="clear" w:color="auto" w:fill="FFFFFF"/>
                <w:vertAlign w:val="subscript"/>
              </w:rPr>
              <w:t>Li</w:t>
            </w:r>
            <w:r>
              <w:rPr>
                <w:bCs/>
                <w:color w:val="auto"/>
                <w:szCs w:val="24"/>
                <w:shd w:val="clear" w:color="auto" w:fill="FFFFFF"/>
              </w:rPr>
              <w:t>—围护结构</w:t>
            </w:r>
            <w:r>
              <w:rPr>
                <w:bCs/>
                <w:i/>
                <w:iCs/>
                <w:color w:val="auto"/>
                <w:szCs w:val="24"/>
                <w:shd w:val="clear" w:color="auto" w:fill="FFFFFF"/>
              </w:rPr>
              <w:t>i</w:t>
            </w:r>
            <w:r>
              <w:rPr>
                <w:bCs/>
                <w:color w:val="auto"/>
                <w:szCs w:val="24"/>
                <w:shd w:val="clear" w:color="auto" w:fill="FFFFFF"/>
              </w:rPr>
              <w:t>倍频带的隔声量，dB。</w:t>
            </w:r>
          </w:p>
          <w:p w14:paraId="575E4789">
            <w:pPr>
              <w:pStyle w:val="181"/>
              <w:keepNext w:val="0"/>
              <w:keepLines w:val="0"/>
              <w:pageBreakBefore w:val="0"/>
              <w:widowControl/>
              <w:kinsoku/>
              <w:wordWrap/>
              <w:overflowPunct/>
              <w:topLinePunct w:val="0"/>
              <w:autoSpaceDE/>
              <w:autoSpaceDN/>
              <w:bidi w:val="0"/>
              <w:adjustRightInd/>
              <w:snapToGrid/>
              <w:textAlignment w:val="auto"/>
              <w:rPr>
                <w:bCs/>
                <w:color w:val="auto"/>
                <w:szCs w:val="24"/>
                <w:shd w:val="clear" w:color="auto" w:fill="FFFFFF"/>
              </w:rPr>
            </w:pPr>
            <w:r>
              <w:rPr>
                <w:rFonts w:hint="eastAsia"/>
                <w:bCs/>
                <w:color w:val="auto"/>
                <w:szCs w:val="24"/>
                <w:shd w:val="clear" w:color="auto" w:fill="FFFFFF"/>
                <w:lang w:eastAsia="zh-CN"/>
              </w:rPr>
              <w:t>④</w:t>
            </w:r>
            <w:r>
              <w:rPr>
                <w:bCs/>
                <w:color w:val="auto"/>
                <w:szCs w:val="24"/>
                <w:shd w:val="clear" w:color="auto" w:fill="FFFFFF"/>
              </w:rPr>
              <w:t>将室外声源的声压级和透过面积换算成等效的室外声源，计算出中心位置位于透声面积（</w:t>
            </w:r>
            <w:r>
              <w:rPr>
                <w:bCs/>
                <w:i/>
                <w:iCs/>
                <w:color w:val="auto"/>
                <w:szCs w:val="24"/>
                <w:shd w:val="clear" w:color="auto" w:fill="FFFFFF"/>
              </w:rPr>
              <w:t>S</w:t>
            </w:r>
            <w:r>
              <w:rPr>
                <w:bCs/>
                <w:color w:val="auto"/>
                <w:szCs w:val="24"/>
                <w:shd w:val="clear" w:color="auto" w:fill="FFFFFF"/>
              </w:rPr>
              <w:t>）处的等效声源的倍频带声功率级。</w:t>
            </w:r>
          </w:p>
          <w:p w14:paraId="1D10E70B">
            <w:pPr>
              <w:pStyle w:val="181"/>
              <w:wordWrap/>
              <w:ind w:left="0" w:leftChars="0" w:right="0" w:rightChars="0" w:firstLine="0" w:firstLineChars="0"/>
              <w:jc w:val="center"/>
              <w:rPr>
                <w:bCs/>
                <w:color w:val="auto"/>
                <w:szCs w:val="24"/>
                <w:shd w:val="clear" w:color="auto" w:fill="FFFFFF"/>
              </w:rPr>
            </w:pPr>
            <w:r>
              <w:rPr>
                <w:bCs/>
                <w:i/>
                <w:iCs/>
                <w:color w:val="auto"/>
                <w:szCs w:val="24"/>
                <w:shd w:val="clear" w:color="auto" w:fill="FFFFFF"/>
              </w:rPr>
              <w:t>L</w:t>
            </w:r>
            <w:r>
              <w:rPr>
                <w:bCs/>
                <w:i/>
                <w:iCs/>
                <w:color w:val="auto"/>
                <w:szCs w:val="24"/>
                <w:shd w:val="clear" w:color="auto" w:fill="FFFFFF"/>
                <w:vertAlign w:val="subscript"/>
              </w:rPr>
              <w:t>w</w:t>
            </w:r>
            <w:r>
              <w:rPr>
                <w:bCs/>
                <w:i/>
                <w:iCs/>
                <w:color w:val="auto"/>
                <w:szCs w:val="24"/>
                <w:shd w:val="clear" w:color="auto" w:fill="FFFFFF"/>
              </w:rPr>
              <w:t>=L</w:t>
            </w:r>
            <w:r>
              <w:rPr>
                <w:bCs/>
                <w:i/>
                <w:iCs/>
                <w:color w:val="auto"/>
                <w:szCs w:val="24"/>
                <w:shd w:val="clear" w:color="auto" w:fill="FFFFFF"/>
                <w:vertAlign w:val="subscript"/>
              </w:rPr>
              <w:t>P2</w:t>
            </w:r>
            <w:r>
              <w:rPr>
                <w:rFonts w:hint="eastAsia"/>
                <w:bCs/>
                <w:i/>
                <w:iCs/>
                <w:color w:val="auto"/>
                <w:szCs w:val="24"/>
                <w:shd w:val="clear" w:color="auto" w:fill="FFFFFF"/>
                <w:lang w:eastAsia="zh-CN"/>
              </w:rPr>
              <w:t>（</w:t>
            </w:r>
            <w:r>
              <w:rPr>
                <w:bCs/>
                <w:i/>
                <w:iCs/>
                <w:color w:val="auto"/>
                <w:szCs w:val="24"/>
                <w:shd w:val="clear" w:color="auto" w:fill="FFFFFF"/>
              </w:rPr>
              <w:t>T</w:t>
            </w:r>
            <w:r>
              <w:rPr>
                <w:rFonts w:hint="eastAsia"/>
                <w:bCs/>
                <w:i/>
                <w:iCs/>
                <w:color w:val="auto"/>
                <w:szCs w:val="24"/>
                <w:shd w:val="clear" w:color="auto" w:fill="FFFFFF"/>
                <w:lang w:eastAsia="zh-CN"/>
              </w:rPr>
              <w:t>）</w:t>
            </w:r>
            <w:r>
              <w:rPr>
                <w:bCs/>
                <w:i/>
                <w:iCs/>
                <w:color w:val="auto"/>
                <w:szCs w:val="24"/>
                <w:shd w:val="clear" w:color="auto" w:fill="FFFFFF"/>
              </w:rPr>
              <w:t>+10lgS</w:t>
            </w:r>
          </w:p>
          <w:p w14:paraId="66672D7B">
            <w:pPr>
              <w:pStyle w:val="181"/>
              <w:wordWrap/>
              <w:ind w:firstLine="480"/>
              <w:rPr>
                <w:bCs/>
                <w:color w:val="auto"/>
                <w:szCs w:val="24"/>
                <w:shd w:val="clear" w:color="auto" w:fill="FFFFFF"/>
              </w:rPr>
            </w:pPr>
            <w:r>
              <w:rPr>
                <w:bCs/>
                <w:color w:val="auto"/>
                <w:szCs w:val="24"/>
                <w:shd w:val="clear" w:color="auto" w:fill="FFFFFF"/>
              </w:rPr>
              <w:t>式中：</w:t>
            </w:r>
          </w:p>
          <w:p w14:paraId="0C7E24D5">
            <w:pPr>
              <w:pStyle w:val="181"/>
              <w:wordWrap/>
              <w:ind w:firstLine="960" w:firstLineChars="400"/>
              <w:rPr>
                <w:bCs/>
                <w:color w:val="auto"/>
                <w:szCs w:val="24"/>
                <w:shd w:val="clear" w:color="auto" w:fill="FFFFFF"/>
              </w:rPr>
            </w:pPr>
            <w:r>
              <w:rPr>
                <w:bCs/>
                <w:i/>
                <w:iCs/>
                <w:color w:val="auto"/>
                <w:szCs w:val="24"/>
                <w:shd w:val="clear" w:color="auto" w:fill="FFFFFF"/>
              </w:rPr>
              <w:t>L</w:t>
            </w:r>
            <w:r>
              <w:rPr>
                <w:bCs/>
                <w:i/>
                <w:iCs/>
                <w:color w:val="auto"/>
                <w:szCs w:val="24"/>
                <w:shd w:val="clear" w:color="auto" w:fill="FFFFFF"/>
                <w:vertAlign w:val="subscript"/>
              </w:rPr>
              <w:t>w</w:t>
            </w:r>
            <w:r>
              <w:rPr>
                <w:bCs/>
                <w:color w:val="auto"/>
                <w:szCs w:val="24"/>
                <w:shd w:val="clear" w:color="auto" w:fill="FFFFFF"/>
              </w:rPr>
              <w:t>—中心位置位于透声面积（</w:t>
            </w:r>
            <w:r>
              <w:rPr>
                <w:bCs/>
                <w:i/>
                <w:iCs/>
                <w:color w:val="auto"/>
                <w:szCs w:val="24"/>
                <w:shd w:val="clear" w:color="auto" w:fill="FFFFFF"/>
              </w:rPr>
              <w:t>S</w:t>
            </w:r>
            <w:r>
              <w:rPr>
                <w:bCs/>
                <w:color w:val="auto"/>
                <w:szCs w:val="24"/>
                <w:shd w:val="clear" w:color="auto" w:fill="FFFFFF"/>
              </w:rPr>
              <w:t>）处的等效声源的倍频带声功率级，dB；</w:t>
            </w:r>
          </w:p>
          <w:p w14:paraId="407545DA">
            <w:pPr>
              <w:pStyle w:val="181"/>
              <w:wordWrap/>
              <w:ind w:firstLine="960" w:firstLineChars="400"/>
              <w:rPr>
                <w:bCs/>
                <w:color w:val="auto"/>
                <w:szCs w:val="24"/>
                <w:shd w:val="clear" w:color="auto" w:fill="FFFFFF"/>
              </w:rPr>
            </w:pPr>
            <w:r>
              <w:rPr>
                <w:bCs/>
                <w:i/>
                <w:iCs/>
                <w:color w:val="auto"/>
                <w:szCs w:val="24"/>
                <w:shd w:val="clear" w:color="auto" w:fill="FFFFFF"/>
              </w:rPr>
              <w:t>L</w:t>
            </w:r>
            <w:r>
              <w:rPr>
                <w:bCs/>
                <w:i/>
                <w:iCs/>
                <w:color w:val="auto"/>
                <w:szCs w:val="24"/>
                <w:shd w:val="clear" w:color="auto" w:fill="FFFFFF"/>
                <w:vertAlign w:val="subscript"/>
              </w:rPr>
              <w:t>p2</w:t>
            </w:r>
            <w:r>
              <w:rPr>
                <w:rFonts w:hint="eastAsia"/>
                <w:bCs/>
                <w:i/>
                <w:iCs/>
                <w:color w:val="auto"/>
                <w:szCs w:val="24"/>
                <w:shd w:val="clear" w:color="auto" w:fill="FFFFFF"/>
                <w:lang w:eastAsia="zh-CN"/>
              </w:rPr>
              <w:t>（</w:t>
            </w:r>
            <w:r>
              <w:rPr>
                <w:bCs/>
                <w:i/>
                <w:iCs/>
                <w:color w:val="auto"/>
                <w:szCs w:val="24"/>
                <w:shd w:val="clear" w:color="auto" w:fill="FFFFFF"/>
              </w:rPr>
              <w:t>T</w:t>
            </w:r>
            <w:r>
              <w:rPr>
                <w:rFonts w:hint="eastAsia"/>
                <w:bCs/>
                <w:i/>
                <w:iCs/>
                <w:color w:val="auto"/>
                <w:szCs w:val="24"/>
                <w:shd w:val="clear" w:color="auto" w:fill="FFFFFF"/>
                <w:lang w:eastAsia="zh-CN"/>
              </w:rPr>
              <w:t>）</w:t>
            </w:r>
            <w:r>
              <w:rPr>
                <w:bCs/>
                <w:color w:val="auto"/>
                <w:szCs w:val="24"/>
                <w:shd w:val="clear" w:color="auto" w:fill="FFFFFF"/>
              </w:rPr>
              <w:t>—靠近围护结构处室外声源的声压级，dB；</w:t>
            </w:r>
          </w:p>
          <w:p w14:paraId="3DB86563">
            <w:pPr>
              <w:pStyle w:val="181"/>
              <w:wordWrap/>
              <w:ind w:firstLine="960" w:firstLineChars="400"/>
              <w:rPr>
                <w:bCs/>
                <w:color w:val="auto"/>
                <w:szCs w:val="24"/>
                <w:shd w:val="clear" w:color="auto" w:fill="FFFFFF"/>
              </w:rPr>
            </w:pPr>
            <w:r>
              <w:rPr>
                <w:bCs/>
                <w:i/>
                <w:iCs/>
                <w:color w:val="auto"/>
                <w:szCs w:val="24"/>
                <w:shd w:val="clear" w:color="auto" w:fill="FFFFFF"/>
              </w:rPr>
              <w:t>S</w:t>
            </w:r>
            <w:r>
              <w:rPr>
                <w:bCs/>
                <w:color w:val="auto"/>
                <w:szCs w:val="24"/>
                <w:shd w:val="clear" w:color="auto" w:fill="FFFFFF"/>
              </w:rPr>
              <w:t>—透声面积，m</w:t>
            </w:r>
            <w:r>
              <w:rPr>
                <w:bCs/>
                <w:color w:val="auto"/>
                <w:szCs w:val="24"/>
                <w:shd w:val="clear" w:color="auto" w:fill="FFFFFF"/>
                <w:vertAlign w:val="superscript"/>
              </w:rPr>
              <w:t>2</w:t>
            </w:r>
            <w:r>
              <w:rPr>
                <w:bCs/>
                <w:color w:val="auto"/>
                <w:szCs w:val="24"/>
                <w:shd w:val="clear" w:color="auto" w:fill="FFFFFF"/>
              </w:rPr>
              <w:t>。</w:t>
            </w:r>
          </w:p>
          <w:p w14:paraId="30C2F7EC">
            <w:pPr>
              <w:pStyle w:val="181"/>
              <w:wordWrap/>
              <w:ind w:firstLine="480"/>
              <w:rPr>
                <w:bCs/>
                <w:color w:val="auto"/>
                <w:szCs w:val="24"/>
                <w:shd w:val="clear" w:color="auto" w:fill="FFFFFF"/>
              </w:rPr>
            </w:pPr>
            <w:r>
              <w:rPr>
                <w:rFonts w:hint="eastAsia"/>
                <w:bCs/>
                <w:color w:val="auto"/>
                <w:szCs w:val="24"/>
                <w:shd w:val="clear" w:color="auto" w:fill="FFFFFF"/>
                <w:lang w:eastAsia="zh-CN"/>
              </w:rPr>
              <w:t>⑤</w:t>
            </w:r>
            <w:r>
              <w:rPr>
                <w:rFonts w:hint="eastAsia"/>
                <w:bCs/>
                <w:color w:val="auto"/>
                <w:szCs w:val="24"/>
                <w:shd w:val="clear" w:color="auto" w:fill="FFFFFF"/>
              </w:rPr>
              <w:t>按室外声源预测方法计算预测点处的A声级。室外声源处于半自由声场情况下，且声源可看作是位于地面上的，则：</w:t>
            </w:r>
          </w:p>
          <w:p w14:paraId="110A9234">
            <w:pPr>
              <w:pStyle w:val="181"/>
              <w:keepNext w:val="0"/>
              <w:keepLines w:val="0"/>
              <w:pageBreakBefore w:val="0"/>
              <w:widowControl/>
              <w:kinsoku/>
              <w:wordWrap/>
              <w:overflowPunct/>
              <w:topLinePunct w:val="0"/>
              <w:autoSpaceDE/>
              <w:autoSpaceDN/>
              <w:bidi w:val="0"/>
              <w:adjustRightInd/>
              <w:snapToGrid/>
              <w:spacing w:line="360" w:lineRule="auto"/>
              <w:ind w:firstLine="480"/>
              <w:jc w:val="center"/>
              <w:textAlignment w:val="auto"/>
              <w:rPr>
                <w:rFonts w:ascii="Times New Roman" w:hAnsi="Times New Roman" w:eastAsia="宋体" w:cs="Times New Roman"/>
                <w:bCs/>
                <w:color w:val="auto"/>
                <w:kern w:val="0"/>
                <w:position w:val="-14"/>
                <w:sz w:val="24"/>
                <w:szCs w:val="24"/>
                <w:highlight w:val="none"/>
              </w:rPr>
            </w:pPr>
            <w:r>
              <w:rPr>
                <w:rFonts w:ascii="Times New Roman" w:hAnsi="Times New Roman" w:eastAsia="宋体" w:cs="Times New Roman"/>
                <w:bCs/>
                <w:color w:val="auto"/>
                <w:kern w:val="0"/>
                <w:position w:val="-14"/>
                <w:sz w:val="24"/>
                <w:szCs w:val="24"/>
                <w:highlight w:val="none"/>
              </w:rPr>
              <w:t>L</w:t>
            </w:r>
            <w:r>
              <w:rPr>
                <w:rFonts w:ascii="Times New Roman" w:hAnsi="Times New Roman" w:eastAsia="宋体" w:cs="Times New Roman"/>
                <w:bCs/>
                <w:color w:val="auto"/>
                <w:kern w:val="0"/>
                <w:position w:val="-14"/>
                <w:sz w:val="24"/>
                <w:szCs w:val="24"/>
                <w:highlight w:val="none"/>
                <w:vertAlign w:val="subscript"/>
              </w:rPr>
              <w:t>p</w:t>
            </w:r>
            <w:r>
              <w:rPr>
                <w:rFonts w:ascii="Times New Roman" w:hAnsi="Times New Roman" w:eastAsia="宋体" w:cs="Times New Roman"/>
                <w:bCs/>
                <w:color w:val="auto"/>
                <w:kern w:val="0"/>
                <w:position w:val="-14"/>
                <w:sz w:val="24"/>
                <w:szCs w:val="24"/>
                <w:highlight w:val="none"/>
              </w:rPr>
              <w:t>(r)=L</w:t>
            </w:r>
            <w:r>
              <w:rPr>
                <w:rFonts w:ascii="Times New Roman" w:hAnsi="Times New Roman" w:eastAsia="宋体" w:cs="Times New Roman"/>
                <w:bCs/>
                <w:color w:val="auto"/>
                <w:kern w:val="0"/>
                <w:position w:val="-14"/>
                <w:sz w:val="24"/>
                <w:szCs w:val="24"/>
                <w:highlight w:val="none"/>
                <w:vertAlign w:val="subscript"/>
              </w:rPr>
              <w:t>W</w:t>
            </w:r>
            <w:r>
              <w:rPr>
                <w:rFonts w:ascii="Times New Roman" w:hAnsi="Times New Roman" w:eastAsia="宋体" w:cs="Times New Roman"/>
                <w:bCs/>
                <w:color w:val="auto"/>
                <w:kern w:val="0"/>
                <w:position w:val="-14"/>
                <w:sz w:val="24"/>
                <w:szCs w:val="24"/>
                <w:highlight w:val="none"/>
              </w:rPr>
              <w:t>-20lg(r)-8</w:t>
            </w:r>
          </w:p>
          <w:p w14:paraId="5D98C981">
            <w:pPr>
              <w:pStyle w:val="181"/>
              <w:wordWrap/>
              <w:ind w:firstLine="480"/>
              <w:rPr>
                <w:rFonts w:hint="eastAsia" w:ascii="Times New Roman" w:hAnsi="Times New Roman" w:eastAsia="宋体" w:cs="Times New Roman"/>
                <w:bCs/>
                <w:color w:val="auto"/>
                <w:szCs w:val="24"/>
                <w:shd w:val="clear" w:color="auto" w:fill="FFFFFF"/>
                <w:lang w:eastAsia="zh-CN"/>
              </w:rPr>
            </w:pPr>
            <w:r>
              <w:rPr>
                <w:rFonts w:hint="eastAsia" w:ascii="Times New Roman" w:hAnsi="Times New Roman" w:eastAsia="宋体" w:cs="Times New Roman"/>
                <w:bCs/>
                <w:color w:val="auto"/>
                <w:szCs w:val="24"/>
                <w:shd w:val="clear" w:color="auto" w:fill="FFFFFF"/>
                <w:lang w:eastAsia="zh-CN"/>
              </w:rPr>
              <w:t>式中：</w:t>
            </w:r>
          </w:p>
          <w:p w14:paraId="7C2FB00A">
            <w:pPr>
              <w:pStyle w:val="181"/>
              <w:wordWrap/>
              <w:ind w:firstLine="960" w:firstLineChars="400"/>
              <w:rPr>
                <w:rFonts w:hint="eastAsia" w:ascii="Times New Roman" w:hAnsi="Times New Roman" w:eastAsia="宋体" w:cs="Times New Roman"/>
                <w:bCs/>
                <w:color w:val="auto"/>
                <w:szCs w:val="24"/>
                <w:shd w:val="clear" w:color="auto" w:fill="FFFFFF"/>
                <w:lang w:eastAsia="zh-CN"/>
              </w:rPr>
            </w:pPr>
            <w:r>
              <w:rPr>
                <w:rFonts w:hint="eastAsia" w:ascii="Times New Roman" w:hAnsi="Times New Roman" w:eastAsia="宋体" w:cs="Times New Roman"/>
                <w:bCs/>
                <w:color w:val="auto"/>
                <w:szCs w:val="24"/>
                <w:shd w:val="clear" w:color="auto" w:fill="FFFFFF"/>
                <w:lang w:eastAsia="zh-CN"/>
              </w:rPr>
              <w:t>r——点声源到受声点的距离，m。</w:t>
            </w:r>
          </w:p>
          <w:p w14:paraId="4135D307">
            <w:pPr>
              <w:pStyle w:val="181"/>
              <w:keepNext w:val="0"/>
              <w:keepLines w:val="0"/>
              <w:pageBreakBefore w:val="0"/>
              <w:widowControl/>
              <w:kinsoku/>
              <w:wordWrap/>
              <w:overflowPunct/>
              <w:topLinePunct w:val="0"/>
              <w:autoSpaceDE/>
              <w:autoSpaceDN/>
              <w:bidi w:val="0"/>
              <w:adjustRightInd/>
              <w:snapToGrid/>
              <w:spacing w:line="460" w:lineRule="exact"/>
              <w:ind w:firstLine="480" w:firstLineChars="200"/>
              <w:textAlignment w:val="auto"/>
              <w:rPr>
                <w:rFonts w:ascii="Times New Roman" w:hAnsi="Times New Roman" w:eastAsia="宋体" w:cs="Times New Roman"/>
                <w:bCs/>
                <w:color w:val="auto"/>
                <w:szCs w:val="24"/>
                <w:shd w:val="clear" w:color="auto" w:fill="FFFFFF"/>
              </w:rPr>
            </w:pPr>
            <w:r>
              <w:rPr>
                <w:rFonts w:ascii="Times New Roman" w:hAnsi="Times New Roman" w:eastAsia="宋体" w:cs="Times New Roman"/>
                <w:bCs/>
                <w:color w:val="auto"/>
                <w:szCs w:val="24"/>
                <w:shd w:val="clear" w:color="auto" w:fill="FFFFFF"/>
              </w:rPr>
              <w:fldChar w:fldCharType="begin"/>
            </w:r>
            <w:r>
              <w:rPr>
                <w:rFonts w:ascii="Times New Roman" w:hAnsi="Times New Roman" w:eastAsia="宋体" w:cs="Times New Roman"/>
                <w:bCs/>
                <w:color w:val="auto"/>
                <w:szCs w:val="24"/>
                <w:shd w:val="clear" w:color="auto" w:fill="FFFFFF"/>
              </w:rPr>
              <w:instrText xml:space="preserve">= 6 \* GB3</w:instrText>
            </w:r>
            <w:r>
              <w:rPr>
                <w:rFonts w:ascii="Times New Roman" w:hAnsi="Times New Roman" w:eastAsia="宋体" w:cs="Times New Roman"/>
                <w:bCs/>
                <w:color w:val="auto"/>
                <w:szCs w:val="24"/>
                <w:shd w:val="clear" w:color="auto" w:fill="FFFFFF"/>
              </w:rPr>
              <w:fldChar w:fldCharType="separate"/>
            </w:r>
            <w:r>
              <w:rPr>
                <w:rFonts w:ascii="Times New Roman" w:hAnsi="Times New Roman" w:eastAsia="宋体" w:cs="Times New Roman"/>
                <w:bCs/>
                <w:color w:val="auto"/>
                <w:szCs w:val="24"/>
                <w:shd w:val="clear" w:color="auto" w:fill="FFFFFF"/>
              </w:rPr>
              <w:t>⑥</w:t>
            </w:r>
            <w:r>
              <w:rPr>
                <w:rFonts w:ascii="Times New Roman" w:hAnsi="Times New Roman" w:eastAsia="宋体" w:cs="Times New Roman"/>
                <w:bCs/>
                <w:color w:val="auto"/>
                <w:szCs w:val="24"/>
                <w:shd w:val="clear" w:color="auto" w:fill="FFFFFF"/>
              </w:rPr>
              <w:fldChar w:fldCharType="end"/>
            </w:r>
            <w:r>
              <w:rPr>
                <w:rFonts w:ascii="Times New Roman" w:hAnsi="Times New Roman" w:eastAsia="宋体" w:cs="Times New Roman"/>
                <w:bCs/>
                <w:color w:val="auto"/>
                <w:szCs w:val="24"/>
                <w:shd w:val="clear" w:color="auto" w:fill="FFFFFF"/>
              </w:rPr>
              <w:t>倍频带声压级和A声级转换</w:t>
            </w:r>
          </w:p>
          <w:p w14:paraId="2960688A">
            <w:pPr>
              <w:pStyle w:val="181"/>
              <w:keepNext w:val="0"/>
              <w:keepLines w:val="0"/>
              <w:pageBreakBefore w:val="0"/>
              <w:widowControl/>
              <w:kinsoku/>
              <w:wordWrap/>
              <w:overflowPunct/>
              <w:topLinePunct w:val="0"/>
              <w:autoSpaceDE/>
              <w:autoSpaceDN/>
              <w:bidi w:val="0"/>
              <w:adjustRightInd/>
              <w:snapToGrid/>
              <w:spacing w:line="360" w:lineRule="auto"/>
              <w:ind w:left="0" w:leftChars="0" w:firstLine="0" w:firstLineChars="0"/>
              <w:jc w:val="center"/>
              <w:textAlignment w:val="auto"/>
              <w:rPr>
                <w:bCs/>
                <w:color w:val="auto"/>
                <w:position w:val="-10"/>
                <w:szCs w:val="24"/>
                <w:shd w:val="clear" w:color="auto" w:fill="FFFFFF"/>
              </w:rPr>
            </w:pPr>
            <w:r>
              <w:rPr>
                <w:bCs/>
                <w:color w:val="auto"/>
                <w:position w:val="-30"/>
                <w:szCs w:val="24"/>
                <w:shd w:val="clear" w:color="auto" w:fill="FFFFFF"/>
              </w:rPr>
              <w:object>
                <v:shape id="_x0000_i1026" o:spt="75" type="#_x0000_t75" style="height:46.1pt;width:147pt;" o:ole="t" filled="f" o:preferrelative="t" stroked="f" coordsize="21600,21600">
                  <v:path/>
                  <v:fill on="f" focussize="0,0"/>
                  <v:stroke on="f"/>
                  <v:imagedata r:id="rId34" o:title=""/>
                  <o:lock v:ext="edit" aspectratio="t"/>
                  <w10:wrap type="none"/>
                  <w10:anchorlock/>
                </v:shape>
                <o:OLEObject Type="Embed" ProgID="Equation.3" ShapeID="_x0000_i1026" DrawAspect="Content" ObjectID="_1468075725" r:id="rId33">
                  <o:LockedField>false</o:LockedField>
                </o:OLEObject>
              </w:object>
            </w:r>
          </w:p>
          <w:p w14:paraId="4991AA4B">
            <w:pPr>
              <w:pStyle w:val="181"/>
              <w:keepNext w:val="0"/>
              <w:keepLines w:val="0"/>
              <w:pageBreakBefore w:val="0"/>
              <w:widowControl/>
              <w:kinsoku/>
              <w:wordWrap/>
              <w:overflowPunct/>
              <w:topLinePunct w:val="0"/>
              <w:autoSpaceDE/>
              <w:autoSpaceDN/>
              <w:bidi w:val="0"/>
              <w:adjustRightInd/>
              <w:snapToGrid/>
              <w:spacing w:line="460" w:lineRule="exact"/>
              <w:ind w:firstLine="480" w:firstLineChars="200"/>
              <w:textAlignment w:val="auto"/>
              <w:rPr>
                <w:bCs/>
                <w:color w:val="auto"/>
                <w:szCs w:val="24"/>
                <w:shd w:val="clear" w:color="auto" w:fill="FFFFFF"/>
              </w:rPr>
            </w:pPr>
            <w:r>
              <w:rPr>
                <w:rFonts w:ascii="Times New Roman" w:hAnsi="Times New Roman" w:eastAsia="宋体" w:cs="Times New Roman"/>
                <w:bCs/>
                <w:color w:val="auto"/>
                <w:szCs w:val="24"/>
                <w:shd w:val="clear" w:color="auto" w:fill="FFFFFF"/>
              </w:rPr>
              <w:fldChar w:fldCharType="begin"/>
            </w:r>
            <w:r>
              <w:rPr>
                <w:rFonts w:ascii="Times New Roman" w:hAnsi="Times New Roman" w:eastAsia="宋体" w:cs="Times New Roman"/>
                <w:bCs/>
                <w:color w:val="auto"/>
                <w:szCs w:val="24"/>
                <w:shd w:val="clear" w:color="auto" w:fill="FFFFFF"/>
              </w:rPr>
              <w:instrText xml:space="preserve">= 7 \* GB3</w:instrText>
            </w:r>
            <w:r>
              <w:rPr>
                <w:rFonts w:ascii="Times New Roman" w:hAnsi="Times New Roman" w:eastAsia="宋体" w:cs="Times New Roman"/>
                <w:bCs/>
                <w:color w:val="auto"/>
                <w:szCs w:val="24"/>
                <w:shd w:val="clear" w:color="auto" w:fill="FFFFFF"/>
              </w:rPr>
              <w:fldChar w:fldCharType="separate"/>
            </w:r>
            <w:r>
              <w:rPr>
                <w:rFonts w:ascii="Times New Roman" w:hAnsi="Times New Roman" w:eastAsia="宋体" w:cs="Times New Roman"/>
                <w:bCs/>
                <w:color w:val="auto"/>
                <w:szCs w:val="24"/>
                <w:shd w:val="clear" w:color="auto" w:fill="FFFFFF"/>
              </w:rPr>
              <w:t>⑦</w:t>
            </w:r>
            <w:r>
              <w:rPr>
                <w:rFonts w:ascii="Times New Roman" w:hAnsi="Times New Roman" w:eastAsia="宋体" w:cs="Times New Roman"/>
                <w:bCs/>
                <w:color w:val="auto"/>
                <w:szCs w:val="24"/>
                <w:shd w:val="clear" w:color="auto" w:fill="FFFFFF"/>
              </w:rPr>
              <w:fldChar w:fldCharType="end"/>
            </w:r>
            <w:r>
              <w:rPr>
                <w:rFonts w:ascii="Times New Roman" w:hAnsi="Times New Roman" w:eastAsia="宋体" w:cs="Times New Roman"/>
                <w:bCs/>
                <w:color w:val="auto"/>
                <w:szCs w:val="24"/>
                <w:shd w:val="clear" w:color="auto" w:fill="FFFFFF"/>
              </w:rPr>
              <w:t>运行设备到厂界噪声叠加按照下式计算：</w:t>
            </w:r>
          </w:p>
          <w:p w14:paraId="554CE46E">
            <w:pPr>
              <w:pStyle w:val="181"/>
              <w:wordWrap/>
              <w:spacing w:line="360" w:lineRule="auto"/>
              <w:ind w:left="0" w:leftChars="0" w:firstLine="0" w:firstLineChars="0"/>
              <w:jc w:val="center"/>
              <w:rPr>
                <w:bCs/>
                <w:color w:val="auto"/>
                <w:szCs w:val="24"/>
                <w:shd w:val="clear" w:color="auto" w:fill="FFFFFF"/>
              </w:rPr>
            </w:pPr>
            <w:r>
              <w:rPr>
                <w:bCs/>
                <w:color w:val="auto"/>
                <w:position w:val="-34"/>
                <w:szCs w:val="24"/>
                <w:shd w:val="clear" w:color="auto" w:fill="FFFFFF"/>
              </w:rPr>
              <w:pict>
                <v:shape id="_x0000_i1027" o:spt="75" type="#_x0000_t75" style="height:40pt;width:204pt;" filled="f" o:preferrelative="t" stroked="f" coordsize="21600,21600">
                  <v:path/>
                  <v:fill on="f" focussize="0,0"/>
                  <v:stroke on="f"/>
                  <v:imagedata r:id="rId35" o:title=""/>
                  <o:lock v:ext="edit" aspectratio="t"/>
                  <w10:wrap type="none"/>
                  <w10:anchorlock/>
                </v:shape>
              </w:pict>
            </w:r>
          </w:p>
          <w:p w14:paraId="7B834922">
            <w:pPr>
              <w:pStyle w:val="181"/>
              <w:wordWrap/>
              <w:ind w:firstLine="480"/>
              <w:rPr>
                <w:bCs/>
                <w:color w:val="auto"/>
                <w:szCs w:val="24"/>
                <w:shd w:val="clear" w:color="auto" w:fill="FFFFFF"/>
              </w:rPr>
            </w:pPr>
            <w:r>
              <w:rPr>
                <w:bCs/>
                <w:color w:val="auto"/>
                <w:szCs w:val="24"/>
                <w:shd w:val="clear" w:color="auto" w:fill="FFFFFF"/>
              </w:rPr>
              <w:t>式中：</w:t>
            </w:r>
          </w:p>
          <w:p w14:paraId="168E6B73">
            <w:pPr>
              <w:pStyle w:val="181"/>
              <w:wordWrap/>
              <w:ind w:firstLine="960" w:firstLineChars="400"/>
              <w:rPr>
                <w:bCs/>
                <w:color w:val="auto"/>
                <w:szCs w:val="24"/>
                <w:shd w:val="clear" w:color="auto" w:fill="FFFFFF"/>
              </w:rPr>
            </w:pPr>
            <w:r>
              <w:rPr>
                <w:bCs/>
                <w:i/>
                <w:iCs/>
                <w:color w:val="auto"/>
                <w:szCs w:val="24"/>
                <w:shd w:val="clear" w:color="auto" w:fill="FFFFFF"/>
              </w:rPr>
              <w:t>L</w:t>
            </w:r>
            <w:r>
              <w:rPr>
                <w:bCs/>
                <w:i/>
                <w:iCs/>
                <w:color w:val="auto"/>
                <w:szCs w:val="24"/>
                <w:shd w:val="clear" w:color="auto" w:fill="FFFFFF"/>
                <w:vertAlign w:val="subscript"/>
              </w:rPr>
              <w:t>eqg</w:t>
            </w:r>
            <w:r>
              <w:rPr>
                <w:bCs/>
                <w:color w:val="auto"/>
                <w:szCs w:val="24"/>
                <w:shd w:val="clear" w:color="auto" w:fill="FFFFFF"/>
              </w:rPr>
              <w:t xml:space="preserve">—建设项目声源在预测点产生的噪声贡献值，dB； </w:t>
            </w:r>
          </w:p>
          <w:p w14:paraId="63B54942">
            <w:pPr>
              <w:pStyle w:val="181"/>
              <w:wordWrap/>
              <w:ind w:firstLine="960" w:firstLineChars="400"/>
              <w:rPr>
                <w:bCs/>
                <w:color w:val="auto"/>
                <w:szCs w:val="24"/>
                <w:shd w:val="clear" w:color="auto" w:fill="FFFFFF"/>
              </w:rPr>
            </w:pPr>
            <w:r>
              <w:rPr>
                <w:bCs/>
                <w:i/>
                <w:iCs/>
                <w:color w:val="auto"/>
                <w:szCs w:val="24"/>
                <w:shd w:val="clear" w:color="auto" w:fill="FFFFFF"/>
              </w:rPr>
              <w:t>T</w:t>
            </w:r>
            <w:r>
              <w:rPr>
                <w:bCs/>
                <w:color w:val="auto"/>
                <w:szCs w:val="24"/>
                <w:shd w:val="clear" w:color="auto" w:fill="FFFFFF"/>
              </w:rPr>
              <w:t xml:space="preserve">—用于计算等效声级的时间，s； </w:t>
            </w:r>
          </w:p>
          <w:p w14:paraId="0C62F228">
            <w:pPr>
              <w:pStyle w:val="181"/>
              <w:wordWrap/>
              <w:ind w:firstLine="960" w:firstLineChars="400"/>
              <w:rPr>
                <w:bCs/>
                <w:color w:val="auto"/>
                <w:szCs w:val="24"/>
                <w:shd w:val="clear" w:color="auto" w:fill="FFFFFF"/>
              </w:rPr>
            </w:pPr>
            <w:r>
              <w:rPr>
                <w:bCs/>
                <w:i/>
                <w:iCs/>
                <w:color w:val="auto"/>
                <w:szCs w:val="24"/>
                <w:shd w:val="clear" w:color="auto" w:fill="FFFFFF"/>
              </w:rPr>
              <w:t>N</w:t>
            </w:r>
            <w:r>
              <w:rPr>
                <w:bCs/>
                <w:color w:val="auto"/>
                <w:szCs w:val="24"/>
                <w:shd w:val="clear" w:color="auto" w:fill="FFFFFF"/>
              </w:rPr>
              <w:t>—室外声源个数；</w:t>
            </w:r>
          </w:p>
          <w:p w14:paraId="14102EAE">
            <w:pPr>
              <w:pStyle w:val="181"/>
              <w:wordWrap/>
              <w:ind w:firstLine="960" w:firstLineChars="400"/>
              <w:rPr>
                <w:bCs/>
                <w:color w:val="auto"/>
                <w:szCs w:val="24"/>
                <w:shd w:val="clear" w:color="auto" w:fill="FFFFFF"/>
              </w:rPr>
            </w:pPr>
            <w:r>
              <w:rPr>
                <w:bCs/>
                <w:i/>
                <w:iCs/>
                <w:color w:val="auto"/>
                <w:szCs w:val="24"/>
                <w:shd w:val="clear" w:color="auto" w:fill="FFFFFF"/>
              </w:rPr>
              <w:t>t</w:t>
            </w:r>
            <w:r>
              <w:rPr>
                <w:bCs/>
                <w:i/>
                <w:iCs/>
                <w:color w:val="auto"/>
                <w:szCs w:val="24"/>
                <w:shd w:val="clear" w:color="auto" w:fill="FFFFFF"/>
                <w:vertAlign w:val="subscript"/>
              </w:rPr>
              <w:t>i</w:t>
            </w:r>
            <w:r>
              <w:rPr>
                <w:bCs/>
                <w:color w:val="auto"/>
                <w:szCs w:val="24"/>
                <w:shd w:val="clear" w:color="auto" w:fill="FFFFFF"/>
              </w:rPr>
              <w:t>—在</w:t>
            </w:r>
            <w:r>
              <w:rPr>
                <w:bCs/>
                <w:i/>
                <w:iCs/>
                <w:color w:val="auto"/>
                <w:szCs w:val="24"/>
                <w:shd w:val="clear" w:color="auto" w:fill="FFFFFF"/>
              </w:rPr>
              <w:t>T</w:t>
            </w:r>
            <w:r>
              <w:rPr>
                <w:bCs/>
                <w:color w:val="auto"/>
                <w:szCs w:val="24"/>
                <w:shd w:val="clear" w:color="auto" w:fill="FFFFFF"/>
              </w:rPr>
              <w:t>时间内</w:t>
            </w:r>
            <w:r>
              <w:rPr>
                <w:bCs/>
                <w:i/>
                <w:iCs/>
                <w:color w:val="auto"/>
                <w:szCs w:val="24"/>
                <w:shd w:val="clear" w:color="auto" w:fill="FFFFFF"/>
              </w:rPr>
              <w:t>i</w:t>
            </w:r>
            <w:r>
              <w:rPr>
                <w:bCs/>
                <w:color w:val="auto"/>
                <w:szCs w:val="24"/>
                <w:shd w:val="clear" w:color="auto" w:fill="FFFFFF"/>
              </w:rPr>
              <w:t xml:space="preserve">声源工作时间，s； </w:t>
            </w:r>
          </w:p>
          <w:p w14:paraId="3777D7CA">
            <w:pPr>
              <w:pStyle w:val="181"/>
              <w:wordWrap/>
              <w:ind w:firstLine="960" w:firstLineChars="400"/>
              <w:rPr>
                <w:bCs/>
                <w:color w:val="auto"/>
                <w:szCs w:val="24"/>
                <w:shd w:val="clear" w:color="auto" w:fill="FFFFFF"/>
              </w:rPr>
            </w:pPr>
            <w:r>
              <w:rPr>
                <w:bCs/>
                <w:i/>
                <w:iCs/>
                <w:color w:val="auto"/>
                <w:szCs w:val="24"/>
                <w:shd w:val="clear" w:color="auto" w:fill="FFFFFF"/>
              </w:rPr>
              <w:t>M</w:t>
            </w:r>
            <w:r>
              <w:rPr>
                <w:bCs/>
                <w:color w:val="auto"/>
                <w:szCs w:val="24"/>
                <w:shd w:val="clear" w:color="auto" w:fill="FFFFFF"/>
              </w:rPr>
              <w:t>—等效室外声源个数；</w:t>
            </w:r>
          </w:p>
          <w:p w14:paraId="5C40A6D0">
            <w:pPr>
              <w:pStyle w:val="181"/>
              <w:wordWrap/>
              <w:ind w:firstLine="960" w:firstLineChars="400"/>
              <w:rPr>
                <w:bCs/>
                <w:color w:val="auto"/>
                <w:szCs w:val="24"/>
                <w:shd w:val="clear" w:color="auto" w:fill="FFFFFF"/>
              </w:rPr>
            </w:pPr>
            <w:r>
              <w:rPr>
                <w:bCs/>
                <w:i/>
                <w:iCs/>
                <w:color w:val="auto"/>
                <w:szCs w:val="24"/>
                <w:shd w:val="clear" w:color="auto" w:fill="FFFFFF"/>
              </w:rPr>
              <w:t>t</w:t>
            </w:r>
            <w:r>
              <w:rPr>
                <w:bCs/>
                <w:i/>
                <w:iCs/>
                <w:color w:val="auto"/>
                <w:szCs w:val="24"/>
                <w:shd w:val="clear" w:color="auto" w:fill="FFFFFF"/>
                <w:vertAlign w:val="subscript"/>
              </w:rPr>
              <w:t>j</w:t>
            </w:r>
            <w:r>
              <w:rPr>
                <w:bCs/>
                <w:color w:val="auto"/>
                <w:szCs w:val="24"/>
                <w:shd w:val="clear" w:color="auto" w:fill="FFFFFF"/>
              </w:rPr>
              <w:t>—在</w:t>
            </w:r>
            <w:r>
              <w:rPr>
                <w:bCs/>
                <w:i/>
                <w:iCs/>
                <w:color w:val="auto"/>
                <w:szCs w:val="24"/>
                <w:shd w:val="clear" w:color="auto" w:fill="FFFFFF"/>
              </w:rPr>
              <w:t>T</w:t>
            </w:r>
            <w:r>
              <w:rPr>
                <w:bCs/>
                <w:color w:val="auto"/>
                <w:szCs w:val="24"/>
                <w:shd w:val="clear" w:color="auto" w:fill="FFFFFF"/>
              </w:rPr>
              <w:t>时间内</w:t>
            </w:r>
            <w:r>
              <w:rPr>
                <w:bCs/>
                <w:i/>
                <w:iCs/>
                <w:color w:val="auto"/>
                <w:szCs w:val="24"/>
                <w:shd w:val="clear" w:color="auto" w:fill="FFFFFF"/>
              </w:rPr>
              <w:t>j</w:t>
            </w:r>
            <w:r>
              <w:rPr>
                <w:bCs/>
                <w:color w:val="auto"/>
                <w:szCs w:val="24"/>
                <w:shd w:val="clear" w:color="auto" w:fill="FFFFFF"/>
              </w:rPr>
              <w:t>声源工作时间，s。</w:t>
            </w:r>
          </w:p>
          <w:p w14:paraId="59F4BC44">
            <w:pPr>
              <w:pStyle w:val="181"/>
              <w:wordWrap/>
              <w:ind w:firstLine="480"/>
              <w:rPr>
                <w:bCs/>
                <w:color w:val="auto"/>
                <w:szCs w:val="24"/>
                <w:shd w:val="clear" w:color="auto" w:fill="FFFFFF"/>
              </w:rPr>
            </w:pPr>
            <w:r>
              <w:rPr>
                <w:rFonts w:hint="eastAsia"/>
                <w:bCs/>
                <w:color w:val="auto"/>
                <w:szCs w:val="24"/>
                <w:shd w:val="clear" w:color="auto" w:fill="FFFFFF"/>
              </w:rPr>
              <w:t>2、</w:t>
            </w:r>
            <w:r>
              <w:rPr>
                <w:bCs/>
                <w:color w:val="auto"/>
                <w:szCs w:val="24"/>
                <w:shd w:val="clear" w:color="auto" w:fill="FFFFFF"/>
              </w:rPr>
              <w:t>预测参数选取</w:t>
            </w:r>
          </w:p>
          <w:p w14:paraId="11E5B061">
            <w:pPr>
              <w:pStyle w:val="181"/>
              <w:wordWrap/>
              <w:ind w:firstLine="480"/>
              <w:rPr>
                <w:bCs/>
                <w:color w:val="auto"/>
                <w:szCs w:val="24"/>
                <w:shd w:val="clear" w:color="auto" w:fill="FFFFFF"/>
              </w:rPr>
            </w:pPr>
            <w:r>
              <w:rPr>
                <w:bCs/>
                <w:color w:val="auto"/>
                <w:szCs w:val="24"/>
                <w:shd w:val="clear" w:color="auto" w:fill="FFFFFF"/>
              </w:rPr>
              <w:t>本项目主要噪声设备及噪声源强见项目源强分析。</w:t>
            </w:r>
          </w:p>
          <w:p w14:paraId="4CC0E706">
            <w:pPr>
              <w:pStyle w:val="181"/>
              <w:wordWrap/>
              <w:ind w:firstLine="480"/>
              <w:rPr>
                <w:bCs/>
                <w:color w:val="auto"/>
                <w:szCs w:val="24"/>
                <w:shd w:val="clear" w:color="auto" w:fill="FFFFFF"/>
              </w:rPr>
            </w:pPr>
            <w:r>
              <w:rPr>
                <w:rFonts w:hint="eastAsia"/>
                <w:bCs/>
                <w:color w:val="auto"/>
                <w:szCs w:val="24"/>
                <w:shd w:val="clear" w:color="auto" w:fill="FFFFFF"/>
              </w:rPr>
              <w:t>3、</w:t>
            </w:r>
            <w:r>
              <w:rPr>
                <w:bCs/>
                <w:color w:val="auto"/>
                <w:szCs w:val="24"/>
                <w:shd w:val="clear" w:color="auto" w:fill="FFFFFF"/>
              </w:rPr>
              <w:t>预测计算结果</w:t>
            </w:r>
          </w:p>
          <w:p w14:paraId="56A4D196">
            <w:pPr>
              <w:pStyle w:val="181"/>
              <w:wordWrap/>
              <w:ind w:firstLine="480"/>
              <w:rPr>
                <w:bCs/>
                <w:color w:val="auto"/>
                <w:szCs w:val="24"/>
                <w:shd w:val="clear" w:color="auto" w:fill="FFFFFF"/>
              </w:rPr>
            </w:pPr>
            <w:r>
              <w:rPr>
                <w:rFonts w:eastAsiaTheme="minorEastAsia"/>
                <w:color w:val="auto"/>
                <w:szCs w:val="24"/>
              </w:rPr>
              <w:t>通过预测模型计算，项目厂界噪声预测结果与达标分析见</w:t>
            </w:r>
            <w:r>
              <w:rPr>
                <w:rFonts w:hint="eastAsia" w:eastAsiaTheme="minorEastAsia"/>
                <w:color w:val="auto"/>
                <w:szCs w:val="24"/>
                <w:lang w:eastAsia="zh-CN"/>
              </w:rPr>
              <w:t>下表</w:t>
            </w:r>
            <w:r>
              <w:rPr>
                <w:bCs/>
                <w:color w:val="auto"/>
                <w:szCs w:val="24"/>
                <w:shd w:val="clear" w:color="auto" w:fill="FFFFFF"/>
              </w:rPr>
              <w:t>。</w:t>
            </w:r>
          </w:p>
          <w:p w14:paraId="4A68ACAE">
            <w:pPr>
              <w:pStyle w:val="15"/>
              <w:keepNext w:val="0"/>
              <w:keepLines w:val="0"/>
              <w:pageBreakBefore w:val="0"/>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4</w:t>
            </w:r>
            <w:r>
              <w:rPr>
                <w:rFonts w:hint="eastAsia"/>
                <w:color w:val="auto"/>
                <w:lang w:eastAsia="zh-CN"/>
              </w:rPr>
              <w:t>-</w:t>
            </w:r>
            <w:r>
              <w:rPr>
                <w:rFonts w:hint="eastAsia"/>
                <w:color w:val="auto"/>
                <w:lang w:val="en-US" w:eastAsia="zh-CN"/>
              </w:rPr>
              <w:t>7</w:t>
            </w:r>
            <w:r>
              <w:rPr>
                <w:color w:val="auto"/>
              </w:rPr>
              <w:t xml:space="preserve"> 项目噪声预测结果表  单位：dB</w:t>
            </w:r>
            <w:r>
              <w:rPr>
                <w:rFonts w:hint="eastAsia"/>
                <w:color w:val="auto"/>
                <w:lang w:eastAsia="zh-CN"/>
              </w:rPr>
              <w:t>（</w:t>
            </w:r>
            <w:r>
              <w:rPr>
                <w:color w:val="auto"/>
              </w:rPr>
              <w:t>A</w:t>
            </w:r>
            <w:r>
              <w:rPr>
                <w:rFonts w:hint="eastAsia"/>
                <w:color w:val="auto"/>
                <w:lang w:eastAsia="zh-CN"/>
              </w:rPr>
              <w:t>）</w:t>
            </w:r>
          </w:p>
          <w:tbl>
            <w:tblPr>
              <w:tblStyle w:val="53"/>
              <w:tblpPr w:leftFromText="180" w:rightFromText="180" w:vertAnchor="text" w:tblpXSpec="center" w:tblpY="1"/>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5"/>
              <w:gridCol w:w="1385"/>
              <w:gridCol w:w="1852"/>
              <w:gridCol w:w="2089"/>
              <w:gridCol w:w="1654"/>
            </w:tblGrid>
            <w:tr w14:paraId="74609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01" w:type="pct"/>
                  <w:vMerge w:val="restart"/>
                  <w:vAlign w:val="center"/>
                </w:tcPr>
                <w:p w14:paraId="1222DEF9">
                  <w:pPr>
                    <w:pStyle w:val="287"/>
                    <w:framePr w:hSpace="0" w:wrap="auto" w:vAnchor="margin" w:hAnchor="text" w:xAlign="left" w:yAlign="inline"/>
                    <w:rPr>
                      <w:color w:val="auto"/>
                    </w:rPr>
                  </w:pPr>
                  <w:r>
                    <w:rPr>
                      <w:color w:val="auto"/>
                    </w:rPr>
                    <w:t>预测方位</w:t>
                  </w:r>
                </w:p>
              </w:tc>
              <w:tc>
                <w:tcPr>
                  <w:tcW w:w="813" w:type="pct"/>
                  <w:vMerge w:val="restart"/>
                  <w:vAlign w:val="center"/>
                </w:tcPr>
                <w:p w14:paraId="44203855">
                  <w:pPr>
                    <w:pStyle w:val="287"/>
                    <w:framePr w:hSpace="0" w:wrap="auto" w:vAnchor="margin" w:hAnchor="text" w:xAlign="left" w:yAlign="inline"/>
                    <w:rPr>
                      <w:color w:val="auto"/>
                    </w:rPr>
                  </w:pPr>
                  <w:r>
                    <w:rPr>
                      <w:color w:val="auto"/>
                    </w:rPr>
                    <w:t>时段</w:t>
                  </w:r>
                </w:p>
              </w:tc>
              <w:tc>
                <w:tcPr>
                  <w:tcW w:w="1087" w:type="pct"/>
                  <w:vMerge w:val="restart"/>
                  <w:vAlign w:val="center"/>
                </w:tcPr>
                <w:p w14:paraId="0359B86B">
                  <w:pPr>
                    <w:pStyle w:val="287"/>
                    <w:framePr w:hSpace="0" w:wrap="auto" w:vAnchor="margin" w:hAnchor="text" w:xAlign="left" w:yAlign="inline"/>
                    <w:rPr>
                      <w:color w:val="auto"/>
                    </w:rPr>
                  </w:pPr>
                  <w:r>
                    <w:rPr>
                      <w:color w:val="auto"/>
                    </w:rPr>
                    <w:t>贡献值（dB</w:t>
                  </w:r>
                  <w:r>
                    <w:rPr>
                      <w:rFonts w:hint="eastAsia"/>
                      <w:color w:val="auto"/>
                      <w:lang w:eastAsia="zh-CN"/>
                    </w:rPr>
                    <w:t>（</w:t>
                  </w:r>
                  <w:r>
                    <w:rPr>
                      <w:color w:val="auto"/>
                    </w:rPr>
                    <w:t>A</w:t>
                  </w:r>
                  <w:r>
                    <w:rPr>
                      <w:rFonts w:hint="eastAsia"/>
                      <w:color w:val="auto"/>
                      <w:lang w:eastAsia="zh-CN"/>
                    </w:rPr>
                    <w:t>）</w:t>
                  </w:r>
                  <w:r>
                    <w:rPr>
                      <w:color w:val="auto"/>
                    </w:rPr>
                    <w:t>）</w:t>
                  </w:r>
                </w:p>
              </w:tc>
              <w:tc>
                <w:tcPr>
                  <w:tcW w:w="1226" w:type="pct"/>
                  <w:vMerge w:val="restart"/>
                  <w:vAlign w:val="center"/>
                </w:tcPr>
                <w:p w14:paraId="1833DE1B">
                  <w:pPr>
                    <w:pStyle w:val="287"/>
                    <w:framePr w:hSpace="0" w:wrap="auto" w:vAnchor="margin" w:hAnchor="text" w:xAlign="left" w:yAlign="inline"/>
                    <w:rPr>
                      <w:color w:val="auto"/>
                    </w:rPr>
                  </w:pPr>
                  <w:r>
                    <w:rPr>
                      <w:color w:val="auto"/>
                    </w:rPr>
                    <w:t>标准限值（dB</w:t>
                  </w:r>
                  <w:r>
                    <w:rPr>
                      <w:rFonts w:hint="eastAsia"/>
                      <w:color w:val="auto"/>
                      <w:lang w:eastAsia="zh-CN"/>
                    </w:rPr>
                    <w:t>（</w:t>
                  </w:r>
                  <w:r>
                    <w:rPr>
                      <w:color w:val="auto"/>
                    </w:rPr>
                    <w:t>A</w:t>
                  </w:r>
                  <w:r>
                    <w:rPr>
                      <w:rFonts w:hint="eastAsia"/>
                      <w:color w:val="auto"/>
                      <w:lang w:eastAsia="zh-CN"/>
                    </w:rPr>
                    <w:t>）</w:t>
                  </w:r>
                  <w:r>
                    <w:rPr>
                      <w:color w:val="auto"/>
                    </w:rPr>
                    <w:t>）</w:t>
                  </w:r>
                </w:p>
              </w:tc>
              <w:tc>
                <w:tcPr>
                  <w:tcW w:w="970" w:type="pct"/>
                  <w:vMerge w:val="restart"/>
                  <w:vAlign w:val="center"/>
                </w:tcPr>
                <w:p w14:paraId="598E4C5F">
                  <w:pPr>
                    <w:pStyle w:val="287"/>
                    <w:framePr w:hSpace="0" w:wrap="auto" w:vAnchor="margin" w:hAnchor="text" w:xAlign="left" w:yAlign="inline"/>
                    <w:rPr>
                      <w:color w:val="auto"/>
                    </w:rPr>
                  </w:pPr>
                  <w:r>
                    <w:rPr>
                      <w:color w:val="auto"/>
                    </w:rPr>
                    <w:t>达标情况</w:t>
                  </w:r>
                </w:p>
              </w:tc>
            </w:tr>
            <w:tr w14:paraId="13482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901" w:type="pct"/>
                  <w:vMerge w:val="continue"/>
                  <w:shd w:val="clear" w:color="auto" w:fill="FFFFFF"/>
                  <w:vAlign w:val="center"/>
                </w:tcPr>
                <w:p w14:paraId="3885D1F4">
                  <w:pPr>
                    <w:pStyle w:val="287"/>
                    <w:framePr w:hSpace="0" w:wrap="auto" w:vAnchor="margin" w:hAnchor="text" w:xAlign="left" w:yAlign="inline"/>
                    <w:rPr>
                      <w:color w:val="auto"/>
                    </w:rPr>
                  </w:pPr>
                </w:p>
              </w:tc>
              <w:tc>
                <w:tcPr>
                  <w:tcW w:w="813" w:type="pct"/>
                  <w:vMerge w:val="continue"/>
                  <w:shd w:val="clear" w:color="auto" w:fill="FFFFFF"/>
                  <w:vAlign w:val="center"/>
                </w:tcPr>
                <w:p w14:paraId="5F7332DB">
                  <w:pPr>
                    <w:pStyle w:val="287"/>
                    <w:framePr w:hSpace="0" w:wrap="auto" w:vAnchor="margin" w:hAnchor="text" w:xAlign="left" w:yAlign="inline"/>
                    <w:rPr>
                      <w:color w:val="auto"/>
                    </w:rPr>
                  </w:pPr>
                </w:p>
              </w:tc>
              <w:tc>
                <w:tcPr>
                  <w:tcW w:w="1087" w:type="pct"/>
                  <w:vMerge w:val="continue"/>
                  <w:shd w:val="clear" w:color="auto" w:fill="FFFFFF"/>
                  <w:vAlign w:val="center"/>
                </w:tcPr>
                <w:p w14:paraId="0BDBA72D">
                  <w:pPr>
                    <w:pStyle w:val="287"/>
                    <w:framePr w:hSpace="0" w:wrap="auto" w:vAnchor="margin" w:hAnchor="text" w:xAlign="left" w:yAlign="inline"/>
                    <w:rPr>
                      <w:color w:val="auto"/>
                    </w:rPr>
                  </w:pPr>
                </w:p>
              </w:tc>
              <w:tc>
                <w:tcPr>
                  <w:tcW w:w="1226" w:type="pct"/>
                  <w:vMerge w:val="continue"/>
                  <w:shd w:val="clear" w:color="auto" w:fill="FFFFFF"/>
                  <w:vAlign w:val="center"/>
                </w:tcPr>
                <w:p w14:paraId="25909D0F">
                  <w:pPr>
                    <w:pStyle w:val="287"/>
                    <w:framePr w:hSpace="0" w:wrap="auto" w:vAnchor="margin" w:hAnchor="text" w:xAlign="left" w:yAlign="inline"/>
                    <w:rPr>
                      <w:color w:val="auto"/>
                    </w:rPr>
                  </w:pPr>
                </w:p>
              </w:tc>
              <w:tc>
                <w:tcPr>
                  <w:tcW w:w="970" w:type="pct"/>
                  <w:vMerge w:val="continue"/>
                  <w:shd w:val="clear" w:color="auto" w:fill="FFFFFF"/>
                  <w:vAlign w:val="center"/>
                </w:tcPr>
                <w:p w14:paraId="4F2F3343">
                  <w:pPr>
                    <w:pStyle w:val="287"/>
                    <w:framePr w:hSpace="0" w:wrap="auto" w:vAnchor="margin" w:hAnchor="text" w:xAlign="left" w:yAlign="inline"/>
                    <w:rPr>
                      <w:color w:val="auto"/>
                    </w:rPr>
                  </w:pPr>
                </w:p>
              </w:tc>
            </w:tr>
            <w:tr w14:paraId="05C04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trPr>
              <w:tc>
                <w:tcPr>
                  <w:tcW w:w="901" w:type="pct"/>
                  <w:vMerge w:val="restart"/>
                  <w:shd w:val="clear" w:color="auto" w:fill="FFFFFF"/>
                  <w:vAlign w:val="center"/>
                </w:tcPr>
                <w:p w14:paraId="7903F047">
                  <w:pPr>
                    <w:pStyle w:val="287"/>
                    <w:framePr w:hSpace="0" w:wrap="auto" w:vAnchor="margin" w:hAnchor="text" w:xAlign="left" w:yAlign="inline"/>
                    <w:rPr>
                      <w:color w:val="auto"/>
                    </w:rPr>
                  </w:pPr>
                  <w:r>
                    <w:rPr>
                      <w:color w:val="auto"/>
                    </w:rPr>
                    <w:t>东侧</w:t>
                  </w:r>
                </w:p>
              </w:tc>
              <w:tc>
                <w:tcPr>
                  <w:tcW w:w="813" w:type="pct"/>
                  <w:shd w:val="clear" w:color="auto" w:fill="FFFFFF"/>
                  <w:vAlign w:val="center"/>
                </w:tcPr>
                <w:p w14:paraId="01E952D6">
                  <w:pPr>
                    <w:pStyle w:val="287"/>
                    <w:framePr w:hSpace="0" w:wrap="auto" w:vAnchor="margin" w:hAnchor="text" w:xAlign="left" w:yAlign="inline"/>
                    <w:rPr>
                      <w:color w:val="auto"/>
                    </w:rPr>
                  </w:pPr>
                  <w:r>
                    <w:rPr>
                      <w:color w:val="auto"/>
                    </w:rPr>
                    <w:t>昼间</w:t>
                  </w:r>
                </w:p>
              </w:tc>
              <w:tc>
                <w:tcPr>
                  <w:tcW w:w="1087" w:type="pct"/>
                  <w:shd w:val="clear" w:color="auto" w:fill="FFFFFF"/>
                  <w:vAlign w:val="center"/>
                </w:tcPr>
                <w:p w14:paraId="7510AE6E">
                  <w:pPr>
                    <w:pStyle w:val="287"/>
                    <w:framePr w:hSpace="0" w:wrap="auto" w:vAnchor="margin" w:hAnchor="text" w:xAlign="left" w:yAlign="inline"/>
                    <w:rPr>
                      <w:rFonts w:hint="default" w:eastAsia="宋体"/>
                      <w:color w:val="auto"/>
                      <w:highlight w:val="none"/>
                      <w:lang w:val="en-US" w:eastAsia="zh-CN"/>
                    </w:rPr>
                  </w:pPr>
                  <w:r>
                    <w:rPr>
                      <w:rFonts w:hint="eastAsia"/>
                      <w:color w:val="auto"/>
                      <w:highlight w:val="none"/>
                      <w:lang w:val="en-US" w:eastAsia="zh-CN"/>
                    </w:rPr>
                    <w:t>52.9</w:t>
                  </w:r>
                </w:p>
              </w:tc>
              <w:tc>
                <w:tcPr>
                  <w:tcW w:w="1226" w:type="pct"/>
                  <w:shd w:val="clear" w:color="auto" w:fill="FFFFFF"/>
                  <w:vAlign w:val="center"/>
                </w:tcPr>
                <w:p w14:paraId="016E75C9">
                  <w:pPr>
                    <w:pStyle w:val="287"/>
                    <w:framePr w:hSpace="0" w:wrap="auto" w:vAnchor="margin" w:hAnchor="text" w:xAlign="left" w:yAlign="inline"/>
                    <w:rPr>
                      <w:color w:val="auto"/>
                    </w:rPr>
                  </w:pPr>
                  <w:r>
                    <w:rPr>
                      <w:color w:val="auto"/>
                    </w:rPr>
                    <w:t>65</w:t>
                  </w:r>
                </w:p>
              </w:tc>
              <w:tc>
                <w:tcPr>
                  <w:tcW w:w="970" w:type="pct"/>
                  <w:shd w:val="clear" w:color="auto" w:fill="FFFFFF"/>
                  <w:vAlign w:val="center"/>
                </w:tcPr>
                <w:p w14:paraId="0BBEC2F8">
                  <w:pPr>
                    <w:pStyle w:val="287"/>
                    <w:framePr w:hSpace="0" w:wrap="auto" w:vAnchor="margin" w:hAnchor="text" w:xAlign="left" w:yAlign="inline"/>
                    <w:rPr>
                      <w:color w:val="auto"/>
                    </w:rPr>
                  </w:pPr>
                  <w:r>
                    <w:rPr>
                      <w:color w:val="auto"/>
                    </w:rPr>
                    <w:t>达标</w:t>
                  </w:r>
                </w:p>
              </w:tc>
            </w:tr>
            <w:tr w14:paraId="6DEBD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trPr>
              <w:tc>
                <w:tcPr>
                  <w:tcW w:w="901" w:type="pct"/>
                  <w:vMerge w:val="continue"/>
                  <w:shd w:val="clear" w:color="auto" w:fill="FFFFFF"/>
                  <w:vAlign w:val="center"/>
                </w:tcPr>
                <w:p w14:paraId="3F45A703">
                  <w:pPr>
                    <w:pStyle w:val="287"/>
                    <w:framePr w:hSpace="0" w:wrap="auto" w:vAnchor="margin" w:hAnchor="text" w:xAlign="left" w:yAlign="inline"/>
                    <w:rPr>
                      <w:color w:val="auto"/>
                    </w:rPr>
                  </w:pPr>
                </w:p>
              </w:tc>
              <w:tc>
                <w:tcPr>
                  <w:tcW w:w="813" w:type="pct"/>
                  <w:shd w:val="clear" w:color="auto" w:fill="FFFFFF"/>
                  <w:vAlign w:val="center"/>
                </w:tcPr>
                <w:p w14:paraId="2CB56C32">
                  <w:pPr>
                    <w:pStyle w:val="287"/>
                    <w:framePr w:hSpace="0" w:wrap="auto" w:vAnchor="margin" w:hAnchor="text" w:xAlign="left" w:yAlign="inline"/>
                    <w:rPr>
                      <w:rFonts w:hint="eastAsia" w:eastAsia="宋体"/>
                      <w:color w:val="auto"/>
                      <w:lang w:eastAsia="zh-CN"/>
                    </w:rPr>
                  </w:pPr>
                  <w:r>
                    <w:rPr>
                      <w:rFonts w:hint="eastAsia"/>
                      <w:color w:val="auto"/>
                      <w:lang w:eastAsia="zh-CN"/>
                    </w:rPr>
                    <w:t>夜间</w:t>
                  </w:r>
                </w:p>
              </w:tc>
              <w:tc>
                <w:tcPr>
                  <w:tcW w:w="1087" w:type="pct"/>
                  <w:shd w:val="clear" w:color="auto" w:fill="FFFFFF"/>
                  <w:vAlign w:val="center"/>
                </w:tcPr>
                <w:p w14:paraId="7BCE331B">
                  <w:pPr>
                    <w:pStyle w:val="287"/>
                    <w:framePr w:hSpace="0" w:wrap="auto" w:vAnchor="margin" w:hAnchor="text" w:xAlign="left" w:yAlign="inline"/>
                    <w:rPr>
                      <w:rFonts w:hint="eastAsia"/>
                      <w:color w:val="auto"/>
                      <w:highlight w:val="none"/>
                      <w:lang w:val="en-US" w:eastAsia="zh-CN"/>
                    </w:rPr>
                  </w:pPr>
                  <w:r>
                    <w:rPr>
                      <w:rFonts w:hint="eastAsia"/>
                      <w:color w:val="auto"/>
                      <w:highlight w:val="none"/>
                      <w:lang w:val="en-US" w:eastAsia="zh-CN"/>
                    </w:rPr>
                    <w:t>52.9</w:t>
                  </w:r>
                </w:p>
              </w:tc>
              <w:tc>
                <w:tcPr>
                  <w:tcW w:w="1226" w:type="pct"/>
                  <w:shd w:val="clear" w:color="auto" w:fill="FFFFFF"/>
                  <w:vAlign w:val="center"/>
                </w:tcPr>
                <w:p w14:paraId="5B7FD95A">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55</w:t>
                  </w:r>
                </w:p>
              </w:tc>
              <w:tc>
                <w:tcPr>
                  <w:tcW w:w="970" w:type="pct"/>
                  <w:shd w:val="clear" w:color="auto" w:fill="FFFFFF"/>
                  <w:vAlign w:val="center"/>
                </w:tcPr>
                <w:p w14:paraId="31D0E44C">
                  <w:pPr>
                    <w:pStyle w:val="287"/>
                    <w:framePr w:hSpace="0" w:wrap="auto" w:vAnchor="margin" w:hAnchor="text" w:xAlign="left" w:yAlign="inline"/>
                    <w:rPr>
                      <w:color w:val="auto"/>
                    </w:rPr>
                  </w:pPr>
                  <w:r>
                    <w:rPr>
                      <w:color w:val="auto"/>
                    </w:rPr>
                    <w:t>达标</w:t>
                  </w:r>
                </w:p>
              </w:tc>
            </w:tr>
            <w:tr w14:paraId="1439D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trPr>
              <w:tc>
                <w:tcPr>
                  <w:tcW w:w="901" w:type="pct"/>
                  <w:vMerge w:val="restart"/>
                  <w:shd w:val="clear" w:color="auto" w:fill="FFFFFF"/>
                  <w:vAlign w:val="center"/>
                </w:tcPr>
                <w:p w14:paraId="1447BD1A">
                  <w:pPr>
                    <w:pStyle w:val="287"/>
                    <w:framePr w:hSpace="0" w:wrap="auto" w:vAnchor="margin" w:hAnchor="text" w:xAlign="left" w:yAlign="inline"/>
                    <w:rPr>
                      <w:color w:val="auto"/>
                    </w:rPr>
                  </w:pPr>
                  <w:r>
                    <w:rPr>
                      <w:color w:val="auto"/>
                    </w:rPr>
                    <w:t>南侧</w:t>
                  </w:r>
                </w:p>
              </w:tc>
              <w:tc>
                <w:tcPr>
                  <w:tcW w:w="813" w:type="pct"/>
                  <w:shd w:val="clear" w:color="auto" w:fill="FFFFFF"/>
                  <w:vAlign w:val="center"/>
                </w:tcPr>
                <w:p w14:paraId="29268545">
                  <w:pPr>
                    <w:pStyle w:val="287"/>
                    <w:framePr w:hSpace="0" w:wrap="auto" w:vAnchor="margin" w:hAnchor="text" w:xAlign="left" w:yAlign="inline"/>
                    <w:rPr>
                      <w:color w:val="auto"/>
                    </w:rPr>
                  </w:pPr>
                  <w:r>
                    <w:rPr>
                      <w:color w:val="auto"/>
                    </w:rPr>
                    <w:t>昼间</w:t>
                  </w:r>
                </w:p>
              </w:tc>
              <w:tc>
                <w:tcPr>
                  <w:tcW w:w="1087" w:type="pct"/>
                  <w:shd w:val="clear" w:color="auto" w:fill="FFFFFF"/>
                  <w:vAlign w:val="center"/>
                </w:tcPr>
                <w:p w14:paraId="6B5C9882">
                  <w:pPr>
                    <w:pStyle w:val="287"/>
                    <w:framePr w:hSpace="0" w:wrap="auto" w:vAnchor="margin" w:hAnchor="text" w:xAlign="left" w:yAlign="inline"/>
                    <w:rPr>
                      <w:rFonts w:hint="default" w:eastAsia="宋体"/>
                      <w:color w:val="auto"/>
                      <w:highlight w:val="none"/>
                      <w:lang w:val="en-US" w:eastAsia="zh-CN"/>
                    </w:rPr>
                  </w:pPr>
                  <w:r>
                    <w:rPr>
                      <w:rFonts w:hint="eastAsia"/>
                      <w:color w:val="auto"/>
                      <w:highlight w:val="none"/>
                      <w:lang w:val="en-US" w:eastAsia="zh-CN"/>
                    </w:rPr>
                    <w:t>48.1</w:t>
                  </w:r>
                </w:p>
              </w:tc>
              <w:tc>
                <w:tcPr>
                  <w:tcW w:w="1226" w:type="pct"/>
                  <w:shd w:val="clear" w:color="auto" w:fill="FFFFFF"/>
                  <w:vAlign w:val="center"/>
                </w:tcPr>
                <w:p w14:paraId="122C64EE">
                  <w:pPr>
                    <w:pStyle w:val="287"/>
                    <w:framePr w:hSpace="0" w:wrap="auto" w:vAnchor="margin" w:hAnchor="text" w:xAlign="left" w:yAlign="inline"/>
                    <w:rPr>
                      <w:color w:val="auto"/>
                    </w:rPr>
                  </w:pPr>
                  <w:r>
                    <w:rPr>
                      <w:color w:val="auto"/>
                    </w:rPr>
                    <w:t>65</w:t>
                  </w:r>
                </w:p>
              </w:tc>
              <w:tc>
                <w:tcPr>
                  <w:tcW w:w="970" w:type="pct"/>
                  <w:shd w:val="clear" w:color="auto" w:fill="FFFFFF"/>
                  <w:vAlign w:val="center"/>
                </w:tcPr>
                <w:p w14:paraId="0C4BB1F5">
                  <w:pPr>
                    <w:pStyle w:val="287"/>
                    <w:framePr w:hSpace="0" w:wrap="auto" w:vAnchor="margin" w:hAnchor="text" w:xAlign="left" w:yAlign="inline"/>
                    <w:rPr>
                      <w:color w:val="auto"/>
                    </w:rPr>
                  </w:pPr>
                  <w:r>
                    <w:rPr>
                      <w:color w:val="auto"/>
                    </w:rPr>
                    <w:t>达标</w:t>
                  </w:r>
                </w:p>
              </w:tc>
            </w:tr>
            <w:tr w14:paraId="5C3AE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trPr>
              <w:tc>
                <w:tcPr>
                  <w:tcW w:w="901" w:type="pct"/>
                  <w:vMerge w:val="continue"/>
                  <w:shd w:val="clear" w:color="auto" w:fill="FFFFFF"/>
                  <w:vAlign w:val="center"/>
                </w:tcPr>
                <w:p w14:paraId="02E03E02">
                  <w:pPr>
                    <w:pStyle w:val="287"/>
                    <w:framePr w:hSpace="0" w:wrap="auto" w:vAnchor="margin" w:hAnchor="text" w:xAlign="left" w:yAlign="inline"/>
                    <w:rPr>
                      <w:color w:val="auto"/>
                    </w:rPr>
                  </w:pPr>
                </w:p>
              </w:tc>
              <w:tc>
                <w:tcPr>
                  <w:tcW w:w="813" w:type="pct"/>
                  <w:shd w:val="clear" w:color="auto" w:fill="FFFFFF"/>
                  <w:vAlign w:val="center"/>
                </w:tcPr>
                <w:p w14:paraId="7E39E37C">
                  <w:pPr>
                    <w:pStyle w:val="287"/>
                    <w:framePr w:hSpace="0" w:wrap="auto" w:vAnchor="margin" w:hAnchor="text" w:xAlign="left" w:yAlign="inline"/>
                    <w:rPr>
                      <w:color w:val="auto"/>
                    </w:rPr>
                  </w:pPr>
                  <w:r>
                    <w:rPr>
                      <w:rFonts w:hint="eastAsia"/>
                      <w:color w:val="auto"/>
                      <w:lang w:eastAsia="zh-CN"/>
                    </w:rPr>
                    <w:t>夜间</w:t>
                  </w:r>
                </w:p>
              </w:tc>
              <w:tc>
                <w:tcPr>
                  <w:tcW w:w="1087" w:type="pct"/>
                  <w:shd w:val="clear" w:color="auto" w:fill="FFFFFF"/>
                  <w:vAlign w:val="center"/>
                </w:tcPr>
                <w:p w14:paraId="6010E25E">
                  <w:pPr>
                    <w:pStyle w:val="287"/>
                    <w:framePr w:hSpace="0" w:wrap="auto" w:vAnchor="margin" w:hAnchor="text" w:xAlign="left" w:yAlign="inline"/>
                    <w:rPr>
                      <w:rFonts w:hint="eastAsia"/>
                      <w:color w:val="auto"/>
                      <w:highlight w:val="none"/>
                      <w:lang w:val="en-US" w:eastAsia="zh-CN"/>
                    </w:rPr>
                  </w:pPr>
                  <w:r>
                    <w:rPr>
                      <w:rFonts w:hint="eastAsia"/>
                      <w:color w:val="auto"/>
                      <w:highlight w:val="none"/>
                      <w:lang w:val="en-US" w:eastAsia="zh-CN"/>
                    </w:rPr>
                    <w:t>48.1</w:t>
                  </w:r>
                </w:p>
              </w:tc>
              <w:tc>
                <w:tcPr>
                  <w:tcW w:w="1226" w:type="pct"/>
                  <w:shd w:val="clear" w:color="auto" w:fill="FFFFFF"/>
                  <w:vAlign w:val="center"/>
                </w:tcPr>
                <w:p w14:paraId="1855A992">
                  <w:pPr>
                    <w:pStyle w:val="287"/>
                    <w:framePr w:hSpace="0" w:wrap="auto" w:vAnchor="margin" w:hAnchor="text" w:xAlign="left" w:yAlign="inline"/>
                    <w:rPr>
                      <w:color w:val="auto"/>
                    </w:rPr>
                  </w:pPr>
                  <w:r>
                    <w:rPr>
                      <w:rFonts w:hint="eastAsia"/>
                      <w:color w:val="auto"/>
                      <w:lang w:val="en-US" w:eastAsia="zh-CN"/>
                    </w:rPr>
                    <w:t>55</w:t>
                  </w:r>
                </w:p>
              </w:tc>
              <w:tc>
                <w:tcPr>
                  <w:tcW w:w="970" w:type="pct"/>
                  <w:shd w:val="clear" w:color="auto" w:fill="FFFFFF"/>
                  <w:vAlign w:val="center"/>
                </w:tcPr>
                <w:p w14:paraId="48835496">
                  <w:pPr>
                    <w:pStyle w:val="287"/>
                    <w:framePr w:hSpace="0" w:wrap="auto" w:vAnchor="margin" w:hAnchor="text" w:xAlign="left" w:yAlign="inline"/>
                    <w:rPr>
                      <w:color w:val="auto"/>
                    </w:rPr>
                  </w:pPr>
                  <w:r>
                    <w:rPr>
                      <w:color w:val="auto"/>
                    </w:rPr>
                    <w:t>达标</w:t>
                  </w:r>
                </w:p>
              </w:tc>
            </w:tr>
            <w:tr w14:paraId="3A409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trPr>
              <w:tc>
                <w:tcPr>
                  <w:tcW w:w="901" w:type="pct"/>
                  <w:vMerge w:val="restart"/>
                  <w:shd w:val="clear" w:color="auto" w:fill="FFFFFF"/>
                  <w:vAlign w:val="center"/>
                </w:tcPr>
                <w:p w14:paraId="058E6C72">
                  <w:pPr>
                    <w:pStyle w:val="287"/>
                    <w:framePr w:hSpace="0" w:wrap="auto" w:vAnchor="margin" w:hAnchor="text" w:xAlign="left" w:yAlign="inline"/>
                    <w:rPr>
                      <w:color w:val="auto"/>
                    </w:rPr>
                  </w:pPr>
                  <w:r>
                    <w:rPr>
                      <w:color w:val="auto"/>
                    </w:rPr>
                    <w:t>西侧</w:t>
                  </w:r>
                </w:p>
              </w:tc>
              <w:tc>
                <w:tcPr>
                  <w:tcW w:w="813" w:type="pct"/>
                  <w:shd w:val="clear" w:color="auto" w:fill="FFFFFF"/>
                  <w:vAlign w:val="center"/>
                </w:tcPr>
                <w:p w14:paraId="417D5F25">
                  <w:pPr>
                    <w:pStyle w:val="287"/>
                    <w:framePr w:hSpace="0" w:wrap="auto" w:vAnchor="margin" w:hAnchor="text" w:xAlign="left" w:yAlign="inline"/>
                    <w:rPr>
                      <w:color w:val="auto"/>
                    </w:rPr>
                  </w:pPr>
                  <w:r>
                    <w:rPr>
                      <w:color w:val="auto"/>
                    </w:rPr>
                    <w:t>昼间</w:t>
                  </w:r>
                </w:p>
              </w:tc>
              <w:tc>
                <w:tcPr>
                  <w:tcW w:w="1087" w:type="pct"/>
                  <w:shd w:val="clear" w:color="auto" w:fill="FFFFFF"/>
                  <w:vAlign w:val="center"/>
                </w:tcPr>
                <w:p w14:paraId="42BDC41F">
                  <w:pPr>
                    <w:pStyle w:val="287"/>
                    <w:framePr w:hSpace="0" w:wrap="auto" w:vAnchor="margin" w:hAnchor="text" w:xAlign="left" w:yAlign="inline"/>
                    <w:rPr>
                      <w:rFonts w:hint="default" w:eastAsia="宋体"/>
                      <w:color w:val="auto"/>
                      <w:highlight w:val="none"/>
                      <w:lang w:val="en-US" w:eastAsia="zh-CN"/>
                    </w:rPr>
                  </w:pPr>
                  <w:r>
                    <w:rPr>
                      <w:rFonts w:hint="eastAsia"/>
                      <w:color w:val="auto"/>
                      <w:highlight w:val="none"/>
                      <w:lang w:val="en-US" w:eastAsia="zh-CN"/>
                    </w:rPr>
                    <w:t>44.6</w:t>
                  </w:r>
                </w:p>
              </w:tc>
              <w:tc>
                <w:tcPr>
                  <w:tcW w:w="1226" w:type="pct"/>
                  <w:shd w:val="clear" w:color="auto" w:fill="FFFFFF"/>
                  <w:vAlign w:val="center"/>
                </w:tcPr>
                <w:p w14:paraId="1A741280">
                  <w:pPr>
                    <w:pStyle w:val="287"/>
                    <w:framePr w:hSpace="0" w:wrap="auto" w:vAnchor="margin" w:hAnchor="text" w:xAlign="left" w:yAlign="inline"/>
                    <w:rPr>
                      <w:color w:val="auto"/>
                    </w:rPr>
                  </w:pPr>
                  <w:r>
                    <w:rPr>
                      <w:color w:val="auto"/>
                    </w:rPr>
                    <w:t>65</w:t>
                  </w:r>
                </w:p>
              </w:tc>
              <w:tc>
                <w:tcPr>
                  <w:tcW w:w="970" w:type="pct"/>
                  <w:shd w:val="clear" w:color="auto" w:fill="FFFFFF"/>
                  <w:vAlign w:val="center"/>
                </w:tcPr>
                <w:p w14:paraId="6ACA4E98">
                  <w:pPr>
                    <w:pStyle w:val="287"/>
                    <w:framePr w:hSpace="0" w:wrap="auto" w:vAnchor="margin" w:hAnchor="text" w:xAlign="left" w:yAlign="inline"/>
                    <w:rPr>
                      <w:color w:val="auto"/>
                    </w:rPr>
                  </w:pPr>
                  <w:r>
                    <w:rPr>
                      <w:color w:val="auto"/>
                    </w:rPr>
                    <w:t>达标</w:t>
                  </w:r>
                </w:p>
              </w:tc>
            </w:tr>
            <w:tr w14:paraId="37CE2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trPr>
              <w:tc>
                <w:tcPr>
                  <w:tcW w:w="901" w:type="pct"/>
                  <w:vMerge w:val="continue"/>
                  <w:shd w:val="clear" w:color="auto" w:fill="FFFFFF"/>
                  <w:vAlign w:val="center"/>
                </w:tcPr>
                <w:p w14:paraId="5CA1B40B">
                  <w:pPr>
                    <w:pStyle w:val="287"/>
                    <w:framePr w:hSpace="0" w:wrap="auto" w:vAnchor="margin" w:hAnchor="text" w:xAlign="left" w:yAlign="inline"/>
                    <w:rPr>
                      <w:color w:val="auto"/>
                    </w:rPr>
                  </w:pPr>
                </w:p>
              </w:tc>
              <w:tc>
                <w:tcPr>
                  <w:tcW w:w="813" w:type="pct"/>
                  <w:shd w:val="clear" w:color="auto" w:fill="FFFFFF"/>
                  <w:vAlign w:val="center"/>
                </w:tcPr>
                <w:p w14:paraId="4D32FA5A">
                  <w:pPr>
                    <w:pStyle w:val="287"/>
                    <w:framePr w:hSpace="0" w:wrap="auto" w:vAnchor="margin" w:hAnchor="text" w:xAlign="left" w:yAlign="inline"/>
                    <w:rPr>
                      <w:color w:val="auto"/>
                    </w:rPr>
                  </w:pPr>
                  <w:r>
                    <w:rPr>
                      <w:rFonts w:hint="eastAsia"/>
                      <w:color w:val="auto"/>
                      <w:lang w:eastAsia="zh-CN"/>
                    </w:rPr>
                    <w:t>夜间</w:t>
                  </w:r>
                </w:p>
              </w:tc>
              <w:tc>
                <w:tcPr>
                  <w:tcW w:w="1087" w:type="pct"/>
                  <w:shd w:val="clear" w:color="auto" w:fill="FFFFFF"/>
                  <w:vAlign w:val="center"/>
                </w:tcPr>
                <w:p w14:paraId="45E5484D">
                  <w:pPr>
                    <w:pStyle w:val="287"/>
                    <w:framePr w:hSpace="0" w:wrap="auto" w:vAnchor="margin" w:hAnchor="text" w:xAlign="left" w:yAlign="inline"/>
                    <w:rPr>
                      <w:rFonts w:hint="eastAsia"/>
                      <w:color w:val="auto"/>
                      <w:highlight w:val="none"/>
                      <w:lang w:val="en-US" w:eastAsia="zh-CN"/>
                    </w:rPr>
                  </w:pPr>
                  <w:r>
                    <w:rPr>
                      <w:rFonts w:hint="eastAsia"/>
                      <w:color w:val="auto"/>
                      <w:highlight w:val="none"/>
                      <w:lang w:val="en-US" w:eastAsia="zh-CN"/>
                    </w:rPr>
                    <w:t>44.6</w:t>
                  </w:r>
                </w:p>
              </w:tc>
              <w:tc>
                <w:tcPr>
                  <w:tcW w:w="1226" w:type="pct"/>
                  <w:shd w:val="clear" w:color="auto" w:fill="FFFFFF"/>
                  <w:vAlign w:val="center"/>
                </w:tcPr>
                <w:p w14:paraId="1D5407C7">
                  <w:pPr>
                    <w:pStyle w:val="287"/>
                    <w:framePr w:hSpace="0" w:wrap="auto" w:vAnchor="margin" w:hAnchor="text" w:xAlign="left" w:yAlign="inline"/>
                    <w:rPr>
                      <w:color w:val="auto"/>
                    </w:rPr>
                  </w:pPr>
                  <w:r>
                    <w:rPr>
                      <w:rFonts w:hint="eastAsia"/>
                      <w:color w:val="auto"/>
                      <w:lang w:val="en-US" w:eastAsia="zh-CN"/>
                    </w:rPr>
                    <w:t>55</w:t>
                  </w:r>
                </w:p>
              </w:tc>
              <w:tc>
                <w:tcPr>
                  <w:tcW w:w="970" w:type="pct"/>
                  <w:shd w:val="clear" w:color="auto" w:fill="FFFFFF"/>
                  <w:vAlign w:val="center"/>
                </w:tcPr>
                <w:p w14:paraId="720A8B30">
                  <w:pPr>
                    <w:pStyle w:val="287"/>
                    <w:framePr w:hSpace="0" w:wrap="auto" w:vAnchor="margin" w:hAnchor="text" w:xAlign="left" w:yAlign="inline"/>
                    <w:rPr>
                      <w:color w:val="auto"/>
                    </w:rPr>
                  </w:pPr>
                  <w:r>
                    <w:rPr>
                      <w:color w:val="auto"/>
                    </w:rPr>
                    <w:t>达标</w:t>
                  </w:r>
                </w:p>
              </w:tc>
            </w:tr>
            <w:tr w14:paraId="091E2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trPr>
              <w:tc>
                <w:tcPr>
                  <w:tcW w:w="901" w:type="pct"/>
                  <w:vMerge w:val="restart"/>
                  <w:shd w:val="clear" w:color="auto" w:fill="FFFFFF"/>
                  <w:vAlign w:val="center"/>
                </w:tcPr>
                <w:p w14:paraId="4721B94B">
                  <w:pPr>
                    <w:pStyle w:val="287"/>
                    <w:framePr w:hSpace="0" w:wrap="auto" w:vAnchor="margin" w:hAnchor="text" w:xAlign="left" w:yAlign="inline"/>
                    <w:rPr>
                      <w:color w:val="auto"/>
                    </w:rPr>
                  </w:pPr>
                  <w:r>
                    <w:rPr>
                      <w:color w:val="auto"/>
                    </w:rPr>
                    <w:t>北侧</w:t>
                  </w:r>
                </w:p>
              </w:tc>
              <w:tc>
                <w:tcPr>
                  <w:tcW w:w="813" w:type="pct"/>
                  <w:shd w:val="clear" w:color="auto" w:fill="FFFFFF"/>
                  <w:vAlign w:val="center"/>
                </w:tcPr>
                <w:p w14:paraId="723E4FDD">
                  <w:pPr>
                    <w:pStyle w:val="287"/>
                    <w:framePr w:hSpace="0" w:wrap="auto" w:vAnchor="margin" w:hAnchor="text" w:xAlign="left" w:yAlign="inline"/>
                    <w:rPr>
                      <w:color w:val="auto"/>
                    </w:rPr>
                  </w:pPr>
                  <w:r>
                    <w:rPr>
                      <w:color w:val="auto"/>
                    </w:rPr>
                    <w:t>昼间</w:t>
                  </w:r>
                </w:p>
              </w:tc>
              <w:tc>
                <w:tcPr>
                  <w:tcW w:w="1087" w:type="pct"/>
                  <w:shd w:val="clear" w:color="auto" w:fill="FFFFFF"/>
                  <w:vAlign w:val="center"/>
                </w:tcPr>
                <w:p w14:paraId="051098CF">
                  <w:pPr>
                    <w:pStyle w:val="287"/>
                    <w:framePr w:hSpace="0" w:wrap="auto" w:vAnchor="margin" w:hAnchor="text" w:xAlign="left" w:yAlign="inline"/>
                    <w:rPr>
                      <w:rFonts w:hint="default" w:eastAsia="宋体"/>
                      <w:color w:val="auto"/>
                      <w:highlight w:val="none"/>
                      <w:lang w:val="en-US" w:eastAsia="zh-CN"/>
                    </w:rPr>
                  </w:pPr>
                  <w:r>
                    <w:rPr>
                      <w:rFonts w:hint="eastAsia"/>
                      <w:color w:val="auto"/>
                      <w:highlight w:val="none"/>
                      <w:lang w:val="en-US" w:eastAsia="zh-CN"/>
                    </w:rPr>
                    <w:t>53.7</w:t>
                  </w:r>
                </w:p>
              </w:tc>
              <w:tc>
                <w:tcPr>
                  <w:tcW w:w="1226" w:type="pct"/>
                  <w:shd w:val="clear" w:color="auto" w:fill="FFFFFF"/>
                  <w:vAlign w:val="center"/>
                </w:tcPr>
                <w:p w14:paraId="53B7DA0E">
                  <w:pPr>
                    <w:pStyle w:val="287"/>
                    <w:framePr w:hSpace="0" w:wrap="auto" w:vAnchor="margin" w:hAnchor="text" w:xAlign="left" w:yAlign="inline"/>
                    <w:rPr>
                      <w:color w:val="auto"/>
                    </w:rPr>
                  </w:pPr>
                  <w:r>
                    <w:rPr>
                      <w:color w:val="auto"/>
                    </w:rPr>
                    <w:t>65</w:t>
                  </w:r>
                </w:p>
              </w:tc>
              <w:tc>
                <w:tcPr>
                  <w:tcW w:w="970" w:type="pct"/>
                  <w:shd w:val="clear" w:color="auto" w:fill="FFFFFF"/>
                  <w:vAlign w:val="center"/>
                </w:tcPr>
                <w:p w14:paraId="02DF2366">
                  <w:pPr>
                    <w:pStyle w:val="287"/>
                    <w:framePr w:hSpace="0" w:wrap="auto" w:vAnchor="margin" w:hAnchor="text" w:xAlign="left" w:yAlign="inline"/>
                    <w:rPr>
                      <w:color w:val="auto"/>
                    </w:rPr>
                  </w:pPr>
                  <w:r>
                    <w:rPr>
                      <w:color w:val="auto"/>
                    </w:rPr>
                    <w:t>达标</w:t>
                  </w:r>
                </w:p>
              </w:tc>
            </w:tr>
            <w:tr w14:paraId="5BA8C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340" w:hRule="exact"/>
              </w:trPr>
              <w:tc>
                <w:tcPr>
                  <w:tcW w:w="901" w:type="pct"/>
                  <w:vMerge w:val="continue"/>
                  <w:shd w:val="clear" w:color="auto" w:fill="FFFFFF"/>
                  <w:vAlign w:val="center"/>
                </w:tcPr>
                <w:p w14:paraId="1C478F18">
                  <w:pPr>
                    <w:pStyle w:val="287"/>
                    <w:framePr w:hSpace="0" w:wrap="auto" w:vAnchor="margin" w:hAnchor="text" w:xAlign="left" w:yAlign="inline"/>
                    <w:rPr>
                      <w:color w:val="auto"/>
                    </w:rPr>
                  </w:pPr>
                </w:p>
              </w:tc>
              <w:tc>
                <w:tcPr>
                  <w:tcW w:w="813" w:type="pct"/>
                  <w:shd w:val="clear" w:color="auto" w:fill="FFFFFF"/>
                  <w:vAlign w:val="center"/>
                </w:tcPr>
                <w:p w14:paraId="2ECEA0AE">
                  <w:pPr>
                    <w:pStyle w:val="287"/>
                    <w:framePr w:hSpace="0" w:wrap="auto" w:vAnchor="margin" w:hAnchor="text" w:xAlign="left" w:yAlign="inline"/>
                    <w:rPr>
                      <w:color w:val="auto"/>
                    </w:rPr>
                  </w:pPr>
                  <w:r>
                    <w:rPr>
                      <w:rFonts w:hint="eastAsia"/>
                      <w:color w:val="auto"/>
                      <w:lang w:eastAsia="zh-CN"/>
                    </w:rPr>
                    <w:t>夜间</w:t>
                  </w:r>
                </w:p>
              </w:tc>
              <w:tc>
                <w:tcPr>
                  <w:tcW w:w="1087" w:type="pct"/>
                  <w:shd w:val="clear" w:color="auto" w:fill="FFFFFF"/>
                  <w:vAlign w:val="center"/>
                </w:tcPr>
                <w:p w14:paraId="5BF63BD8">
                  <w:pPr>
                    <w:pStyle w:val="287"/>
                    <w:framePr w:hSpace="0" w:wrap="auto" w:vAnchor="margin" w:hAnchor="text" w:xAlign="left" w:yAlign="inline"/>
                    <w:rPr>
                      <w:rFonts w:hint="default"/>
                      <w:color w:val="auto"/>
                      <w:highlight w:val="none"/>
                      <w:lang w:val="en-US" w:eastAsia="zh-CN"/>
                    </w:rPr>
                  </w:pPr>
                  <w:r>
                    <w:rPr>
                      <w:rFonts w:hint="eastAsia"/>
                      <w:color w:val="auto"/>
                      <w:highlight w:val="none"/>
                      <w:lang w:val="en-US" w:eastAsia="zh-CN"/>
                    </w:rPr>
                    <w:t>53.7</w:t>
                  </w:r>
                </w:p>
              </w:tc>
              <w:tc>
                <w:tcPr>
                  <w:tcW w:w="1226" w:type="pct"/>
                  <w:shd w:val="clear" w:color="auto" w:fill="FFFFFF"/>
                  <w:vAlign w:val="center"/>
                </w:tcPr>
                <w:p w14:paraId="184F7644">
                  <w:pPr>
                    <w:pStyle w:val="287"/>
                    <w:framePr w:hSpace="0" w:wrap="auto" w:vAnchor="margin" w:hAnchor="text" w:xAlign="left" w:yAlign="inline"/>
                    <w:rPr>
                      <w:color w:val="auto"/>
                    </w:rPr>
                  </w:pPr>
                  <w:r>
                    <w:rPr>
                      <w:rFonts w:hint="eastAsia"/>
                      <w:color w:val="auto"/>
                      <w:lang w:val="en-US" w:eastAsia="zh-CN"/>
                    </w:rPr>
                    <w:t>55</w:t>
                  </w:r>
                </w:p>
              </w:tc>
              <w:tc>
                <w:tcPr>
                  <w:tcW w:w="970" w:type="pct"/>
                  <w:shd w:val="clear" w:color="auto" w:fill="FFFFFF"/>
                  <w:vAlign w:val="center"/>
                </w:tcPr>
                <w:p w14:paraId="5F7E9E3B">
                  <w:pPr>
                    <w:pStyle w:val="287"/>
                    <w:framePr w:hSpace="0" w:wrap="auto" w:vAnchor="margin" w:hAnchor="text" w:xAlign="left" w:yAlign="inline"/>
                    <w:rPr>
                      <w:color w:val="auto"/>
                    </w:rPr>
                  </w:pPr>
                  <w:r>
                    <w:rPr>
                      <w:color w:val="auto"/>
                    </w:rPr>
                    <w:t>达标</w:t>
                  </w:r>
                </w:p>
              </w:tc>
            </w:tr>
          </w:tbl>
          <w:p w14:paraId="42666A8E">
            <w:pPr>
              <w:pStyle w:val="771"/>
              <w:bidi w:val="0"/>
              <w:rPr>
                <w:b/>
                <w:bCs/>
                <w:color w:val="auto"/>
              </w:rPr>
            </w:pPr>
            <w:r>
              <w:rPr>
                <w:b/>
                <w:bCs/>
                <w:color w:val="auto"/>
              </w:rPr>
              <w:t xml:space="preserve">4.4.3 </w:t>
            </w:r>
            <w:r>
              <w:rPr>
                <w:rFonts w:hint="eastAsia"/>
                <w:b/>
                <w:bCs/>
                <w:color w:val="auto"/>
              </w:rPr>
              <w:t>噪声达标情况</w:t>
            </w:r>
          </w:p>
          <w:p w14:paraId="46FC99F8">
            <w:pPr>
              <w:pStyle w:val="771"/>
              <w:bidi w:val="0"/>
              <w:rPr>
                <w:rFonts w:hint="eastAsia"/>
                <w:color w:val="auto"/>
              </w:rPr>
            </w:pPr>
            <w:r>
              <w:rPr>
                <w:color w:val="auto"/>
              </w:rPr>
              <w:t>根据</w:t>
            </w:r>
            <w:r>
              <w:rPr>
                <w:rFonts w:hint="eastAsia"/>
                <w:color w:val="auto"/>
              </w:rPr>
              <w:t>《淮南市中心城区声环境功能区划分方案》（2021年），</w:t>
            </w:r>
            <w:r>
              <w:rPr>
                <w:color w:val="auto"/>
              </w:rPr>
              <w:t>本项目</w:t>
            </w:r>
            <w:r>
              <w:rPr>
                <w:rFonts w:hint="eastAsia"/>
                <w:color w:val="auto"/>
                <w:lang w:eastAsia="zh-CN"/>
              </w:rPr>
              <w:t>位于淮南市八公山区淮南舜岳水泥有限责任公司厂区内</w:t>
            </w:r>
            <w:r>
              <w:rPr>
                <w:color w:val="auto"/>
              </w:rPr>
              <w:t>，</w:t>
            </w:r>
            <w:r>
              <w:rPr>
                <w:rFonts w:hint="eastAsia"/>
                <w:color w:val="auto"/>
                <w:lang w:eastAsia="zh-CN"/>
              </w:rPr>
              <w:t>处于</w:t>
            </w:r>
            <w:r>
              <w:rPr>
                <w:color w:val="auto"/>
              </w:rPr>
              <w:t>声环境功能区3类区，厂界</w:t>
            </w:r>
            <w:r>
              <w:rPr>
                <w:rFonts w:hint="eastAsia"/>
                <w:color w:val="auto"/>
              </w:rPr>
              <w:t>四周噪声</w:t>
            </w:r>
            <w:r>
              <w:rPr>
                <w:color w:val="auto"/>
              </w:rPr>
              <w:t>排放执行《工业企业厂界环境噪声排放标准》（GB12348-2008）3类标准</w:t>
            </w:r>
            <w:r>
              <w:rPr>
                <w:rFonts w:hint="eastAsia"/>
                <w:color w:val="auto"/>
              </w:rPr>
              <w:t>；</w:t>
            </w:r>
            <w:r>
              <w:rPr>
                <w:color w:val="auto"/>
              </w:rPr>
              <w:t>由预测分析结果可知，本项目经减振、建筑隔声以及距离衰减后，建设项目厂界昼</w:t>
            </w:r>
            <w:r>
              <w:rPr>
                <w:rFonts w:hint="eastAsia"/>
                <w:color w:val="auto"/>
                <w:lang w:eastAsia="zh-CN"/>
              </w:rPr>
              <w:t>夜</w:t>
            </w:r>
            <w:r>
              <w:rPr>
                <w:color w:val="auto"/>
              </w:rPr>
              <w:t>间</w:t>
            </w:r>
            <w:r>
              <w:rPr>
                <w:rFonts w:hint="eastAsia"/>
                <w:color w:val="auto"/>
                <w:lang w:eastAsia="zh-CN"/>
              </w:rPr>
              <w:t>噪</w:t>
            </w:r>
            <w:r>
              <w:rPr>
                <w:color w:val="auto"/>
              </w:rPr>
              <w:t>声预测值满足《工业企业厂界环境噪声排放标准》</w:t>
            </w:r>
            <w:r>
              <w:rPr>
                <w:rFonts w:hint="eastAsia"/>
                <w:color w:val="auto"/>
                <w:lang w:eastAsia="zh-CN"/>
              </w:rPr>
              <w:t>（</w:t>
            </w:r>
            <w:r>
              <w:rPr>
                <w:color w:val="auto"/>
              </w:rPr>
              <w:t>GB12348-2008</w:t>
            </w:r>
            <w:r>
              <w:rPr>
                <w:rFonts w:hint="eastAsia"/>
                <w:color w:val="auto"/>
                <w:lang w:eastAsia="zh-CN"/>
              </w:rPr>
              <w:t>）</w:t>
            </w:r>
            <w:r>
              <w:rPr>
                <w:color w:val="auto"/>
              </w:rPr>
              <w:t>中3类标准要求，</w:t>
            </w:r>
            <w:r>
              <w:rPr>
                <w:rFonts w:hint="eastAsia"/>
                <w:color w:val="auto"/>
                <w:lang w:eastAsia="zh-CN"/>
              </w:rPr>
              <w:t>因此，本项目不会对周围声环境产生明显影响</w:t>
            </w:r>
            <w:r>
              <w:rPr>
                <w:rFonts w:hint="eastAsia"/>
                <w:color w:val="auto"/>
              </w:rPr>
              <w:t>。</w:t>
            </w:r>
          </w:p>
          <w:p w14:paraId="6369E815">
            <w:pPr>
              <w:pStyle w:val="771"/>
              <w:bidi w:val="0"/>
              <w:rPr>
                <w:b/>
                <w:bCs/>
                <w:color w:val="auto"/>
              </w:rPr>
            </w:pPr>
            <w:r>
              <w:rPr>
                <w:b/>
                <w:bCs/>
                <w:color w:val="auto"/>
              </w:rPr>
              <w:t>4.4.</w:t>
            </w:r>
            <w:r>
              <w:rPr>
                <w:rFonts w:hint="eastAsia"/>
                <w:b/>
                <w:bCs/>
                <w:color w:val="auto"/>
                <w:lang w:val="en-US" w:eastAsia="zh-CN"/>
              </w:rPr>
              <w:t>4</w:t>
            </w:r>
            <w:r>
              <w:rPr>
                <w:b/>
                <w:bCs/>
                <w:color w:val="auto"/>
              </w:rPr>
              <w:t xml:space="preserve"> </w:t>
            </w:r>
            <w:r>
              <w:rPr>
                <w:rFonts w:hint="eastAsia"/>
                <w:b/>
                <w:bCs/>
                <w:color w:val="auto"/>
              </w:rPr>
              <w:t>噪声监测计划</w:t>
            </w:r>
          </w:p>
          <w:p w14:paraId="319069A8">
            <w:pPr>
              <w:pStyle w:val="771"/>
              <w:bidi w:val="0"/>
              <w:rPr>
                <w:rFonts w:hint="eastAsia"/>
                <w:color w:val="auto"/>
              </w:rPr>
            </w:pPr>
            <w:r>
              <w:rPr>
                <w:color w:val="auto"/>
              </w:rPr>
              <w:t>根据《排污单位自行监测技术指南 总则》（HJ819-2017）中的监测要求，本项目噪声监测计划如下表</w:t>
            </w:r>
            <w:r>
              <w:rPr>
                <w:rFonts w:hint="eastAsia"/>
                <w:color w:val="auto"/>
              </w:rPr>
              <w:t>。</w:t>
            </w:r>
          </w:p>
          <w:p w14:paraId="7D64F6AB">
            <w:pPr>
              <w:pStyle w:val="771"/>
              <w:bidi w:val="0"/>
              <w:rPr>
                <w:rFonts w:hint="eastAsia"/>
                <w:color w:val="auto"/>
              </w:rPr>
            </w:pPr>
          </w:p>
          <w:p w14:paraId="6D07263D">
            <w:pPr>
              <w:pStyle w:val="15"/>
              <w:keepNext w:val="0"/>
              <w:keepLines w:val="0"/>
              <w:pageBreakBefore w:val="0"/>
              <w:widowControl w:val="0"/>
              <w:tabs>
                <w:tab w:val="left" w:pos="3120"/>
              </w:tabs>
              <w:kinsoku/>
              <w:wordWrap/>
              <w:overflowPunct/>
              <w:topLinePunct w:val="0"/>
              <w:autoSpaceDE/>
              <w:autoSpaceDN/>
              <w:bidi w:val="0"/>
              <w:adjustRightInd w:val="0"/>
              <w:snapToGrid w:val="0"/>
              <w:spacing w:after="0" w:line="240" w:lineRule="auto"/>
              <w:textAlignment w:val="auto"/>
              <w:rPr>
                <w:color w:val="auto"/>
              </w:rPr>
            </w:pPr>
            <w:r>
              <w:rPr>
                <w:color w:val="auto"/>
              </w:rPr>
              <w:t xml:space="preserve">表 </w:t>
            </w:r>
            <w:r>
              <w:rPr>
                <w:rFonts w:hint="eastAsia"/>
                <w:color w:val="auto"/>
                <w:lang w:val="en-US" w:eastAsia="zh-CN"/>
              </w:rPr>
              <w:t>4</w:t>
            </w:r>
            <w:r>
              <w:rPr>
                <w:rFonts w:hint="eastAsia"/>
                <w:color w:val="auto"/>
                <w:lang w:eastAsia="zh-CN"/>
              </w:rPr>
              <w:t>-</w:t>
            </w:r>
            <w:r>
              <w:rPr>
                <w:rFonts w:hint="eastAsia"/>
                <w:color w:val="auto"/>
                <w:lang w:val="en-US" w:eastAsia="zh-CN"/>
              </w:rPr>
              <w:t>8</w:t>
            </w:r>
            <w:r>
              <w:rPr>
                <w:color w:val="auto"/>
              </w:rPr>
              <w:t xml:space="preserve"> 本项目噪声监测计划</w:t>
            </w:r>
          </w:p>
          <w:tbl>
            <w:tblPr>
              <w:tblStyle w:val="53"/>
              <w:tblpPr w:leftFromText="180" w:rightFromText="180" w:vertAnchor="text" w:tblpXSpec="center" w:tblpY="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4"/>
              <w:gridCol w:w="1627"/>
              <w:gridCol w:w="1681"/>
              <w:gridCol w:w="1434"/>
              <w:gridCol w:w="2892"/>
            </w:tblGrid>
            <w:tr w14:paraId="5F72C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19" w:type="pct"/>
                  <w:vAlign w:val="center"/>
                </w:tcPr>
                <w:p w14:paraId="22856561">
                  <w:pPr>
                    <w:pStyle w:val="287"/>
                    <w:framePr w:hSpace="0" w:wrap="auto" w:vAnchor="margin" w:hAnchor="text" w:xAlign="left" w:yAlign="inline"/>
                    <w:rPr>
                      <w:color w:val="auto"/>
                    </w:rPr>
                  </w:pPr>
                  <w:r>
                    <w:rPr>
                      <w:rFonts w:hint="eastAsia"/>
                      <w:color w:val="auto"/>
                    </w:rPr>
                    <w:t>污染类别</w:t>
                  </w:r>
                </w:p>
              </w:tc>
              <w:tc>
                <w:tcPr>
                  <w:tcW w:w="955" w:type="pct"/>
                  <w:vAlign w:val="center"/>
                </w:tcPr>
                <w:p w14:paraId="2A13A495">
                  <w:pPr>
                    <w:pStyle w:val="287"/>
                    <w:framePr w:hSpace="0" w:wrap="auto" w:vAnchor="margin" w:hAnchor="text" w:xAlign="left" w:yAlign="inline"/>
                    <w:rPr>
                      <w:color w:val="auto"/>
                    </w:rPr>
                  </w:pPr>
                  <w:r>
                    <w:rPr>
                      <w:color w:val="auto"/>
                    </w:rPr>
                    <w:t>监测</w:t>
                  </w:r>
                  <w:r>
                    <w:rPr>
                      <w:rFonts w:hint="eastAsia"/>
                      <w:color w:val="auto"/>
                    </w:rPr>
                    <w:t>点位</w:t>
                  </w:r>
                </w:p>
              </w:tc>
              <w:tc>
                <w:tcPr>
                  <w:tcW w:w="987" w:type="pct"/>
                  <w:vAlign w:val="center"/>
                </w:tcPr>
                <w:p w14:paraId="113431AD">
                  <w:pPr>
                    <w:pStyle w:val="287"/>
                    <w:framePr w:hSpace="0" w:wrap="auto" w:vAnchor="margin" w:hAnchor="text" w:xAlign="left" w:yAlign="inline"/>
                    <w:rPr>
                      <w:color w:val="auto"/>
                    </w:rPr>
                  </w:pPr>
                  <w:r>
                    <w:rPr>
                      <w:color w:val="auto"/>
                    </w:rPr>
                    <w:t>监测项目</w:t>
                  </w:r>
                </w:p>
              </w:tc>
              <w:tc>
                <w:tcPr>
                  <w:tcW w:w="842" w:type="pct"/>
                  <w:vAlign w:val="center"/>
                </w:tcPr>
                <w:p w14:paraId="35D4A5E1">
                  <w:pPr>
                    <w:pStyle w:val="287"/>
                    <w:framePr w:hSpace="0" w:wrap="auto" w:vAnchor="margin" w:hAnchor="text" w:xAlign="left" w:yAlign="inline"/>
                    <w:rPr>
                      <w:color w:val="auto"/>
                    </w:rPr>
                  </w:pPr>
                  <w:r>
                    <w:rPr>
                      <w:color w:val="auto"/>
                    </w:rPr>
                    <w:t>监测频率</w:t>
                  </w:r>
                </w:p>
              </w:tc>
              <w:tc>
                <w:tcPr>
                  <w:tcW w:w="1697" w:type="pct"/>
                  <w:vAlign w:val="center"/>
                </w:tcPr>
                <w:p w14:paraId="2345EF37">
                  <w:pPr>
                    <w:pStyle w:val="287"/>
                    <w:framePr w:hSpace="0" w:wrap="auto" w:vAnchor="margin" w:hAnchor="text" w:xAlign="left" w:yAlign="inline"/>
                    <w:rPr>
                      <w:color w:val="auto"/>
                    </w:rPr>
                  </w:pPr>
                  <w:r>
                    <w:rPr>
                      <w:color w:val="auto"/>
                    </w:rPr>
                    <w:t>执行排放标准</w:t>
                  </w:r>
                </w:p>
              </w:tc>
            </w:tr>
            <w:tr w14:paraId="2AAA6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19" w:type="pct"/>
                  <w:vAlign w:val="center"/>
                </w:tcPr>
                <w:p w14:paraId="2A416E98">
                  <w:pPr>
                    <w:pStyle w:val="287"/>
                    <w:framePr w:hSpace="0" w:wrap="auto" w:vAnchor="margin" w:hAnchor="text" w:xAlign="left" w:yAlign="inline"/>
                    <w:rPr>
                      <w:color w:val="auto"/>
                    </w:rPr>
                  </w:pPr>
                  <w:r>
                    <w:rPr>
                      <w:color w:val="auto"/>
                    </w:rPr>
                    <w:t>噪声</w:t>
                  </w:r>
                </w:p>
              </w:tc>
              <w:tc>
                <w:tcPr>
                  <w:tcW w:w="955" w:type="pct"/>
                  <w:vAlign w:val="center"/>
                </w:tcPr>
                <w:p w14:paraId="7365703D">
                  <w:pPr>
                    <w:pStyle w:val="287"/>
                    <w:framePr w:hSpace="0" w:wrap="auto" w:vAnchor="margin" w:hAnchor="text" w:xAlign="left" w:yAlign="inline"/>
                    <w:rPr>
                      <w:color w:val="auto"/>
                    </w:rPr>
                  </w:pPr>
                  <w:r>
                    <w:rPr>
                      <w:rFonts w:hint="eastAsia"/>
                      <w:color w:val="auto"/>
                    </w:rPr>
                    <w:t>厂</w:t>
                  </w:r>
                  <w:r>
                    <w:rPr>
                      <w:color w:val="auto"/>
                    </w:rPr>
                    <w:t>界外1</w:t>
                  </w:r>
                  <w:r>
                    <w:rPr>
                      <w:rFonts w:hint="eastAsia"/>
                      <w:color w:val="auto"/>
                    </w:rPr>
                    <w:t>m</w:t>
                  </w:r>
                  <w:r>
                    <w:rPr>
                      <w:color w:val="auto"/>
                    </w:rPr>
                    <w:t>处</w:t>
                  </w:r>
                </w:p>
              </w:tc>
              <w:tc>
                <w:tcPr>
                  <w:tcW w:w="987" w:type="pct"/>
                  <w:vAlign w:val="center"/>
                </w:tcPr>
                <w:p w14:paraId="646609A7">
                  <w:pPr>
                    <w:pStyle w:val="287"/>
                    <w:framePr w:hSpace="0" w:wrap="auto" w:vAnchor="margin" w:hAnchor="text" w:xAlign="left" w:yAlign="inline"/>
                    <w:rPr>
                      <w:color w:val="auto"/>
                    </w:rPr>
                  </w:pPr>
                  <w:r>
                    <w:rPr>
                      <w:color w:val="auto"/>
                    </w:rPr>
                    <w:t>等效连续A声级</w:t>
                  </w:r>
                </w:p>
                <w:p w14:paraId="01BB0394">
                  <w:pPr>
                    <w:pStyle w:val="287"/>
                    <w:framePr w:hSpace="0" w:wrap="auto" w:vAnchor="margin" w:hAnchor="text" w:xAlign="left" w:yAlign="inline"/>
                    <w:rPr>
                      <w:color w:val="auto"/>
                    </w:rPr>
                  </w:pPr>
                  <w:r>
                    <w:rPr>
                      <w:color w:val="auto"/>
                    </w:rPr>
                    <w:t>（</w:t>
                  </w:r>
                  <w:r>
                    <w:rPr>
                      <w:rFonts w:hint="eastAsia"/>
                      <w:color w:val="auto"/>
                      <w:lang w:val="en-US"/>
                    </w:rPr>
                    <w:t>昼</w:t>
                  </w:r>
                  <w:r>
                    <w:rPr>
                      <w:rFonts w:hint="eastAsia"/>
                      <w:color w:val="auto"/>
                      <w:lang w:val="en-US" w:eastAsia="zh-CN"/>
                    </w:rPr>
                    <w:t>夜</w:t>
                  </w:r>
                  <w:r>
                    <w:rPr>
                      <w:color w:val="auto"/>
                    </w:rPr>
                    <w:t>）</w:t>
                  </w:r>
                </w:p>
              </w:tc>
              <w:tc>
                <w:tcPr>
                  <w:tcW w:w="842" w:type="pct"/>
                  <w:vAlign w:val="center"/>
                </w:tcPr>
                <w:p w14:paraId="050713BB">
                  <w:pPr>
                    <w:pStyle w:val="287"/>
                    <w:framePr w:hSpace="0" w:wrap="auto" w:vAnchor="margin" w:hAnchor="text" w:xAlign="left" w:yAlign="inline"/>
                    <w:rPr>
                      <w:color w:val="auto"/>
                    </w:rPr>
                  </w:pPr>
                  <w:r>
                    <w:rPr>
                      <w:color w:val="auto"/>
                    </w:rPr>
                    <w:t>1次/</w:t>
                  </w:r>
                  <w:r>
                    <w:rPr>
                      <w:rFonts w:hint="eastAsia"/>
                      <w:color w:val="auto"/>
                    </w:rPr>
                    <w:t>季度</w:t>
                  </w:r>
                </w:p>
              </w:tc>
              <w:tc>
                <w:tcPr>
                  <w:tcW w:w="1697" w:type="pct"/>
                  <w:vAlign w:val="center"/>
                </w:tcPr>
                <w:p w14:paraId="07A8D2C7">
                  <w:pPr>
                    <w:pStyle w:val="287"/>
                    <w:framePr w:hSpace="0" w:wrap="auto" w:vAnchor="margin" w:hAnchor="text" w:xAlign="left" w:yAlign="inline"/>
                    <w:rPr>
                      <w:color w:val="auto"/>
                    </w:rPr>
                  </w:pPr>
                  <w:r>
                    <w:rPr>
                      <w:color w:val="auto"/>
                    </w:rPr>
                    <w:t>《工业企业厂界环境噪声排放标准》（GB12348-2008）</w:t>
                  </w:r>
                  <w:r>
                    <w:rPr>
                      <w:rFonts w:hint="eastAsia"/>
                      <w:color w:val="auto"/>
                    </w:rPr>
                    <w:t>3</w:t>
                  </w:r>
                  <w:r>
                    <w:rPr>
                      <w:color w:val="auto"/>
                    </w:rPr>
                    <w:t>类</w:t>
                  </w:r>
                </w:p>
              </w:tc>
            </w:tr>
          </w:tbl>
          <w:p w14:paraId="7A956D15">
            <w:pPr>
              <w:pStyle w:val="771"/>
              <w:bidi w:val="0"/>
              <w:ind w:left="0" w:leftChars="0" w:firstLine="0" w:firstLineChars="0"/>
              <w:rPr>
                <w:b/>
                <w:bCs/>
                <w:color w:val="auto"/>
              </w:rPr>
            </w:pPr>
            <w:bookmarkStart w:id="25" w:name="_Hlk174976929"/>
            <w:bookmarkStart w:id="26" w:name="_Hlk174976989"/>
            <w:r>
              <w:rPr>
                <w:b/>
                <w:bCs/>
                <w:color w:val="auto"/>
              </w:rPr>
              <w:t xml:space="preserve">4.5 </w:t>
            </w:r>
            <w:r>
              <w:rPr>
                <w:rFonts w:hint="eastAsia"/>
                <w:b/>
                <w:bCs/>
                <w:color w:val="auto"/>
              </w:rPr>
              <w:t>营运期固废治理措施和环境影响分析</w:t>
            </w:r>
          </w:p>
          <w:p w14:paraId="635AC5E8">
            <w:pPr>
              <w:pStyle w:val="771"/>
              <w:bidi w:val="0"/>
              <w:rPr>
                <w:b/>
                <w:bCs/>
                <w:color w:val="auto"/>
              </w:rPr>
            </w:pPr>
            <w:r>
              <w:rPr>
                <w:b/>
                <w:bCs/>
                <w:color w:val="auto"/>
              </w:rPr>
              <w:t>4.5.1 本</w:t>
            </w:r>
            <w:r>
              <w:rPr>
                <w:rFonts w:hint="eastAsia"/>
                <w:b/>
                <w:bCs/>
                <w:color w:val="auto"/>
              </w:rPr>
              <w:t>项目固废污染源强情况</w:t>
            </w:r>
          </w:p>
          <w:p w14:paraId="51929643">
            <w:pPr>
              <w:pStyle w:val="771"/>
              <w:bidi w:val="0"/>
              <w:rPr>
                <w:color w:val="auto"/>
              </w:rPr>
            </w:pPr>
            <w:r>
              <w:rPr>
                <w:rFonts w:hint="eastAsia"/>
                <w:color w:val="auto"/>
              </w:rPr>
              <w:t>本项目运营期产生的固体废物</w:t>
            </w:r>
            <w:r>
              <w:rPr>
                <w:rFonts w:hint="eastAsia"/>
                <w:color w:val="auto"/>
                <w:lang w:eastAsia="zh-CN"/>
              </w:rPr>
              <w:t>主要为矸石、煤泥、废机油、废机油桶、废含油抹布手套和生活垃圾</w:t>
            </w:r>
            <w:r>
              <w:rPr>
                <w:rFonts w:hint="eastAsia"/>
                <w:color w:val="auto"/>
              </w:rPr>
              <w:t>。</w:t>
            </w:r>
          </w:p>
          <w:p w14:paraId="33EE28BF">
            <w:pPr>
              <w:pStyle w:val="771"/>
              <w:bidi w:val="0"/>
              <w:rPr>
                <w:rFonts w:hint="default"/>
                <w:color w:val="auto"/>
                <w:lang w:val="en-US" w:eastAsia="zh-CN"/>
              </w:rPr>
            </w:pPr>
            <w:r>
              <w:rPr>
                <w:rFonts w:hint="eastAsia"/>
                <w:color w:val="auto"/>
                <w:lang w:val="en-US" w:eastAsia="zh-CN"/>
              </w:rPr>
              <w:t>1、</w:t>
            </w:r>
            <w:r>
              <w:rPr>
                <w:rFonts w:hint="eastAsia"/>
                <w:color w:val="auto"/>
                <w:lang w:eastAsia="zh-CN"/>
              </w:rPr>
              <w:t>矸石</w:t>
            </w:r>
          </w:p>
          <w:p w14:paraId="08E69319">
            <w:pPr>
              <w:pStyle w:val="771"/>
              <w:bidi w:val="0"/>
              <w:rPr>
                <w:rFonts w:hint="eastAsia"/>
                <w:color w:val="auto"/>
                <w:lang w:val="en-US" w:eastAsia="zh-CN"/>
              </w:rPr>
            </w:pPr>
            <w:r>
              <w:rPr>
                <w:rFonts w:hint="eastAsia"/>
                <w:color w:val="auto"/>
                <w:lang w:val="en-US" w:eastAsia="zh-CN"/>
              </w:rPr>
              <w:t>本项目矸石产生量约为134万吨/年，暂存于矸石堆棚，作为胶凝材料原料交由淮南市八公山区淮南舜岳水泥有限责任公司内部自用。</w:t>
            </w:r>
          </w:p>
          <w:p w14:paraId="222477FE">
            <w:pPr>
              <w:pStyle w:val="771"/>
              <w:bidi w:val="0"/>
              <w:rPr>
                <w:rFonts w:hint="eastAsia"/>
                <w:color w:val="auto"/>
                <w:lang w:val="en-US" w:eastAsia="zh-CN"/>
              </w:rPr>
            </w:pPr>
            <w:r>
              <w:rPr>
                <w:rFonts w:hint="eastAsia"/>
                <w:color w:val="auto"/>
                <w:lang w:val="en-US" w:eastAsia="zh-CN"/>
              </w:rPr>
              <w:t>2、煤泥</w:t>
            </w:r>
          </w:p>
          <w:p w14:paraId="0CD358BA">
            <w:pPr>
              <w:pStyle w:val="771"/>
              <w:bidi w:val="0"/>
              <w:rPr>
                <w:rFonts w:hint="default"/>
                <w:color w:val="auto"/>
                <w:lang w:val="en-US" w:eastAsia="zh-CN"/>
              </w:rPr>
            </w:pPr>
            <w:r>
              <w:rPr>
                <w:rFonts w:hint="eastAsia"/>
                <w:color w:val="auto"/>
                <w:lang w:val="en-US" w:eastAsia="zh-CN"/>
              </w:rPr>
              <w:t>本项目原煤洗选过程中产生煤泥量约为13万t/a，煤泥饼产生后直接装车由淮南市八公山区淮南舜岳水泥有限责任公司综合利用，日产日清，不在厂区堆存。</w:t>
            </w:r>
          </w:p>
          <w:p w14:paraId="0C866B83">
            <w:pPr>
              <w:pStyle w:val="771"/>
              <w:bidi w:val="0"/>
              <w:rPr>
                <w:rFonts w:hint="default"/>
                <w:color w:val="auto"/>
                <w:lang w:val="en-US" w:eastAsia="zh-CN"/>
              </w:rPr>
            </w:pPr>
            <w:r>
              <w:rPr>
                <w:rFonts w:hint="eastAsia"/>
                <w:color w:val="auto"/>
                <w:lang w:val="en-US" w:eastAsia="zh-CN"/>
              </w:rPr>
              <w:t>3、</w:t>
            </w:r>
            <w:r>
              <w:rPr>
                <w:rFonts w:hint="eastAsia"/>
                <w:color w:val="auto"/>
                <w:lang w:eastAsia="zh-CN"/>
              </w:rPr>
              <w:t>废机油、废机油桶</w:t>
            </w:r>
          </w:p>
          <w:p w14:paraId="2923AF88">
            <w:pPr>
              <w:pStyle w:val="771"/>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为了维护设备的正常运行，各生产设备需定期维护。维修过程中会产生废机油、</w:t>
            </w:r>
            <w:r>
              <w:rPr>
                <w:rFonts w:hint="default" w:ascii="Times New Roman" w:hAnsi="Times New Roman" w:eastAsia="宋体" w:cs="Times New Roman"/>
                <w:color w:val="auto"/>
                <w:lang w:val="en-US" w:eastAsia="zh-CN"/>
              </w:rPr>
              <w:t>废</w:t>
            </w:r>
            <w:r>
              <w:rPr>
                <w:rFonts w:hint="eastAsia" w:ascii="Times New Roman" w:hAnsi="Times New Roman" w:eastAsia="宋体" w:cs="Times New Roman"/>
                <w:color w:val="auto"/>
                <w:lang w:val="en-US" w:eastAsia="zh-CN"/>
              </w:rPr>
              <w:t>机油</w:t>
            </w:r>
            <w:r>
              <w:rPr>
                <w:rFonts w:hint="default" w:ascii="Times New Roman" w:hAnsi="Times New Roman" w:eastAsia="宋体" w:cs="Times New Roman"/>
                <w:color w:val="auto"/>
                <w:lang w:val="en-US" w:eastAsia="zh-CN"/>
              </w:rPr>
              <w:t>桶</w:t>
            </w:r>
            <w:r>
              <w:rPr>
                <w:rFonts w:hint="eastAsia" w:ascii="Times New Roman" w:hAnsi="Times New Roman" w:eastAsia="宋体" w:cs="Times New Roman"/>
                <w:color w:val="auto"/>
                <w:lang w:val="en-US" w:eastAsia="zh-CN"/>
              </w:rPr>
              <w:t>。本项目产生的废机油约</w:t>
            </w:r>
            <w:r>
              <w:rPr>
                <w:rFonts w:hint="default" w:ascii="Times New Roman" w:hAnsi="Times New Roman" w:eastAsia="宋体" w:cs="Times New Roman"/>
                <w:color w:val="auto"/>
                <w:lang w:val="en-US" w:eastAsia="zh-CN"/>
              </w:rPr>
              <w:t>0.2t/a、废油桶0.1t/a。</w:t>
            </w:r>
            <w:r>
              <w:rPr>
                <w:rFonts w:hint="eastAsia"/>
                <w:color w:val="auto"/>
              </w:rPr>
              <w:t>根据</w:t>
            </w:r>
            <w:r>
              <w:rPr>
                <w:rFonts w:hint="eastAsia"/>
                <w:color w:val="auto"/>
                <w:lang w:eastAsia="zh-CN"/>
              </w:rPr>
              <w:t>《国家危险废物名录》（2025年版）</w:t>
            </w:r>
            <w:r>
              <w:rPr>
                <w:rFonts w:hint="eastAsia"/>
                <w:color w:val="auto"/>
              </w:rPr>
              <w:t>，</w:t>
            </w:r>
            <w:r>
              <w:rPr>
                <w:rFonts w:hint="eastAsia"/>
                <w:color w:val="auto"/>
                <w:lang w:eastAsia="zh-CN"/>
              </w:rPr>
              <w:t>属于危险废物，</w:t>
            </w:r>
            <w:r>
              <w:rPr>
                <w:rFonts w:hint="eastAsia"/>
                <w:color w:val="auto"/>
              </w:rPr>
              <w:t>暂存于危险废物暂存间，</w:t>
            </w:r>
            <w:r>
              <w:rPr>
                <w:rFonts w:hint="eastAsia"/>
                <w:color w:val="auto"/>
                <w:lang w:eastAsia="zh-CN"/>
              </w:rPr>
              <w:t>交由</w:t>
            </w:r>
            <w:r>
              <w:rPr>
                <w:color w:val="auto"/>
              </w:rPr>
              <w:t>有危废处置资质的单位及时清运</w:t>
            </w:r>
            <w:r>
              <w:rPr>
                <w:rFonts w:hint="eastAsia"/>
                <w:color w:val="auto"/>
              </w:rPr>
              <w:t>。</w:t>
            </w:r>
          </w:p>
          <w:p w14:paraId="7F682FF9">
            <w:pPr>
              <w:pStyle w:val="771"/>
              <w:bidi w:val="0"/>
              <w:rPr>
                <w:rFonts w:hint="eastAsia"/>
                <w:color w:val="auto"/>
                <w:lang w:val="en-US" w:eastAsia="zh-CN"/>
              </w:rPr>
            </w:pPr>
            <w:r>
              <w:rPr>
                <w:rFonts w:hint="eastAsia"/>
                <w:color w:val="auto"/>
                <w:lang w:val="en-US" w:eastAsia="zh-CN"/>
              </w:rPr>
              <w:t>4、废含油抹布手套</w:t>
            </w:r>
          </w:p>
          <w:p w14:paraId="28EC66B4">
            <w:pPr>
              <w:pStyle w:val="771"/>
              <w:bidi w:val="0"/>
              <w:rPr>
                <w:color w:val="auto"/>
              </w:rPr>
            </w:pPr>
            <w:r>
              <w:rPr>
                <w:rFonts w:hint="eastAsia"/>
                <w:color w:val="auto"/>
              </w:rPr>
              <w:t>项目含油抹布、废手套来源于设备维修等过程，本项目产生量约为0.05t/a，由于该类废物携带有油品，易燃，随意丢弃后可能间接导致水体、土壤污染，具有环境危害。根据</w:t>
            </w:r>
            <w:r>
              <w:rPr>
                <w:rFonts w:hint="eastAsia"/>
                <w:color w:val="auto"/>
                <w:lang w:eastAsia="zh-CN"/>
              </w:rPr>
              <w:t>《国家危险废物名录》（2025年版）</w:t>
            </w:r>
            <w:r>
              <w:rPr>
                <w:rFonts w:hint="eastAsia"/>
                <w:color w:val="auto"/>
              </w:rPr>
              <w:t>，其危险废物类别编号为HW49（900-041-49），危险特性T，I。暂存于危险废物暂存间，</w:t>
            </w:r>
            <w:r>
              <w:rPr>
                <w:rFonts w:hint="eastAsia"/>
                <w:color w:val="auto"/>
                <w:lang w:eastAsia="zh-CN"/>
              </w:rPr>
              <w:t>交由</w:t>
            </w:r>
            <w:r>
              <w:rPr>
                <w:color w:val="auto"/>
              </w:rPr>
              <w:t>有危废处置资质的单位及时清运</w:t>
            </w:r>
            <w:r>
              <w:rPr>
                <w:rFonts w:hint="eastAsia"/>
                <w:color w:val="auto"/>
              </w:rPr>
              <w:t>。</w:t>
            </w:r>
          </w:p>
          <w:p w14:paraId="1D1BA488">
            <w:pPr>
              <w:pStyle w:val="771"/>
              <w:bidi w:val="0"/>
              <w:rPr>
                <w:rFonts w:hint="default"/>
                <w:color w:val="auto"/>
                <w:lang w:val="en-US" w:eastAsia="zh-CN"/>
              </w:rPr>
            </w:pPr>
            <w:r>
              <w:rPr>
                <w:rFonts w:hint="eastAsia"/>
                <w:color w:val="auto"/>
                <w:lang w:val="en-US" w:eastAsia="zh-CN"/>
              </w:rPr>
              <w:t>5、生活垃圾</w:t>
            </w:r>
          </w:p>
          <w:p w14:paraId="60C7C590">
            <w:pPr>
              <w:pStyle w:val="771"/>
              <w:bidi w:val="0"/>
              <w:rPr>
                <w:color w:val="auto"/>
              </w:rPr>
            </w:pPr>
            <w:r>
              <w:rPr>
                <w:rFonts w:hint="eastAsia"/>
                <w:color w:val="auto"/>
                <w:lang w:val="en-US" w:eastAsia="zh-CN"/>
              </w:rPr>
              <w:t>项目生活垃圾主要为员工日常生活产生，项目设劳动定员26人，年工作300天。生活垃圾产生量按照</w:t>
            </w:r>
            <w:r>
              <w:rPr>
                <w:rFonts w:hint="default"/>
                <w:color w:val="auto"/>
                <w:lang w:val="en-US" w:eastAsia="zh-CN"/>
              </w:rPr>
              <w:t>0.5kg</w:t>
            </w:r>
            <w:r>
              <w:rPr>
                <w:rFonts w:hint="eastAsia"/>
                <w:color w:val="auto"/>
                <w:lang w:val="en-US" w:eastAsia="zh-CN"/>
              </w:rPr>
              <w:t>/人·天计算，预计生活垃圾产生量为3.9</w:t>
            </w:r>
            <w:r>
              <w:rPr>
                <w:rFonts w:hint="default"/>
                <w:color w:val="auto"/>
                <w:lang w:val="en-US" w:eastAsia="zh-CN"/>
              </w:rPr>
              <w:t>t/a</w:t>
            </w:r>
            <w:r>
              <w:rPr>
                <w:rFonts w:hint="eastAsia"/>
                <w:color w:val="auto"/>
                <w:lang w:val="en-US" w:eastAsia="zh-CN"/>
              </w:rPr>
              <w:t>，由环卫部门统一清运。</w:t>
            </w:r>
          </w:p>
          <w:p w14:paraId="558D538C">
            <w:pPr>
              <w:pStyle w:val="771"/>
              <w:bidi w:val="0"/>
              <w:rPr>
                <w:bCs/>
                <w:color w:val="auto"/>
              </w:rPr>
            </w:pPr>
            <w:r>
              <w:rPr>
                <w:rFonts w:hint="eastAsia"/>
                <w:color w:val="auto"/>
              </w:rPr>
              <w:t>项目固废产生情况汇总见下表。</w:t>
            </w:r>
          </w:p>
          <w:bookmarkEnd w:id="25"/>
          <w:bookmarkEnd w:id="26"/>
          <w:p w14:paraId="2796DE8F">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default" w:eastAsia="宋体"/>
                <w:color w:val="auto"/>
                <w:lang w:val="en-US" w:eastAsia="zh-CN"/>
              </w:rPr>
            </w:pPr>
            <w:bookmarkStart w:id="27" w:name="_Hlk174023139"/>
            <w:r>
              <w:rPr>
                <w:color w:val="auto"/>
              </w:rPr>
              <w:t xml:space="preserve">表 </w:t>
            </w:r>
            <w:r>
              <w:rPr>
                <w:rFonts w:hint="eastAsia"/>
                <w:color w:val="auto"/>
                <w:lang w:val="en-US" w:eastAsia="zh-CN"/>
              </w:rPr>
              <w:t>4</w:t>
            </w:r>
            <w:r>
              <w:rPr>
                <w:rFonts w:hint="eastAsia"/>
                <w:color w:val="auto"/>
                <w:lang w:eastAsia="zh-CN"/>
              </w:rPr>
              <w:t>-</w:t>
            </w:r>
            <w:r>
              <w:rPr>
                <w:rFonts w:hint="eastAsia"/>
                <w:color w:val="auto"/>
                <w:lang w:val="en-US" w:eastAsia="zh-CN"/>
              </w:rPr>
              <w:t>9 本项目</w:t>
            </w:r>
            <w:r>
              <w:rPr>
                <w:rFonts w:hint="eastAsia"/>
                <w:color w:val="auto"/>
              </w:rPr>
              <w:t>固废</w:t>
            </w:r>
            <w:r>
              <w:rPr>
                <w:color w:val="auto"/>
              </w:rPr>
              <w:t>产生情况汇总表</w:t>
            </w:r>
          </w:p>
          <w:tbl>
            <w:tblPr>
              <w:tblStyle w:val="53"/>
              <w:tblpPr w:vertAnchor="text" w:tblpXSpec="center" w:tblpY="1"/>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80"/>
              <w:gridCol w:w="996"/>
              <w:gridCol w:w="1540"/>
              <w:gridCol w:w="1062"/>
              <w:gridCol w:w="899"/>
              <w:gridCol w:w="824"/>
              <w:gridCol w:w="772"/>
              <w:gridCol w:w="1199"/>
              <w:gridCol w:w="743"/>
            </w:tblGrid>
            <w:tr w14:paraId="13351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2" w:type="pct"/>
                  <w:vAlign w:val="center"/>
                </w:tcPr>
                <w:p w14:paraId="0A18BB32">
                  <w:pPr>
                    <w:pStyle w:val="287"/>
                    <w:framePr w:hSpace="0" w:wrap="auto" w:vAnchor="margin" w:hAnchor="text" w:xAlign="left" w:yAlign="inline"/>
                    <w:rPr>
                      <w:color w:val="auto"/>
                    </w:rPr>
                  </w:pPr>
                  <w:r>
                    <w:rPr>
                      <w:color w:val="auto"/>
                    </w:rPr>
                    <w:t>序号</w:t>
                  </w:r>
                </w:p>
              </w:tc>
              <w:tc>
                <w:tcPr>
                  <w:tcW w:w="584" w:type="pct"/>
                  <w:vAlign w:val="center"/>
                </w:tcPr>
                <w:p w14:paraId="413CC2AF">
                  <w:pPr>
                    <w:pStyle w:val="287"/>
                    <w:framePr w:hSpace="0" w:wrap="auto" w:vAnchor="margin" w:hAnchor="text" w:xAlign="left" w:yAlign="inline"/>
                    <w:rPr>
                      <w:color w:val="auto"/>
                    </w:rPr>
                  </w:pPr>
                  <w:r>
                    <w:rPr>
                      <w:color w:val="auto"/>
                    </w:rPr>
                    <w:t>固废名称</w:t>
                  </w:r>
                </w:p>
              </w:tc>
              <w:tc>
                <w:tcPr>
                  <w:tcW w:w="903" w:type="pct"/>
                  <w:vAlign w:val="center"/>
                </w:tcPr>
                <w:p w14:paraId="26EEE144">
                  <w:pPr>
                    <w:pStyle w:val="287"/>
                    <w:framePr w:hSpace="0" w:wrap="auto" w:vAnchor="margin" w:hAnchor="text" w:xAlign="left" w:yAlign="inline"/>
                    <w:rPr>
                      <w:rFonts w:hint="eastAsia" w:eastAsia="宋体"/>
                      <w:color w:val="auto"/>
                      <w:lang w:eastAsia="zh-CN"/>
                    </w:rPr>
                  </w:pPr>
                  <w:r>
                    <w:rPr>
                      <w:rFonts w:hint="eastAsia"/>
                      <w:color w:val="auto"/>
                      <w:lang w:eastAsia="zh-CN"/>
                    </w:rPr>
                    <w:t>编码</w:t>
                  </w:r>
                </w:p>
              </w:tc>
              <w:tc>
                <w:tcPr>
                  <w:tcW w:w="623" w:type="pct"/>
                  <w:vAlign w:val="center"/>
                </w:tcPr>
                <w:p w14:paraId="3900C5D9">
                  <w:pPr>
                    <w:pStyle w:val="287"/>
                    <w:framePr w:hSpace="0" w:wrap="auto" w:vAnchor="margin" w:hAnchor="text" w:xAlign="left" w:yAlign="inline"/>
                    <w:rPr>
                      <w:rFonts w:hint="eastAsia" w:eastAsia="宋体"/>
                      <w:color w:val="auto"/>
                      <w:lang w:eastAsia="zh-CN"/>
                    </w:rPr>
                  </w:pPr>
                  <w:r>
                    <w:rPr>
                      <w:rFonts w:hint="eastAsia"/>
                      <w:color w:val="auto"/>
                      <w:lang w:eastAsia="zh-CN"/>
                    </w:rPr>
                    <w:t>废物代码</w:t>
                  </w:r>
                </w:p>
              </w:tc>
              <w:tc>
                <w:tcPr>
                  <w:tcW w:w="527" w:type="pct"/>
                  <w:vAlign w:val="center"/>
                </w:tcPr>
                <w:p w14:paraId="11C753DE">
                  <w:pPr>
                    <w:pStyle w:val="287"/>
                    <w:framePr w:hSpace="0" w:wrap="auto" w:vAnchor="margin" w:hAnchor="text" w:xAlign="left" w:yAlign="inline"/>
                    <w:rPr>
                      <w:rFonts w:hint="eastAsia" w:eastAsia="宋体"/>
                      <w:color w:val="auto"/>
                      <w:lang w:eastAsia="zh-CN"/>
                    </w:rPr>
                  </w:pPr>
                  <w:r>
                    <w:rPr>
                      <w:rFonts w:hint="eastAsia"/>
                      <w:color w:val="auto"/>
                      <w:lang w:eastAsia="zh-CN"/>
                    </w:rPr>
                    <w:t>物理性状</w:t>
                  </w:r>
                </w:p>
              </w:tc>
              <w:tc>
                <w:tcPr>
                  <w:tcW w:w="483" w:type="pct"/>
                  <w:vAlign w:val="center"/>
                </w:tcPr>
                <w:p w14:paraId="56B07FC5">
                  <w:pPr>
                    <w:pStyle w:val="287"/>
                    <w:framePr w:hSpace="0" w:wrap="auto" w:vAnchor="margin" w:hAnchor="text" w:xAlign="left" w:yAlign="inline"/>
                    <w:rPr>
                      <w:rFonts w:hint="default" w:eastAsia="宋体"/>
                      <w:color w:val="auto"/>
                      <w:lang w:val="en-US" w:eastAsia="zh-CN"/>
                    </w:rPr>
                  </w:pPr>
                  <w:r>
                    <w:rPr>
                      <w:rFonts w:hint="eastAsia"/>
                      <w:color w:val="auto"/>
                      <w:lang w:eastAsia="zh-CN"/>
                    </w:rPr>
                    <w:t>产生量</w:t>
                  </w:r>
                  <w:r>
                    <w:rPr>
                      <w:rFonts w:hint="eastAsia"/>
                      <w:color w:val="auto"/>
                      <w:lang w:val="en-US" w:eastAsia="zh-CN"/>
                    </w:rPr>
                    <w:t>t/a</w:t>
                  </w:r>
                </w:p>
              </w:tc>
              <w:tc>
                <w:tcPr>
                  <w:tcW w:w="453" w:type="pct"/>
                  <w:vAlign w:val="center"/>
                </w:tcPr>
                <w:p w14:paraId="26A1F052">
                  <w:pPr>
                    <w:pStyle w:val="287"/>
                    <w:framePr w:hSpace="0" w:wrap="auto" w:vAnchor="margin" w:hAnchor="text" w:xAlign="left" w:yAlign="inline"/>
                    <w:rPr>
                      <w:rFonts w:hint="eastAsia"/>
                      <w:color w:val="auto"/>
                      <w:lang w:eastAsia="zh-CN"/>
                    </w:rPr>
                  </w:pPr>
                  <w:r>
                    <w:rPr>
                      <w:rFonts w:hint="eastAsia"/>
                      <w:color w:val="auto"/>
                      <w:lang w:eastAsia="zh-CN"/>
                    </w:rPr>
                    <w:t>类型</w:t>
                  </w:r>
                </w:p>
              </w:tc>
              <w:tc>
                <w:tcPr>
                  <w:tcW w:w="703" w:type="pct"/>
                  <w:vAlign w:val="center"/>
                </w:tcPr>
                <w:p w14:paraId="70C6F7F2">
                  <w:pPr>
                    <w:pStyle w:val="287"/>
                    <w:framePr w:hSpace="0" w:wrap="auto" w:vAnchor="margin" w:hAnchor="text" w:xAlign="left" w:yAlign="inline"/>
                    <w:rPr>
                      <w:rFonts w:hint="eastAsia"/>
                      <w:color w:val="auto"/>
                      <w:lang w:eastAsia="zh-CN"/>
                    </w:rPr>
                  </w:pPr>
                  <w:r>
                    <w:rPr>
                      <w:rFonts w:hint="eastAsia"/>
                      <w:color w:val="auto"/>
                      <w:lang w:eastAsia="zh-CN"/>
                    </w:rPr>
                    <w:t>处置方式</w:t>
                  </w:r>
                </w:p>
              </w:tc>
              <w:tc>
                <w:tcPr>
                  <w:tcW w:w="436" w:type="pct"/>
                  <w:vAlign w:val="center"/>
                </w:tcPr>
                <w:p w14:paraId="1F6C66A7">
                  <w:pPr>
                    <w:pStyle w:val="287"/>
                    <w:framePr w:hSpace="0" w:wrap="auto" w:vAnchor="margin" w:hAnchor="text" w:xAlign="left" w:yAlign="inline"/>
                    <w:rPr>
                      <w:rFonts w:hint="eastAsia" w:eastAsia="宋体"/>
                      <w:color w:val="auto"/>
                      <w:lang w:eastAsia="zh-CN"/>
                    </w:rPr>
                  </w:pPr>
                  <w:r>
                    <w:rPr>
                      <w:rFonts w:hint="eastAsia"/>
                      <w:color w:val="auto"/>
                      <w:lang w:eastAsia="zh-CN"/>
                    </w:rPr>
                    <w:t>是否符合环保要求</w:t>
                  </w:r>
                </w:p>
              </w:tc>
            </w:tr>
            <w:tr w14:paraId="15110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2" w:type="pct"/>
                  <w:vAlign w:val="center"/>
                </w:tcPr>
                <w:p w14:paraId="4C08844E">
                  <w:pPr>
                    <w:pStyle w:val="287"/>
                    <w:framePr w:hSpace="0" w:wrap="auto" w:vAnchor="margin" w:hAnchor="text" w:xAlign="left" w:yAlign="inline"/>
                    <w:numPr>
                      <w:ilvl w:val="0"/>
                      <w:numId w:val="0"/>
                    </w:numPr>
                    <w:ind w:left="0" w:leftChars="0" w:firstLine="0" w:firstLineChars="0"/>
                    <w:rPr>
                      <w:color w:val="auto"/>
                    </w:rPr>
                  </w:pPr>
                  <w:r>
                    <w:rPr>
                      <w:rFonts w:hint="eastAsia" w:ascii="Times New Roman" w:hAnsi="Times New Roman" w:eastAsia="宋体" w:cs="宋体"/>
                      <w:color w:val="auto"/>
                      <w:kern w:val="2"/>
                      <w:sz w:val="18"/>
                      <w:szCs w:val="22"/>
                      <w:lang w:val="zh-CN" w:eastAsia="zh-CN" w:bidi="ar-SA"/>
                    </w:rPr>
                    <w:t>1</w:t>
                  </w:r>
                </w:p>
              </w:tc>
              <w:tc>
                <w:tcPr>
                  <w:tcW w:w="584" w:type="pct"/>
                  <w:vAlign w:val="center"/>
                </w:tcPr>
                <w:p w14:paraId="330E55C4">
                  <w:pPr>
                    <w:pStyle w:val="287"/>
                    <w:framePr w:hSpace="0" w:wrap="auto" w:vAnchor="margin" w:hAnchor="text" w:xAlign="left" w:yAlign="inline"/>
                    <w:rPr>
                      <w:rFonts w:hint="eastAsia" w:eastAsia="宋体"/>
                      <w:color w:val="auto"/>
                      <w:lang w:eastAsia="zh-CN"/>
                    </w:rPr>
                  </w:pPr>
                  <w:r>
                    <w:rPr>
                      <w:rFonts w:hint="eastAsia"/>
                      <w:color w:val="auto"/>
                      <w:lang w:eastAsia="zh-CN"/>
                    </w:rPr>
                    <w:t>矸石</w:t>
                  </w:r>
                </w:p>
              </w:tc>
              <w:tc>
                <w:tcPr>
                  <w:tcW w:w="903" w:type="pct"/>
                  <w:vAlign w:val="center"/>
                </w:tcPr>
                <w:p w14:paraId="0D6E25EF">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21煤矸石</w:t>
                  </w:r>
                </w:p>
              </w:tc>
              <w:tc>
                <w:tcPr>
                  <w:tcW w:w="623" w:type="pct"/>
                  <w:vAlign w:val="center"/>
                </w:tcPr>
                <w:p w14:paraId="6E563EB0">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061-001-21</w:t>
                  </w:r>
                </w:p>
              </w:tc>
              <w:tc>
                <w:tcPr>
                  <w:tcW w:w="527" w:type="pct"/>
                  <w:shd w:val="clear" w:color="auto" w:fill="auto"/>
                  <w:vAlign w:val="center"/>
                </w:tcPr>
                <w:p w14:paraId="6E5FA66F">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olor w:val="auto"/>
                    </w:rPr>
                    <w:t>固态</w:t>
                  </w:r>
                </w:p>
              </w:tc>
              <w:tc>
                <w:tcPr>
                  <w:tcW w:w="483" w:type="pct"/>
                  <w:vAlign w:val="center"/>
                </w:tcPr>
                <w:p w14:paraId="747571BE">
                  <w:pPr>
                    <w:pStyle w:val="287"/>
                    <w:framePr w:hSpace="0" w:wrap="auto" w:vAnchor="margin" w:hAnchor="text" w:xAlign="left" w:yAlign="inline"/>
                    <w:rPr>
                      <w:rFonts w:hint="default" w:ascii="Times New Roman" w:hAnsi="Times New Roman" w:eastAsia="宋体" w:cs="宋体"/>
                      <w:color w:val="auto"/>
                      <w:kern w:val="2"/>
                      <w:sz w:val="18"/>
                      <w:szCs w:val="22"/>
                      <w:lang w:val="en-US" w:eastAsia="zh-CN" w:bidi="ar-SA"/>
                    </w:rPr>
                  </w:pPr>
                  <w:r>
                    <w:rPr>
                      <w:rFonts w:hint="eastAsia" w:cs="宋体"/>
                      <w:color w:val="auto"/>
                      <w:kern w:val="2"/>
                      <w:sz w:val="18"/>
                      <w:szCs w:val="22"/>
                      <w:lang w:val="en-US" w:eastAsia="zh-CN" w:bidi="ar-SA"/>
                    </w:rPr>
                    <w:t>134万</w:t>
                  </w:r>
                </w:p>
              </w:tc>
              <w:tc>
                <w:tcPr>
                  <w:tcW w:w="453" w:type="pct"/>
                  <w:vAlign w:val="center"/>
                </w:tcPr>
                <w:p w14:paraId="1C74389A">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ascii="Times New Roman" w:hAnsi="Times New Roman" w:eastAsia="宋体" w:cs="宋体"/>
                      <w:color w:val="auto"/>
                      <w:kern w:val="2"/>
                      <w:sz w:val="18"/>
                      <w:szCs w:val="22"/>
                      <w:lang w:val="en-US" w:eastAsia="zh-CN" w:bidi="ar-SA"/>
                    </w:rPr>
                    <w:t>一般工业固废</w:t>
                  </w:r>
                </w:p>
              </w:tc>
              <w:tc>
                <w:tcPr>
                  <w:tcW w:w="703" w:type="pct"/>
                  <w:vAlign w:val="center"/>
                </w:tcPr>
                <w:p w14:paraId="1B8B46A2">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s="宋体"/>
                      <w:color w:val="auto"/>
                      <w:kern w:val="2"/>
                      <w:sz w:val="18"/>
                      <w:szCs w:val="22"/>
                      <w:lang w:val="zh-CN" w:eastAsia="zh-CN" w:bidi="ar-SA"/>
                    </w:rPr>
                    <w:t>作为胶凝材料原料交由淮南市八公山区淮南舜岳水泥有限责任公司使用</w:t>
                  </w:r>
                </w:p>
              </w:tc>
              <w:tc>
                <w:tcPr>
                  <w:tcW w:w="436" w:type="pct"/>
                  <w:vAlign w:val="center"/>
                </w:tcPr>
                <w:p w14:paraId="28A649D5">
                  <w:pPr>
                    <w:pStyle w:val="287"/>
                    <w:framePr w:hSpace="0" w:wrap="auto" w:vAnchor="margin" w:hAnchor="text" w:xAlign="left" w:yAlign="inline"/>
                    <w:rPr>
                      <w:rFonts w:hint="eastAsia" w:eastAsia="宋体"/>
                      <w:color w:val="auto"/>
                      <w:lang w:eastAsia="zh-CN"/>
                    </w:rPr>
                  </w:pPr>
                  <w:r>
                    <w:rPr>
                      <w:rFonts w:hint="eastAsia"/>
                      <w:color w:val="auto"/>
                      <w:lang w:eastAsia="zh-CN"/>
                    </w:rPr>
                    <w:t>是</w:t>
                  </w:r>
                </w:p>
              </w:tc>
            </w:tr>
            <w:tr w14:paraId="5D5A3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2" w:type="pct"/>
                  <w:vAlign w:val="center"/>
                </w:tcPr>
                <w:p w14:paraId="0F56C115">
                  <w:pPr>
                    <w:pStyle w:val="287"/>
                    <w:framePr w:hSpace="0" w:wrap="auto" w:vAnchor="margin" w:hAnchor="text" w:xAlign="left" w:yAlign="inline"/>
                    <w:numPr>
                      <w:ilvl w:val="0"/>
                      <w:numId w:val="0"/>
                    </w:numPr>
                    <w:ind w:left="0" w:leftChars="0" w:firstLine="0" w:firstLineChars="0"/>
                    <w:rPr>
                      <w:color w:val="auto"/>
                    </w:rPr>
                  </w:pPr>
                  <w:r>
                    <w:rPr>
                      <w:rFonts w:hint="eastAsia" w:ascii="Times New Roman" w:hAnsi="Times New Roman" w:eastAsia="宋体" w:cs="宋体"/>
                      <w:color w:val="auto"/>
                      <w:kern w:val="2"/>
                      <w:sz w:val="18"/>
                      <w:szCs w:val="22"/>
                      <w:lang w:val="zh-CN" w:eastAsia="zh-CN" w:bidi="ar-SA"/>
                    </w:rPr>
                    <w:t>2</w:t>
                  </w:r>
                </w:p>
              </w:tc>
              <w:tc>
                <w:tcPr>
                  <w:tcW w:w="584" w:type="pct"/>
                  <w:vAlign w:val="center"/>
                </w:tcPr>
                <w:p w14:paraId="7AEA5722">
                  <w:pPr>
                    <w:pStyle w:val="287"/>
                    <w:framePr w:hSpace="0" w:wrap="auto" w:vAnchor="margin" w:hAnchor="text" w:xAlign="left" w:yAlign="inline"/>
                    <w:rPr>
                      <w:rFonts w:hint="eastAsia" w:eastAsia="宋体"/>
                      <w:color w:val="auto"/>
                      <w:lang w:eastAsia="zh-CN"/>
                    </w:rPr>
                  </w:pPr>
                  <w:r>
                    <w:rPr>
                      <w:rFonts w:hint="eastAsia"/>
                      <w:color w:val="auto"/>
                      <w:lang w:eastAsia="zh-CN"/>
                    </w:rPr>
                    <w:t>煤泥</w:t>
                  </w:r>
                </w:p>
              </w:tc>
              <w:tc>
                <w:tcPr>
                  <w:tcW w:w="903" w:type="pct"/>
                  <w:vAlign w:val="center"/>
                </w:tcPr>
                <w:p w14:paraId="470DC1BB">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29其他尾矿</w:t>
                  </w:r>
                </w:p>
              </w:tc>
              <w:tc>
                <w:tcPr>
                  <w:tcW w:w="623" w:type="pct"/>
                  <w:vAlign w:val="center"/>
                </w:tcPr>
                <w:p w14:paraId="23BB6D89">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080-001-29</w:t>
                  </w:r>
                </w:p>
              </w:tc>
              <w:tc>
                <w:tcPr>
                  <w:tcW w:w="527" w:type="pct"/>
                  <w:shd w:val="clear" w:color="auto" w:fill="auto"/>
                  <w:vAlign w:val="center"/>
                </w:tcPr>
                <w:p w14:paraId="110B4568">
                  <w:pPr>
                    <w:pStyle w:val="287"/>
                    <w:framePr w:hSpace="0" w:wrap="auto" w:vAnchor="margin" w:hAnchor="text" w:xAlign="left" w:yAlign="inline"/>
                    <w:rPr>
                      <w:rFonts w:ascii="Times New Roman" w:hAnsi="Times New Roman" w:eastAsia="宋体" w:cs="宋体"/>
                      <w:color w:val="auto"/>
                      <w:kern w:val="2"/>
                      <w:sz w:val="18"/>
                      <w:szCs w:val="22"/>
                      <w:lang w:val="zh-CN" w:eastAsia="zh-CN" w:bidi="ar-SA"/>
                    </w:rPr>
                  </w:pPr>
                  <w:r>
                    <w:rPr>
                      <w:rFonts w:hint="eastAsia"/>
                      <w:color w:val="auto"/>
                    </w:rPr>
                    <w:t>固态</w:t>
                  </w:r>
                </w:p>
              </w:tc>
              <w:tc>
                <w:tcPr>
                  <w:tcW w:w="483" w:type="pct"/>
                  <w:vAlign w:val="center"/>
                </w:tcPr>
                <w:p w14:paraId="7EA9CF11">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13万</w:t>
                  </w:r>
                </w:p>
              </w:tc>
              <w:tc>
                <w:tcPr>
                  <w:tcW w:w="453" w:type="pct"/>
                  <w:vAlign w:val="center"/>
                </w:tcPr>
                <w:p w14:paraId="0FA556C1">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ascii="Times New Roman" w:hAnsi="Times New Roman" w:eastAsia="宋体" w:cs="宋体"/>
                      <w:color w:val="auto"/>
                      <w:kern w:val="2"/>
                      <w:sz w:val="18"/>
                      <w:szCs w:val="22"/>
                      <w:lang w:val="en-US" w:eastAsia="zh-CN" w:bidi="ar-SA"/>
                    </w:rPr>
                    <w:t>一般工业固废</w:t>
                  </w:r>
                </w:p>
              </w:tc>
              <w:tc>
                <w:tcPr>
                  <w:tcW w:w="703" w:type="pct"/>
                  <w:vAlign w:val="center"/>
                </w:tcPr>
                <w:p w14:paraId="680F94B1">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ascii="Times New Roman" w:hAnsi="Times New Roman" w:eastAsia="宋体" w:cs="宋体"/>
                      <w:color w:val="auto"/>
                      <w:lang w:val="zh-CN" w:eastAsia="zh-CN"/>
                    </w:rPr>
                    <w:t>交由淮南市八公山区</w:t>
                  </w:r>
                  <w:r>
                    <w:rPr>
                      <w:rFonts w:hint="eastAsia" w:cs="宋体"/>
                      <w:color w:val="auto"/>
                      <w:lang w:val="zh-CN" w:eastAsia="zh-CN"/>
                    </w:rPr>
                    <w:t>淮南舜岳水泥有限责任公司</w:t>
                  </w:r>
                  <w:r>
                    <w:rPr>
                      <w:rFonts w:hint="eastAsia" w:ascii="Times New Roman" w:hAnsi="Times New Roman" w:eastAsia="宋体" w:cs="宋体"/>
                      <w:color w:val="auto"/>
                      <w:lang w:val="zh-CN" w:eastAsia="zh-CN"/>
                    </w:rPr>
                    <w:t>综合利用</w:t>
                  </w:r>
                </w:p>
              </w:tc>
              <w:tc>
                <w:tcPr>
                  <w:tcW w:w="436" w:type="pct"/>
                  <w:vAlign w:val="center"/>
                </w:tcPr>
                <w:p w14:paraId="15EB262B">
                  <w:pPr>
                    <w:pStyle w:val="287"/>
                    <w:framePr w:hSpace="0" w:wrap="auto" w:vAnchor="margin" w:hAnchor="text" w:xAlign="left" w:yAlign="inline"/>
                    <w:rPr>
                      <w:rFonts w:hint="eastAsia"/>
                      <w:color w:val="auto"/>
                      <w:lang w:eastAsia="zh-CN"/>
                    </w:rPr>
                  </w:pPr>
                  <w:r>
                    <w:rPr>
                      <w:rFonts w:hint="eastAsia"/>
                      <w:color w:val="auto"/>
                      <w:lang w:eastAsia="zh-CN"/>
                    </w:rPr>
                    <w:t>是</w:t>
                  </w:r>
                </w:p>
              </w:tc>
            </w:tr>
            <w:tr w14:paraId="45332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2" w:type="pct"/>
                  <w:vAlign w:val="center"/>
                </w:tcPr>
                <w:p w14:paraId="40D53498">
                  <w:pPr>
                    <w:pStyle w:val="287"/>
                    <w:framePr w:hSpace="0" w:wrap="auto" w:vAnchor="margin" w:hAnchor="text" w:xAlign="left" w:yAlign="inline"/>
                    <w:numPr>
                      <w:ilvl w:val="0"/>
                      <w:numId w:val="0"/>
                    </w:numPr>
                    <w:ind w:left="0" w:leftChars="0" w:firstLine="0" w:firstLineChars="0"/>
                    <w:rPr>
                      <w:color w:val="auto"/>
                    </w:rPr>
                  </w:pPr>
                  <w:r>
                    <w:rPr>
                      <w:rFonts w:hint="eastAsia" w:ascii="Times New Roman" w:hAnsi="Times New Roman" w:eastAsia="宋体" w:cs="宋体"/>
                      <w:color w:val="auto"/>
                      <w:kern w:val="2"/>
                      <w:sz w:val="18"/>
                      <w:szCs w:val="22"/>
                      <w:lang w:val="zh-CN" w:eastAsia="zh-CN" w:bidi="ar-SA"/>
                    </w:rPr>
                    <w:t>3</w:t>
                  </w:r>
                </w:p>
              </w:tc>
              <w:tc>
                <w:tcPr>
                  <w:tcW w:w="584" w:type="pct"/>
                  <w:vAlign w:val="center"/>
                </w:tcPr>
                <w:p w14:paraId="701D3A2A">
                  <w:pPr>
                    <w:pStyle w:val="287"/>
                    <w:framePr w:hSpace="0" w:wrap="auto" w:vAnchor="margin" w:hAnchor="text" w:xAlign="left" w:yAlign="inline"/>
                    <w:rPr>
                      <w:rFonts w:hint="eastAsia" w:eastAsia="宋体"/>
                      <w:color w:val="auto"/>
                      <w:lang w:eastAsia="zh-CN"/>
                    </w:rPr>
                  </w:pPr>
                  <w:r>
                    <w:rPr>
                      <w:rFonts w:hint="eastAsia"/>
                      <w:color w:val="auto"/>
                      <w:lang w:val="en-US" w:eastAsia="zh-CN"/>
                    </w:rPr>
                    <w:t>废机油</w:t>
                  </w:r>
                </w:p>
              </w:tc>
              <w:tc>
                <w:tcPr>
                  <w:tcW w:w="903" w:type="pct"/>
                  <w:vAlign w:val="center"/>
                </w:tcPr>
                <w:p w14:paraId="60C243F9">
                  <w:pPr>
                    <w:pStyle w:val="287"/>
                    <w:framePr w:hSpace="0" w:wrap="auto" w:vAnchor="margin" w:hAnchor="text" w:xAlign="left" w:yAlign="inline"/>
                    <w:rPr>
                      <w:rFonts w:hint="eastAsia" w:eastAsia="宋体"/>
                      <w:color w:val="auto"/>
                      <w:lang w:eastAsia="zh-CN"/>
                    </w:rPr>
                  </w:pPr>
                  <w:r>
                    <w:rPr>
                      <w:rFonts w:hint="eastAsia"/>
                      <w:color w:val="auto"/>
                    </w:rPr>
                    <w:t>HW12</w:t>
                  </w:r>
                </w:p>
              </w:tc>
              <w:tc>
                <w:tcPr>
                  <w:tcW w:w="623" w:type="pct"/>
                  <w:vAlign w:val="center"/>
                </w:tcPr>
                <w:p w14:paraId="6813CDF9">
                  <w:pPr>
                    <w:pStyle w:val="287"/>
                    <w:framePr w:hSpace="0" w:wrap="auto" w:vAnchor="margin" w:hAnchor="text" w:xAlign="left" w:yAlign="inline"/>
                    <w:rPr>
                      <w:color w:val="auto"/>
                    </w:rPr>
                  </w:pPr>
                  <w:r>
                    <w:rPr>
                      <w:rFonts w:hint="eastAsia"/>
                      <w:color w:val="auto"/>
                    </w:rPr>
                    <w:t>900-250-12</w:t>
                  </w:r>
                </w:p>
              </w:tc>
              <w:tc>
                <w:tcPr>
                  <w:tcW w:w="527" w:type="pct"/>
                  <w:shd w:val="clear" w:color="auto" w:fill="auto"/>
                  <w:vAlign w:val="center"/>
                </w:tcPr>
                <w:p w14:paraId="6528A2EC">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olor w:val="auto"/>
                      <w:lang w:eastAsia="zh-CN"/>
                    </w:rPr>
                    <w:t>液态</w:t>
                  </w:r>
                </w:p>
              </w:tc>
              <w:tc>
                <w:tcPr>
                  <w:tcW w:w="483" w:type="pct"/>
                  <w:vAlign w:val="center"/>
                </w:tcPr>
                <w:p w14:paraId="1705CC27">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0.2</w:t>
                  </w:r>
                </w:p>
              </w:tc>
              <w:tc>
                <w:tcPr>
                  <w:tcW w:w="453" w:type="pct"/>
                  <w:vAlign w:val="center"/>
                </w:tcPr>
                <w:p w14:paraId="4AD3FFFA">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s="宋体"/>
                      <w:color w:val="auto"/>
                      <w:kern w:val="2"/>
                      <w:sz w:val="18"/>
                      <w:szCs w:val="22"/>
                      <w:lang w:val="en-US" w:eastAsia="zh-CN" w:bidi="ar-SA"/>
                    </w:rPr>
                    <w:t>危险废物</w:t>
                  </w:r>
                </w:p>
              </w:tc>
              <w:tc>
                <w:tcPr>
                  <w:tcW w:w="703" w:type="pct"/>
                  <w:vMerge w:val="restart"/>
                  <w:vAlign w:val="center"/>
                </w:tcPr>
                <w:p w14:paraId="271389F8">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ascii="Times New Roman" w:hAnsi="Times New Roman" w:eastAsia="宋体" w:cs="宋体"/>
                      <w:color w:val="auto"/>
                      <w:lang w:val="en-US" w:eastAsia="zh-CN"/>
                    </w:rPr>
                    <w:t>分类暂存于危废暂存间</w:t>
                  </w:r>
                  <w:r>
                    <w:rPr>
                      <w:rFonts w:hint="default" w:ascii="Times New Roman" w:hAnsi="Times New Roman" w:eastAsia="宋体" w:cs="宋体"/>
                      <w:color w:val="auto"/>
                      <w:lang w:val="en-US" w:eastAsia="zh-CN"/>
                    </w:rPr>
                    <w:t>，定期交由有资质单位处置</w:t>
                  </w:r>
                </w:p>
              </w:tc>
              <w:tc>
                <w:tcPr>
                  <w:tcW w:w="436" w:type="pct"/>
                  <w:vAlign w:val="center"/>
                </w:tcPr>
                <w:p w14:paraId="5DE16694">
                  <w:pPr>
                    <w:pStyle w:val="287"/>
                    <w:framePr w:hSpace="0" w:wrap="auto" w:vAnchor="margin" w:hAnchor="text" w:xAlign="left" w:yAlign="inline"/>
                    <w:rPr>
                      <w:rFonts w:hint="eastAsia"/>
                      <w:color w:val="auto"/>
                      <w:lang w:eastAsia="zh-CN"/>
                    </w:rPr>
                  </w:pPr>
                  <w:r>
                    <w:rPr>
                      <w:rFonts w:hint="eastAsia"/>
                      <w:color w:val="auto"/>
                      <w:lang w:eastAsia="zh-CN"/>
                    </w:rPr>
                    <w:t>是</w:t>
                  </w:r>
                </w:p>
              </w:tc>
            </w:tr>
            <w:tr w14:paraId="2F15E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2" w:type="pct"/>
                  <w:vAlign w:val="center"/>
                </w:tcPr>
                <w:p w14:paraId="7C98A313">
                  <w:pPr>
                    <w:pStyle w:val="287"/>
                    <w:framePr w:hSpace="0" w:wrap="auto" w:vAnchor="margin" w:hAnchor="text" w:xAlign="left" w:yAlign="inline"/>
                    <w:numPr>
                      <w:ilvl w:val="0"/>
                      <w:numId w:val="0"/>
                    </w:numPr>
                    <w:ind w:left="0" w:leftChars="0" w:firstLine="0" w:firstLineChars="0"/>
                    <w:rPr>
                      <w:color w:val="auto"/>
                    </w:rPr>
                  </w:pPr>
                  <w:r>
                    <w:rPr>
                      <w:rFonts w:hint="eastAsia" w:ascii="Times New Roman" w:hAnsi="Times New Roman" w:eastAsia="宋体" w:cs="宋体"/>
                      <w:color w:val="auto"/>
                      <w:kern w:val="2"/>
                      <w:sz w:val="18"/>
                      <w:szCs w:val="22"/>
                      <w:lang w:val="zh-CN" w:eastAsia="zh-CN" w:bidi="ar-SA"/>
                    </w:rPr>
                    <w:t>4</w:t>
                  </w:r>
                </w:p>
              </w:tc>
              <w:tc>
                <w:tcPr>
                  <w:tcW w:w="584" w:type="pct"/>
                  <w:vAlign w:val="center"/>
                </w:tcPr>
                <w:p w14:paraId="3D4DCDA8">
                  <w:pPr>
                    <w:pStyle w:val="287"/>
                    <w:framePr w:hSpace="0" w:wrap="auto" w:vAnchor="margin" w:hAnchor="text" w:xAlign="left" w:yAlign="inline"/>
                    <w:rPr>
                      <w:rFonts w:hint="eastAsia" w:eastAsia="宋体"/>
                      <w:color w:val="auto"/>
                      <w:lang w:eastAsia="zh-CN"/>
                    </w:rPr>
                  </w:pPr>
                  <w:r>
                    <w:rPr>
                      <w:rFonts w:hint="eastAsia"/>
                      <w:color w:val="auto"/>
                      <w:lang w:eastAsia="zh-CN"/>
                    </w:rPr>
                    <w:t>废机油桶</w:t>
                  </w:r>
                </w:p>
              </w:tc>
              <w:tc>
                <w:tcPr>
                  <w:tcW w:w="903" w:type="pct"/>
                  <w:vAlign w:val="center"/>
                </w:tcPr>
                <w:p w14:paraId="702C1010">
                  <w:pPr>
                    <w:pStyle w:val="287"/>
                    <w:framePr w:hSpace="0" w:wrap="auto" w:vAnchor="margin" w:hAnchor="text" w:xAlign="left" w:yAlign="inline"/>
                    <w:rPr>
                      <w:color w:val="auto"/>
                    </w:rPr>
                  </w:pPr>
                  <w:r>
                    <w:rPr>
                      <w:rFonts w:hint="eastAsia"/>
                      <w:color w:val="auto"/>
                    </w:rPr>
                    <w:t>HW49</w:t>
                  </w:r>
                </w:p>
              </w:tc>
              <w:tc>
                <w:tcPr>
                  <w:tcW w:w="623" w:type="pct"/>
                  <w:vAlign w:val="center"/>
                </w:tcPr>
                <w:p w14:paraId="05820050">
                  <w:pPr>
                    <w:pStyle w:val="287"/>
                    <w:framePr w:hSpace="0" w:wrap="auto" w:vAnchor="margin" w:hAnchor="text" w:xAlign="left" w:yAlign="inline"/>
                    <w:rPr>
                      <w:rFonts w:hint="default" w:eastAsia="宋体"/>
                      <w:color w:val="auto"/>
                      <w:lang w:val="en-US" w:eastAsia="zh-CN"/>
                    </w:rPr>
                  </w:pPr>
                  <w:r>
                    <w:rPr>
                      <w:rFonts w:hint="eastAsia"/>
                      <w:color w:val="auto"/>
                    </w:rPr>
                    <w:t>900-044-49</w:t>
                  </w:r>
                </w:p>
              </w:tc>
              <w:tc>
                <w:tcPr>
                  <w:tcW w:w="527" w:type="pct"/>
                  <w:shd w:val="clear" w:color="auto" w:fill="auto"/>
                  <w:vAlign w:val="center"/>
                </w:tcPr>
                <w:p w14:paraId="0C679CD5">
                  <w:pPr>
                    <w:pStyle w:val="287"/>
                    <w:framePr w:hSpace="0" w:wrap="auto" w:vAnchor="margin" w:hAnchor="text" w:xAlign="left" w:yAlign="inline"/>
                    <w:rPr>
                      <w:rFonts w:ascii="Times New Roman" w:hAnsi="Times New Roman" w:eastAsia="宋体" w:cs="宋体"/>
                      <w:color w:val="auto"/>
                      <w:kern w:val="2"/>
                      <w:sz w:val="18"/>
                      <w:szCs w:val="22"/>
                      <w:lang w:val="zh-CN" w:eastAsia="zh-CN" w:bidi="ar-SA"/>
                    </w:rPr>
                  </w:pPr>
                  <w:r>
                    <w:rPr>
                      <w:rFonts w:hint="eastAsia"/>
                      <w:color w:val="auto"/>
                    </w:rPr>
                    <w:t>固态</w:t>
                  </w:r>
                </w:p>
              </w:tc>
              <w:tc>
                <w:tcPr>
                  <w:tcW w:w="483" w:type="pct"/>
                  <w:vAlign w:val="center"/>
                </w:tcPr>
                <w:p w14:paraId="43903158">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0.1</w:t>
                  </w:r>
                </w:p>
              </w:tc>
              <w:tc>
                <w:tcPr>
                  <w:tcW w:w="453" w:type="pct"/>
                  <w:vAlign w:val="center"/>
                </w:tcPr>
                <w:p w14:paraId="19E63F79">
                  <w:pPr>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宋体"/>
                      <w:color w:val="auto"/>
                      <w:kern w:val="2"/>
                      <w:sz w:val="18"/>
                      <w:szCs w:val="22"/>
                      <w:lang w:val="zh-CN" w:eastAsia="zh-CN" w:bidi="ar-SA"/>
                    </w:rPr>
                  </w:pPr>
                  <w:r>
                    <w:rPr>
                      <w:rFonts w:hint="eastAsia" w:cs="宋体"/>
                      <w:color w:val="auto"/>
                      <w:kern w:val="2"/>
                      <w:sz w:val="18"/>
                      <w:szCs w:val="22"/>
                      <w:lang w:val="en-US" w:eastAsia="zh-CN" w:bidi="ar-SA"/>
                    </w:rPr>
                    <w:t>危险废物</w:t>
                  </w:r>
                </w:p>
              </w:tc>
              <w:tc>
                <w:tcPr>
                  <w:tcW w:w="703" w:type="pct"/>
                  <w:vMerge w:val="continue"/>
                  <w:vAlign w:val="center"/>
                </w:tcPr>
                <w:p w14:paraId="4A863A79">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p>
              </w:tc>
              <w:tc>
                <w:tcPr>
                  <w:tcW w:w="436" w:type="pct"/>
                  <w:vAlign w:val="center"/>
                </w:tcPr>
                <w:p w14:paraId="4DCF9DB3">
                  <w:pPr>
                    <w:pStyle w:val="287"/>
                    <w:framePr w:hSpace="0" w:wrap="auto" w:vAnchor="margin" w:hAnchor="text" w:xAlign="left" w:yAlign="inline"/>
                    <w:rPr>
                      <w:rFonts w:hint="eastAsia"/>
                      <w:color w:val="auto"/>
                      <w:lang w:eastAsia="zh-CN"/>
                    </w:rPr>
                  </w:pPr>
                  <w:r>
                    <w:rPr>
                      <w:rFonts w:hint="eastAsia"/>
                      <w:color w:val="auto"/>
                      <w:lang w:eastAsia="zh-CN"/>
                    </w:rPr>
                    <w:t>是</w:t>
                  </w:r>
                </w:p>
              </w:tc>
            </w:tr>
            <w:tr w14:paraId="281E8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2" w:type="pct"/>
                  <w:vAlign w:val="center"/>
                </w:tcPr>
                <w:p w14:paraId="7BC831A5">
                  <w:pPr>
                    <w:pStyle w:val="287"/>
                    <w:framePr w:hSpace="0" w:wrap="auto" w:vAnchor="margin" w:hAnchor="text" w:xAlign="left" w:yAlign="inline"/>
                    <w:numPr>
                      <w:ilvl w:val="0"/>
                      <w:numId w:val="0"/>
                    </w:numPr>
                    <w:ind w:leftChars="0"/>
                    <w:rPr>
                      <w:rFonts w:hint="eastAsia" w:eastAsia="宋体"/>
                      <w:color w:val="auto"/>
                      <w:lang w:val="en-US" w:eastAsia="zh-CN"/>
                    </w:rPr>
                  </w:pPr>
                  <w:r>
                    <w:rPr>
                      <w:rFonts w:hint="eastAsia"/>
                      <w:color w:val="auto"/>
                      <w:lang w:val="en-US" w:eastAsia="zh-CN"/>
                    </w:rPr>
                    <w:t>5</w:t>
                  </w:r>
                </w:p>
              </w:tc>
              <w:tc>
                <w:tcPr>
                  <w:tcW w:w="584" w:type="pct"/>
                  <w:shd w:val="clear" w:color="auto" w:fill="auto"/>
                  <w:vAlign w:val="center"/>
                </w:tcPr>
                <w:p w14:paraId="011A2719">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olor w:val="auto"/>
                      <w:lang w:eastAsia="zh-CN"/>
                    </w:rPr>
                    <w:t>废含油抹布手套</w:t>
                  </w:r>
                </w:p>
              </w:tc>
              <w:tc>
                <w:tcPr>
                  <w:tcW w:w="903" w:type="pct"/>
                  <w:shd w:val="clear" w:color="auto" w:fill="auto"/>
                  <w:vAlign w:val="center"/>
                </w:tcPr>
                <w:p w14:paraId="392E8820">
                  <w:pPr>
                    <w:pStyle w:val="287"/>
                    <w:framePr w:hSpace="0" w:wrap="auto" w:vAnchor="margin" w:hAnchor="text" w:xAlign="left" w:yAlign="inline"/>
                    <w:rPr>
                      <w:rFonts w:hint="eastAsia" w:ascii="Times New Roman" w:hAnsi="Times New Roman" w:eastAsia="宋体" w:cs="宋体"/>
                      <w:color w:val="auto"/>
                      <w:kern w:val="2"/>
                      <w:sz w:val="18"/>
                      <w:szCs w:val="22"/>
                      <w:lang w:val="en-US" w:eastAsia="zh-CN" w:bidi="ar-SA"/>
                    </w:rPr>
                  </w:pPr>
                  <w:r>
                    <w:rPr>
                      <w:rFonts w:hint="eastAsia"/>
                      <w:color w:val="auto"/>
                    </w:rPr>
                    <w:t>HW49</w:t>
                  </w:r>
                </w:p>
              </w:tc>
              <w:tc>
                <w:tcPr>
                  <w:tcW w:w="623" w:type="pct"/>
                  <w:shd w:val="clear" w:color="auto" w:fill="auto"/>
                  <w:vAlign w:val="center"/>
                </w:tcPr>
                <w:p w14:paraId="69A62768">
                  <w:pPr>
                    <w:pStyle w:val="287"/>
                    <w:framePr w:hSpace="0" w:wrap="auto" w:vAnchor="margin" w:hAnchor="text" w:xAlign="left" w:yAlign="inline"/>
                    <w:rPr>
                      <w:rFonts w:hint="eastAsia" w:ascii="Times New Roman" w:hAnsi="Times New Roman" w:eastAsia="宋体" w:cs="宋体"/>
                      <w:color w:val="auto"/>
                      <w:kern w:val="2"/>
                      <w:sz w:val="18"/>
                      <w:szCs w:val="22"/>
                      <w:lang w:val="en-US" w:eastAsia="zh-CN" w:bidi="ar-SA"/>
                    </w:rPr>
                  </w:pPr>
                  <w:r>
                    <w:rPr>
                      <w:color w:val="auto"/>
                    </w:rPr>
                    <w:t>900-041-49</w:t>
                  </w:r>
                </w:p>
              </w:tc>
              <w:tc>
                <w:tcPr>
                  <w:tcW w:w="527" w:type="pct"/>
                  <w:shd w:val="clear" w:color="auto" w:fill="auto"/>
                  <w:vAlign w:val="center"/>
                </w:tcPr>
                <w:p w14:paraId="3930D397">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olor w:val="auto"/>
                      <w:lang w:eastAsia="zh-CN"/>
                    </w:rPr>
                    <w:t>固态</w:t>
                  </w:r>
                </w:p>
              </w:tc>
              <w:tc>
                <w:tcPr>
                  <w:tcW w:w="483" w:type="pct"/>
                  <w:shd w:val="clear" w:color="auto" w:fill="auto"/>
                  <w:vAlign w:val="center"/>
                </w:tcPr>
                <w:p w14:paraId="4B0A664F">
                  <w:pPr>
                    <w:pStyle w:val="287"/>
                    <w:framePr w:hSpace="0" w:wrap="auto" w:vAnchor="margin" w:hAnchor="text" w:xAlign="left" w:yAlign="inline"/>
                    <w:rPr>
                      <w:rFonts w:hint="eastAsia" w:ascii="Times New Roman" w:hAnsi="Times New Roman" w:eastAsia="宋体" w:cs="宋体"/>
                      <w:color w:val="auto"/>
                      <w:kern w:val="2"/>
                      <w:sz w:val="18"/>
                      <w:szCs w:val="22"/>
                      <w:lang w:val="en-US" w:eastAsia="zh-CN" w:bidi="ar-SA"/>
                    </w:rPr>
                  </w:pPr>
                  <w:r>
                    <w:rPr>
                      <w:rFonts w:hint="eastAsia"/>
                      <w:color w:val="auto"/>
                      <w:lang w:val="en-US" w:eastAsia="zh-CN"/>
                    </w:rPr>
                    <w:t>0.05</w:t>
                  </w:r>
                </w:p>
              </w:tc>
              <w:tc>
                <w:tcPr>
                  <w:tcW w:w="453" w:type="pct"/>
                  <w:shd w:val="clear" w:color="auto" w:fill="auto"/>
                  <w:vAlign w:val="center"/>
                </w:tcPr>
                <w:p w14:paraId="0B46EE46">
                  <w:pPr>
                    <w:keepNext w:val="0"/>
                    <w:keepLines w:val="0"/>
                    <w:pageBreakBefore w:val="0"/>
                    <w:widowControl w:val="0"/>
                    <w:kinsoku/>
                    <w:wordWrap/>
                    <w:overflowPunct/>
                    <w:topLinePunct w:val="0"/>
                    <w:autoSpaceDE/>
                    <w:autoSpaceDN/>
                    <w:bidi w:val="0"/>
                    <w:adjustRightInd/>
                    <w:snapToGrid/>
                    <w:spacing w:after="0" w:line="240" w:lineRule="auto"/>
                    <w:jc w:val="center"/>
                    <w:textAlignment w:val="auto"/>
                    <w:rPr>
                      <w:rFonts w:hint="eastAsia" w:ascii="Times New Roman" w:hAnsi="Times New Roman" w:eastAsia="宋体" w:cs="宋体"/>
                      <w:color w:val="auto"/>
                      <w:kern w:val="2"/>
                      <w:sz w:val="18"/>
                      <w:szCs w:val="22"/>
                      <w:lang w:val="zh-CN" w:eastAsia="zh-CN" w:bidi="ar-SA"/>
                    </w:rPr>
                  </w:pPr>
                  <w:r>
                    <w:rPr>
                      <w:rFonts w:hint="eastAsia" w:cs="宋体"/>
                      <w:color w:val="auto"/>
                      <w:kern w:val="2"/>
                      <w:sz w:val="18"/>
                      <w:szCs w:val="22"/>
                      <w:lang w:val="en-US" w:eastAsia="zh-CN" w:bidi="ar-SA"/>
                    </w:rPr>
                    <w:t>危险废物</w:t>
                  </w:r>
                </w:p>
              </w:tc>
              <w:tc>
                <w:tcPr>
                  <w:tcW w:w="703" w:type="pct"/>
                  <w:vMerge w:val="continue"/>
                  <w:shd w:val="clear" w:color="auto" w:fill="auto"/>
                  <w:vAlign w:val="center"/>
                </w:tcPr>
                <w:p w14:paraId="6BE2F89B">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p>
              </w:tc>
              <w:tc>
                <w:tcPr>
                  <w:tcW w:w="436" w:type="pct"/>
                  <w:shd w:val="clear" w:color="auto" w:fill="auto"/>
                  <w:vAlign w:val="center"/>
                </w:tcPr>
                <w:p w14:paraId="6833DA2C">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olor w:val="auto"/>
                      <w:lang w:eastAsia="zh-CN"/>
                    </w:rPr>
                    <w:t>是</w:t>
                  </w:r>
                </w:p>
              </w:tc>
            </w:tr>
            <w:tr w14:paraId="775F9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trPr>
              <w:tc>
                <w:tcPr>
                  <w:tcW w:w="282" w:type="pct"/>
                  <w:vAlign w:val="center"/>
                </w:tcPr>
                <w:p w14:paraId="58995AAB">
                  <w:pPr>
                    <w:pStyle w:val="287"/>
                    <w:framePr w:hSpace="0" w:wrap="auto" w:vAnchor="margin" w:hAnchor="text" w:xAlign="left" w:yAlign="inline"/>
                    <w:numPr>
                      <w:ilvl w:val="0"/>
                      <w:numId w:val="0"/>
                    </w:numPr>
                    <w:ind w:leftChars="0"/>
                    <w:rPr>
                      <w:rFonts w:hint="default"/>
                      <w:color w:val="auto"/>
                      <w:lang w:val="en-US" w:eastAsia="zh-CN"/>
                    </w:rPr>
                  </w:pPr>
                  <w:r>
                    <w:rPr>
                      <w:rFonts w:hint="eastAsia"/>
                      <w:color w:val="auto"/>
                      <w:lang w:val="en-US" w:eastAsia="zh-CN"/>
                    </w:rPr>
                    <w:t>6</w:t>
                  </w:r>
                </w:p>
              </w:tc>
              <w:tc>
                <w:tcPr>
                  <w:tcW w:w="584" w:type="pct"/>
                  <w:shd w:val="clear" w:color="auto" w:fill="auto"/>
                  <w:vAlign w:val="center"/>
                </w:tcPr>
                <w:p w14:paraId="1814995D">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olor w:val="auto"/>
                      <w:lang w:eastAsia="zh-CN"/>
                    </w:rPr>
                    <w:t>生活垃圾</w:t>
                  </w:r>
                </w:p>
              </w:tc>
              <w:tc>
                <w:tcPr>
                  <w:tcW w:w="903" w:type="pct"/>
                  <w:shd w:val="clear" w:color="auto" w:fill="auto"/>
                  <w:vAlign w:val="center"/>
                </w:tcPr>
                <w:p w14:paraId="2EF7F766">
                  <w:pPr>
                    <w:pStyle w:val="287"/>
                    <w:framePr w:hSpace="0" w:wrap="auto" w:vAnchor="margin" w:hAnchor="text" w:xAlign="left" w:yAlign="inline"/>
                    <w:rPr>
                      <w:rFonts w:hint="default" w:ascii="Times New Roman" w:hAnsi="Times New Roman" w:eastAsia="宋体" w:cs="宋体"/>
                      <w:color w:val="auto"/>
                      <w:kern w:val="2"/>
                      <w:sz w:val="18"/>
                      <w:szCs w:val="22"/>
                      <w:lang w:val="en-US" w:eastAsia="zh-CN" w:bidi="ar-SA"/>
                    </w:rPr>
                  </w:pPr>
                  <w:r>
                    <w:rPr>
                      <w:rFonts w:hint="eastAsia"/>
                      <w:color w:val="auto"/>
                      <w:lang w:val="en-US" w:eastAsia="zh-CN"/>
                    </w:rPr>
                    <w:t>/</w:t>
                  </w:r>
                </w:p>
              </w:tc>
              <w:tc>
                <w:tcPr>
                  <w:tcW w:w="623" w:type="pct"/>
                  <w:shd w:val="clear" w:color="auto" w:fill="auto"/>
                  <w:vAlign w:val="center"/>
                </w:tcPr>
                <w:p w14:paraId="278B764B">
                  <w:pPr>
                    <w:pStyle w:val="287"/>
                    <w:framePr w:hSpace="0" w:wrap="auto" w:vAnchor="margin" w:hAnchor="text" w:xAlign="left" w:yAlign="inline"/>
                    <w:rPr>
                      <w:rFonts w:hint="default" w:ascii="Times New Roman" w:hAnsi="Times New Roman" w:eastAsia="宋体" w:cs="宋体"/>
                      <w:color w:val="auto"/>
                      <w:kern w:val="2"/>
                      <w:sz w:val="18"/>
                      <w:szCs w:val="22"/>
                      <w:lang w:val="en-US" w:eastAsia="zh-CN" w:bidi="ar-SA"/>
                    </w:rPr>
                  </w:pPr>
                  <w:r>
                    <w:rPr>
                      <w:rFonts w:hint="eastAsia"/>
                      <w:color w:val="auto"/>
                      <w:lang w:val="en-US" w:eastAsia="zh-CN"/>
                    </w:rPr>
                    <w:t>/</w:t>
                  </w:r>
                </w:p>
              </w:tc>
              <w:tc>
                <w:tcPr>
                  <w:tcW w:w="527" w:type="pct"/>
                  <w:shd w:val="clear" w:color="auto" w:fill="auto"/>
                  <w:vAlign w:val="center"/>
                </w:tcPr>
                <w:p w14:paraId="56FE4252">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olor w:val="auto"/>
                    </w:rPr>
                    <w:t>固态</w:t>
                  </w:r>
                </w:p>
              </w:tc>
              <w:tc>
                <w:tcPr>
                  <w:tcW w:w="483" w:type="pct"/>
                  <w:shd w:val="clear" w:color="auto" w:fill="auto"/>
                  <w:vAlign w:val="center"/>
                </w:tcPr>
                <w:p w14:paraId="3D831D97">
                  <w:pPr>
                    <w:pStyle w:val="287"/>
                    <w:framePr w:hSpace="0" w:wrap="auto" w:vAnchor="margin" w:hAnchor="text" w:xAlign="left" w:yAlign="inline"/>
                    <w:rPr>
                      <w:rFonts w:hint="default" w:ascii="Times New Roman" w:hAnsi="Times New Roman" w:eastAsia="宋体" w:cs="宋体"/>
                      <w:color w:val="auto"/>
                      <w:kern w:val="2"/>
                      <w:sz w:val="18"/>
                      <w:szCs w:val="22"/>
                      <w:lang w:val="en-US" w:eastAsia="zh-CN" w:bidi="ar-SA"/>
                    </w:rPr>
                  </w:pPr>
                  <w:r>
                    <w:rPr>
                      <w:rFonts w:hint="eastAsia"/>
                      <w:color w:val="auto"/>
                      <w:lang w:val="en-US" w:eastAsia="zh-CN"/>
                    </w:rPr>
                    <w:t>3.9</w:t>
                  </w:r>
                </w:p>
              </w:tc>
              <w:tc>
                <w:tcPr>
                  <w:tcW w:w="453" w:type="pct"/>
                  <w:shd w:val="clear" w:color="auto" w:fill="auto"/>
                  <w:vAlign w:val="center"/>
                </w:tcPr>
                <w:p w14:paraId="2AC7F3BD">
                  <w:pPr>
                    <w:pStyle w:val="287"/>
                    <w:framePr w:hSpace="0" w:wrap="auto" w:vAnchor="margin" w:hAnchor="text" w:xAlign="left" w:yAlign="inline"/>
                    <w:rPr>
                      <w:rFonts w:hint="eastAsia" w:ascii="Times New Roman" w:hAnsi="Times New Roman" w:eastAsia="宋体" w:cs="宋体"/>
                      <w:color w:val="auto"/>
                      <w:kern w:val="2"/>
                      <w:sz w:val="18"/>
                      <w:szCs w:val="22"/>
                      <w:lang w:val="en-US" w:eastAsia="zh-CN" w:bidi="ar-SA"/>
                    </w:rPr>
                  </w:pPr>
                  <w:r>
                    <w:rPr>
                      <w:rFonts w:hint="eastAsia" w:ascii="Times New Roman" w:hAnsi="Times New Roman" w:eastAsia="宋体" w:cs="宋体"/>
                      <w:color w:val="auto"/>
                      <w:kern w:val="2"/>
                      <w:sz w:val="18"/>
                      <w:szCs w:val="22"/>
                      <w:lang w:val="en-US" w:eastAsia="zh-CN" w:bidi="ar-SA"/>
                    </w:rPr>
                    <w:t>一般固废</w:t>
                  </w:r>
                </w:p>
              </w:tc>
              <w:tc>
                <w:tcPr>
                  <w:tcW w:w="703" w:type="pct"/>
                  <w:shd w:val="clear" w:color="auto" w:fill="auto"/>
                  <w:vAlign w:val="center"/>
                </w:tcPr>
                <w:p w14:paraId="1E585E27">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ascii="Times New Roman" w:hAnsi="Times New Roman" w:eastAsia="宋体" w:cs="宋体"/>
                      <w:color w:val="auto"/>
                      <w:kern w:val="2"/>
                      <w:sz w:val="18"/>
                      <w:szCs w:val="22"/>
                      <w:lang w:val="zh-CN" w:eastAsia="zh-CN" w:bidi="ar-SA"/>
                    </w:rPr>
                    <w:t>环卫部门统一清运</w:t>
                  </w:r>
                </w:p>
              </w:tc>
              <w:tc>
                <w:tcPr>
                  <w:tcW w:w="436" w:type="pct"/>
                  <w:shd w:val="clear" w:color="auto" w:fill="auto"/>
                  <w:vAlign w:val="center"/>
                </w:tcPr>
                <w:p w14:paraId="65C451AA">
                  <w:pPr>
                    <w:pStyle w:val="287"/>
                    <w:framePr w:hSpace="0" w:wrap="auto" w:vAnchor="margin" w:hAnchor="text" w:xAlign="left" w:yAlign="inline"/>
                    <w:rPr>
                      <w:rFonts w:hint="eastAsia" w:ascii="Times New Roman" w:hAnsi="Times New Roman" w:eastAsia="宋体" w:cs="宋体"/>
                      <w:color w:val="auto"/>
                      <w:kern w:val="2"/>
                      <w:sz w:val="18"/>
                      <w:szCs w:val="22"/>
                      <w:lang w:val="zh-CN" w:eastAsia="zh-CN" w:bidi="ar-SA"/>
                    </w:rPr>
                  </w:pPr>
                  <w:r>
                    <w:rPr>
                      <w:rFonts w:hint="eastAsia"/>
                      <w:color w:val="auto"/>
                      <w:lang w:eastAsia="zh-CN"/>
                    </w:rPr>
                    <w:t>是</w:t>
                  </w:r>
                </w:p>
              </w:tc>
            </w:tr>
          </w:tbl>
          <w:p w14:paraId="1AEF0298">
            <w:pPr>
              <w:pStyle w:val="771"/>
              <w:bidi w:val="0"/>
              <w:rPr>
                <w:color w:val="auto"/>
              </w:rPr>
            </w:pPr>
            <w:r>
              <w:rPr>
                <w:color w:val="auto"/>
              </w:rPr>
              <w:t>根据上表可知，项目运行过程中产生的固体废弃物均能得到妥善处置，处置率100%。</w:t>
            </w:r>
          </w:p>
          <w:bookmarkEnd w:id="27"/>
          <w:p w14:paraId="7251058E">
            <w:pPr>
              <w:pStyle w:val="771"/>
              <w:bidi w:val="0"/>
              <w:rPr>
                <w:rFonts w:hint="default" w:eastAsia="宋体"/>
                <w:color w:val="auto"/>
                <w:lang w:val="en-US" w:eastAsia="zh-CN"/>
              </w:rPr>
            </w:pPr>
            <w:r>
              <w:rPr>
                <w:rFonts w:hint="eastAsia" w:ascii="Times New Roman" w:hAnsi="Times New Roman" w:eastAsia="宋体" w:cs="Times New Roman"/>
                <w:b/>
                <w:bCs/>
                <w:color w:val="auto"/>
                <w:lang w:val="en-US" w:eastAsia="zh-CN"/>
              </w:rPr>
              <w:t>4.5.2环境管理要求</w:t>
            </w:r>
          </w:p>
          <w:p w14:paraId="4561581D">
            <w:pPr>
              <w:pStyle w:val="771"/>
              <w:bidi w:val="0"/>
              <w:ind w:left="0" w:leftChars="0" w:firstLine="482" w:firstLineChars="200"/>
              <w:rPr>
                <w:rFonts w:hint="eastAsia"/>
                <w:b/>
                <w:bCs/>
                <w:color w:val="auto"/>
                <w:lang w:val="en-US" w:eastAsia="zh-CN"/>
              </w:rPr>
            </w:pPr>
            <w:r>
              <w:rPr>
                <w:rFonts w:hint="eastAsia"/>
                <w:b/>
                <w:bCs/>
                <w:color w:val="auto"/>
                <w:lang w:val="en-US" w:eastAsia="zh-CN"/>
              </w:rPr>
              <w:t>1、一般固体废物环境管理要求</w:t>
            </w:r>
          </w:p>
          <w:p w14:paraId="562E8564">
            <w:pPr>
              <w:pStyle w:val="771"/>
              <w:bidi w:val="0"/>
              <w:ind w:left="0" w:leftChars="0" w:firstLine="480" w:firstLineChars="200"/>
              <w:rPr>
                <w:color w:val="auto"/>
              </w:rPr>
            </w:pPr>
            <w:r>
              <w:rPr>
                <w:rFonts w:hint="eastAsia"/>
                <w:color w:val="auto"/>
                <w:lang w:val="en-US" w:eastAsia="zh-CN"/>
              </w:rPr>
              <w:t>企业需设置专人对固体废物进行分类收集，不得擅自倾倒、堆放、丢弃、遗撒固体废物。贮存场内堆放的一般工业固体废物的类别应相一致，应防止雨水径流进入贮存场。企业应建立固体废物管理台账，如实记录产生工业固体废物的种类、数量、流向、贮存、利用、处置等信息，实现工业固体废物可追溯、可查询。企业应按照《中华人民共和国固体废物污染环境防治法》（中华人民共和国主席令第四十三号）第三十七条“产生工业固体废物的单位委托他人运输、利用、处置工业固体废物的，应当对受托方的主体资格和技术能力进行核实，依法签订书面合同，在合同中约定污染防治要求。”规定执行。一般工业固体废物的暂存场所须按《一般工业固体废物贮存和填埋污染控制标准》（</w:t>
            </w:r>
            <w:r>
              <w:rPr>
                <w:rFonts w:hint="default"/>
                <w:color w:val="auto"/>
                <w:lang w:val="en-US" w:eastAsia="zh-CN"/>
              </w:rPr>
              <w:t>GB18599-2020</w:t>
            </w:r>
            <w:r>
              <w:rPr>
                <w:rFonts w:hint="eastAsia"/>
                <w:color w:val="auto"/>
                <w:lang w:val="en-US" w:eastAsia="zh-CN"/>
              </w:rPr>
              <w:t>）的要求建设，具体要求如下：</w:t>
            </w:r>
          </w:p>
          <w:p w14:paraId="6E7729B6">
            <w:pPr>
              <w:pStyle w:val="771"/>
              <w:bidi w:val="0"/>
              <w:rPr>
                <w:color w:val="auto"/>
              </w:rPr>
            </w:pPr>
            <w:r>
              <w:rPr>
                <w:rFonts w:hint="eastAsia"/>
                <w:color w:val="auto"/>
                <w:lang w:val="en-US" w:eastAsia="zh-CN"/>
              </w:rPr>
              <w:t>（1）当天然基础层饱和渗透系数不大于</w:t>
            </w:r>
            <w:r>
              <w:rPr>
                <w:rFonts w:hint="default"/>
                <w:color w:val="auto"/>
                <w:lang w:val="en-US" w:eastAsia="zh-CN"/>
              </w:rPr>
              <w:t>1.0×10</w:t>
            </w:r>
            <w:r>
              <w:rPr>
                <w:rFonts w:hint="eastAsia"/>
                <w:color w:val="auto"/>
                <w:vertAlign w:val="superscript"/>
                <w:lang w:val="en-US" w:eastAsia="zh-CN"/>
              </w:rPr>
              <w:t>-5</w:t>
            </w:r>
            <w:r>
              <w:rPr>
                <w:rFonts w:hint="default"/>
                <w:color w:val="auto"/>
                <w:lang w:val="en-US" w:eastAsia="zh-CN"/>
              </w:rPr>
              <w:t>cm/s</w:t>
            </w:r>
            <w:r>
              <w:rPr>
                <w:rFonts w:hint="eastAsia"/>
                <w:color w:val="auto"/>
                <w:lang w:val="en-US" w:eastAsia="zh-CN"/>
              </w:rPr>
              <w:t>，且厚度不小于</w:t>
            </w:r>
            <w:r>
              <w:rPr>
                <w:rFonts w:hint="default"/>
                <w:color w:val="auto"/>
                <w:lang w:val="en-US" w:eastAsia="zh-CN"/>
              </w:rPr>
              <w:t>0.75m</w:t>
            </w:r>
            <w:r>
              <w:rPr>
                <w:rFonts w:hint="eastAsia"/>
                <w:color w:val="auto"/>
                <w:lang w:val="en-US" w:eastAsia="zh-CN"/>
              </w:rPr>
              <w:t>时，可以采用天然基础层作为防渗衬层；</w:t>
            </w:r>
          </w:p>
          <w:p w14:paraId="6AC59425">
            <w:pPr>
              <w:pStyle w:val="771"/>
              <w:bidi w:val="0"/>
              <w:rPr>
                <w:color w:val="auto"/>
              </w:rPr>
            </w:pPr>
            <w:r>
              <w:rPr>
                <w:rFonts w:hint="eastAsia"/>
                <w:color w:val="auto"/>
                <w:lang w:val="en-US" w:eastAsia="zh-CN"/>
              </w:rPr>
              <w:t>（2）当天然基础层不能满足上述第1条防渗要求时，可采用改性压实粘土类衬层或具有同等以上隔水效力的其他材料防渗衬层，其防渗性能应至少相当于渗透系数为</w:t>
            </w:r>
            <w:r>
              <w:rPr>
                <w:rFonts w:hint="default"/>
                <w:color w:val="auto"/>
                <w:lang w:val="en-US" w:eastAsia="zh-CN"/>
              </w:rPr>
              <w:t>1.0×10</w:t>
            </w:r>
            <w:r>
              <w:rPr>
                <w:rFonts w:hint="eastAsia"/>
                <w:color w:val="auto"/>
                <w:vertAlign w:val="superscript"/>
                <w:lang w:val="en-US" w:eastAsia="zh-CN"/>
              </w:rPr>
              <w:t>-5</w:t>
            </w:r>
            <w:r>
              <w:rPr>
                <w:rFonts w:hint="default"/>
                <w:color w:val="auto"/>
                <w:lang w:val="en-US" w:eastAsia="zh-CN"/>
              </w:rPr>
              <w:t xml:space="preserve">cm/s </w:t>
            </w:r>
            <w:r>
              <w:rPr>
                <w:rFonts w:hint="eastAsia"/>
                <w:color w:val="auto"/>
                <w:lang w:val="en-US" w:eastAsia="zh-CN"/>
              </w:rPr>
              <w:t>且厚度为</w:t>
            </w:r>
            <w:r>
              <w:rPr>
                <w:rFonts w:hint="default"/>
                <w:color w:val="auto"/>
                <w:lang w:val="en-US" w:eastAsia="zh-CN"/>
              </w:rPr>
              <w:t>0.75m</w:t>
            </w:r>
            <w:r>
              <w:rPr>
                <w:rFonts w:hint="eastAsia"/>
                <w:color w:val="auto"/>
                <w:lang w:val="en-US" w:eastAsia="zh-CN"/>
              </w:rPr>
              <w:t>的天然基础层；</w:t>
            </w:r>
          </w:p>
          <w:p w14:paraId="3914CC13">
            <w:pPr>
              <w:pStyle w:val="771"/>
              <w:bidi w:val="0"/>
              <w:rPr>
                <w:color w:val="auto"/>
              </w:rPr>
            </w:pPr>
            <w:r>
              <w:rPr>
                <w:rFonts w:hint="eastAsia"/>
                <w:color w:val="auto"/>
                <w:lang w:val="en-US" w:eastAsia="zh-CN"/>
              </w:rPr>
              <w:t xml:space="preserve">（3）人工合成材料衬层、渗滤液收集和导排系统的施工不应对粘土衬层造成破坏； </w:t>
            </w:r>
          </w:p>
          <w:p w14:paraId="6A1C75DC">
            <w:pPr>
              <w:pStyle w:val="771"/>
              <w:bidi w:val="0"/>
              <w:rPr>
                <w:color w:val="auto"/>
              </w:rPr>
            </w:pPr>
            <w:r>
              <w:rPr>
                <w:rFonts w:hint="eastAsia"/>
                <w:color w:val="auto"/>
                <w:lang w:val="en-US" w:eastAsia="zh-CN"/>
              </w:rPr>
              <w:t>（4）不相容的一般工业固体废物应设置不同的分区进行贮存和填埋作业；</w:t>
            </w:r>
          </w:p>
          <w:p w14:paraId="10907DB0">
            <w:pPr>
              <w:pStyle w:val="181"/>
              <w:keepNext w:val="0"/>
              <w:keepLines w:val="0"/>
              <w:pageBreakBefore w:val="0"/>
              <w:kinsoku/>
              <w:wordWrap/>
              <w:overflowPunct w:val="0"/>
              <w:topLinePunct w:val="0"/>
              <w:autoSpaceDE/>
              <w:autoSpaceDN/>
              <w:bidi w:val="0"/>
              <w:adjustRightInd/>
              <w:snapToGrid/>
              <w:spacing w:after="0" w:line="460" w:lineRule="exact"/>
              <w:ind w:firstLine="480"/>
              <w:textAlignment w:val="auto"/>
              <w:rPr>
                <w:color w:val="auto"/>
              </w:rPr>
            </w:pPr>
            <w:r>
              <w:rPr>
                <w:rFonts w:hint="eastAsia"/>
                <w:color w:val="auto"/>
                <w:lang w:val="en-US" w:eastAsia="zh-CN"/>
              </w:rPr>
              <w:t>（5）危险废物和生活垃圾不得进入一般工业固体废物贮存场及填埋场。</w:t>
            </w:r>
          </w:p>
          <w:p w14:paraId="11773FC6">
            <w:pPr>
              <w:keepNext w:val="0"/>
              <w:keepLines w:val="0"/>
              <w:pageBreakBefore w:val="0"/>
              <w:kinsoku/>
              <w:wordWrap/>
              <w:overflowPunct w:val="0"/>
              <w:topLinePunct w:val="0"/>
              <w:autoSpaceDE/>
              <w:autoSpaceDN/>
              <w:bidi w:val="0"/>
              <w:adjustRightInd/>
              <w:snapToGrid/>
              <w:spacing w:after="0" w:line="460" w:lineRule="exact"/>
              <w:ind w:firstLine="482" w:firstLineChars="200"/>
              <w:jc w:val="left"/>
              <w:textAlignment w:val="auto"/>
              <w:rPr>
                <w:bCs/>
                <w:color w:val="auto"/>
                <w:kern w:val="2"/>
              </w:rPr>
            </w:pPr>
            <w:r>
              <w:rPr>
                <w:rFonts w:hint="eastAsia" w:ascii="Times New Roman" w:hAnsi="Times New Roman" w:eastAsia="宋体" w:cs="Times New Roman"/>
                <w:b/>
                <w:bCs/>
                <w:color w:val="auto"/>
                <w:lang w:val="en-US" w:eastAsia="zh-CN"/>
              </w:rPr>
              <w:t>2、危险废物环境管</w:t>
            </w:r>
            <w:r>
              <w:rPr>
                <w:rFonts w:hint="eastAsia"/>
                <w:b/>
                <w:bCs/>
                <w:color w:val="auto"/>
                <w:lang w:val="en-US" w:eastAsia="zh-CN"/>
              </w:rPr>
              <w:t>理要求</w:t>
            </w:r>
          </w:p>
          <w:p w14:paraId="62F59FEA">
            <w:pPr>
              <w:keepNext w:val="0"/>
              <w:keepLines w:val="0"/>
              <w:pageBreakBefore w:val="0"/>
              <w:kinsoku/>
              <w:wordWrap/>
              <w:overflowPunct w:val="0"/>
              <w:topLinePunct w:val="0"/>
              <w:autoSpaceDE/>
              <w:autoSpaceDN/>
              <w:bidi w:val="0"/>
              <w:adjustRightInd/>
              <w:snapToGrid/>
              <w:spacing w:after="0" w:line="460" w:lineRule="exact"/>
              <w:ind w:firstLine="480" w:firstLineChars="200"/>
              <w:textAlignment w:val="auto"/>
              <w:rPr>
                <w:bCs/>
                <w:color w:val="auto"/>
                <w:kern w:val="2"/>
                <w:szCs w:val="28"/>
              </w:rPr>
            </w:pPr>
            <w:r>
              <w:rPr>
                <w:bCs/>
                <w:color w:val="auto"/>
                <w:kern w:val="2"/>
              </w:rPr>
              <w:t>本项目的危险废物</w:t>
            </w:r>
            <w:r>
              <w:rPr>
                <w:rFonts w:hint="eastAsia"/>
                <w:bCs/>
                <w:color w:val="auto"/>
                <w:kern w:val="2"/>
              </w:rPr>
              <w:t>暂存与</w:t>
            </w:r>
            <w:r>
              <w:rPr>
                <w:bCs/>
                <w:color w:val="auto"/>
                <w:kern w:val="2"/>
              </w:rPr>
              <w:t>危废暂存间</w:t>
            </w:r>
            <w:r>
              <w:rPr>
                <w:rFonts w:hint="eastAsia"/>
                <w:bCs/>
                <w:color w:val="auto"/>
                <w:kern w:val="2"/>
              </w:rPr>
              <w:t>，</w:t>
            </w:r>
            <w:r>
              <w:rPr>
                <w:bCs/>
                <w:color w:val="auto"/>
                <w:kern w:val="2"/>
              </w:rPr>
              <w:t>按照</w:t>
            </w:r>
            <w:r>
              <w:rPr>
                <w:rFonts w:hint="eastAsia"/>
                <w:bCs/>
                <w:color w:val="auto"/>
                <w:kern w:val="2"/>
              </w:rPr>
              <w:t>《危险废物贮存污染控制标准》（GB18597-2023）中</w:t>
            </w:r>
            <w:r>
              <w:rPr>
                <w:bCs/>
                <w:color w:val="auto"/>
                <w:kern w:val="2"/>
              </w:rPr>
              <w:t>要求进行临时贮存后，委托危废处理资质单位处置，并对产生的危险废物向当地环保局备案。</w:t>
            </w:r>
          </w:p>
          <w:p w14:paraId="6D642CD5">
            <w:pPr>
              <w:pStyle w:val="181"/>
              <w:keepNext w:val="0"/>
              <w:keepLines w:val="0"/>
              <w:pageBreakBefore w:val="0"/>
              <w:kinsoku/>
              <w:wordWrap/>
              <w:overflowPunct w:val="0"/>
              <w:topLinePunct w:val="0"/>
              <w:autoSpaceDE/>
              <w:autoSpaceDN/>
              <w:bidi w:val="0"/>
              <w:adjustRightInd/>
              <w:snapToGrid/>
              <w:spacing w:after="0" w:line="460" w:lineRule="exact"/>
              <w:ind w:firstLine="480"/>
              <w:textAlignment w:val="auto"/>
              <w:rPr>
                <w:color w:val="auto"/>
              </w:rPr>
            </w:pPr>
            <w:r>
              <w:rPr>
                <w:color w:val="auto"/>
              </w:rPr>
              <w:t>按照危险废物管理要求，厂内对危险废物进行临时贮存，转移和最终处置严格按照《危险废物收集、贮存、运输技术规范》（HJ2025-2012）中相关规定，危险废物临时贮存期间应满足</w:t>
            </w:r>
            <w:r>
              <w:rPr>
                <w:rFonts w:hint="eastAsia"/>
                <w:color w:val="auto"/>
              </w:rPr>
              <w:t>《危险废物贮存污染控制标准》（GB18597-2023）中</w:t>
            </w:r>
            <w:r>
              <w:rPr>
                <w:color w:val="auto"/>
              </w:rPr>
              <w:t>对危险废物贮存设施的要求，严禁将危险废物混入非危险废物中。</w:t>
            </w:r>
          </w:p>
          <w:p w14:paraId="73C92E5D">
            <w:pPr>
              <w:pStyle w:val="181"/>
              <w:keepNext w:val="0"/>
              <w:keepLines w:val="0"/>
              <w:pageBreakBefore w:val="0"/>
              <w:kinsoku/>
              <w:topLinePunct w:val="0"/>
              <w:autoSpaceDE/>
              <w:autoSpaceDN/>
              <w:bidi w:val="0"/>
              <w:adjustRightInd/>
              <w:snapToGrid/>
              <w:ind w:firstLine="480"/>
              <w:textAlignment w:val="auto"/>
              <w:rPr>
                <w:color w:val="auto"/>
              </w:rPr>
            </w:pPr>
            <w:r>
              <w:rPr>
                <w:color w:val="auto"/>
              </w:rPr>
              <w:t>（</w:t>
            </w:r>
            <w:r>
              <w:rPr>
                <w:rFonts w:hint="eastAsia"/>
                <w:color w:val="auto"/>
              </w:rPr>
              <w:t>1</w:t>
            </w:r>
            <w:r>
              <w:rPr>
                <w:color w:val="auto"/>
              </w:rPr>
              <w:t>）应当设置专用的贮存设施或场所，贮存设施或场所应遵照</w:t>
            </w:r>
            <w:r>
              <w:rPr>
                <w:rFonts w:hint="eastAsia"/>
                <w:color w:val="auto"/>
              </w:rPr>
              <w:t>《危险废物贮存污染控制标准》（GB18597-2023）相关要求</w:t>
            </w:r>
            <w:r>
              <w:rPr>
                <w:color w:val="auto"/>
              </w:rPr>
              <w:t>设置，并分类存放、贮存，并必须采取防扬散、防流失、防渗漏及其他防止污染环境的措施，不得随意露天堆放；</w:t>
            </w:r>
          </w:p>
          <w:p w14:paraId="43BA21CD">
            <w:pPr>
              <w:pStyle w:val="181"/>
              <w:keepNext w:val="0"/>
              <w:keepLines w:val="0"/>
              <w:pageBreakBefore w:val="0"/>
              <w:kinsoku/>
              <w:topLinePunct w:val="0"/>
              <w:autoSpaceDE/>
              <w:autoSpaceDN/>
              <w:bidi w:val="0"/>
              <w:adjustRightInd/>
              <w:snapToGrid/>
              <w:ind w:firstLine="480"/>
              <w:textAlignment w:val="auto"/>
              <w:rPr>
                <w:color w:val="auto"/>
              </w:rPr>
            </w:pPr>
            <w:r>
              <w:rPr>
                <w:color w:val="auto"/>
              </w:rPr>
              <w:t>（</w:t>
            </w:r>
            <w:r>
              <w:rPr>
                <w:rFonts w:hint="eastAsia"/>
                <w:color w:val="auto"/>
              </w:rPr>
              <w:t>2</w:t>
            </w:r>
            <w:r>
              <w:rPr>
                <w:color w:val="auto"/>
              </w:rPr>
              <w:t>）对危险固废储存场所应进行处理，如采用工业地坪，消除危险固废外泄的可能</w:t>
            </w:r>
            <w:r>
              <w:rPr>
                <w:rFonts w:hint="eastAsia"/>
                <w:color w:val="auto"/>
              </w:rPr>
              <w:t>；</w:t>
            </w:r>
          </w:p>
          <w:p w14:paraId="6E8A0F6B">
            <w:pPr>
              <w:pStyle w:val="181"/>
              <w:keepNext w:val="0"/>
              <w:keepLines w:val="0"/>
              <w:pageBreakBefore w:val="0"/>
              <w:kinsoku/>
              <w:topLinePunct w:val="0"/>
              <w:autoSpaceDE/>
              <w:autoSpaceDN/>
              <w:bidi w:val="0"/>
              <w:adjustRightInd/>
              <w:snapToGrid/>
              <w:ind w:firstLine="480"/>
              <w:textAlignment w:val="auto"/>
              <w:rPr>
                <w:color w:val="auto"/>
              </w:rPr>
            </w:pPr>
            <w:r>
              <w:rPr>
                <w:color w:val="auto"/>
              </w:rPr>
              <w:t>（</w:t>
            </w:r>
            <w:r>
              <w:rPr>
                <w:rFonts w:hint="eastAsia"/>
                <w:color w:val="auto"/>
              </w:rPr>
              <w:t>3</w:t>
            </w:r>
            <w:r>
              <w:rPr>
                <w:color w:val="auto"/>
              </w:rPr>
              <w:t>）对危险废物的容器或包装物以及收集、贮存、运输、处置危险废物的设施、场所，必须设置危险废物识别标志；</w:t>
            </w:r>
          </w:p>
          <w:p w14:paraId="21BD5881">
            <w:pPr>
              <w:pStyle w:val="181"/>
              <w:keepNext w:val="0"/>
              <w:keepLines w:val="0"/>
              <w:pageBreakBefore w:val="0"/>
              <w:kinsoku/>
              <w:topLinePunct w:val="0"/>
              <w:autoSpaceDE/>
              <w:autoSpaceDN/>
              <w:bidi w:val="0"/>
              <w:adjustRightInd/>
              <w:snapToGrid/>
              <w:ind w:firstLine="480"/>
              <w:textAlignment w:val="auto"/>
              <w:rPr>
                <w:color w:val="auto"/>
              </w:rPr>
            </w:pPr>
            <w:r>
              <w:rPr>
                <w:color w:val="auto"/>
              </w:rPr>
              <w:t>（</w:t>
            </w:r>
            <w:r>
              <w:rPr>
                <w:rFonts w:hint="eastAsia"/>
                <w:color w:val="auto"/>
              </w:rPr>
              <w:t>4</w:t>
            </w:r>
            <w:r>
              <w:rPr>
                <w:color w:val="auto"/>
              </w:rPr>
              <w:t>）危险废物禁止混入非危险废物中贮存，禁止与旅客在同一运输工具上载运；</w:t>
            </w:r>
          </w:p>
          <w:p w14:paraId="374D393A">
            <w:pPr>
              <w:pStyle w:val="181"/>
              <w:keepNext w:val="0"/>
              <w:keepLines w:val="0"/>
              <w:pageBreakBefore w:val="0"/>
              <w:kinsoku/>
              <w:topLinePunct w:val="0"/>
              <w:autoSpaceDE/>
              <w:autoSpaceDN/>
              <w:bidi w:val="0"/>
              <w:adjustRightInd/>
              <w:snapToGrid/>
              <w:ind w:firstLine="480"/>
              <w:textAlignment w:val="auto"/>
              <w:rPr>
                <w:rFonts w:hint="eastAsia" w:eastAsia="宋体"/>
                <w:color w:val="auto"/>
                <w:lang w:eastAsia="zh-CN"/>
              </w:rPr>
            </w:pPr>
            <w:r>
              <w:rPr>
                <w:color w:val="auto"/>
              </w:rPr>
              <w:t>（</w:t>
            </w:r>
            <w:r>
              <w:rPr>
                <w:rFonts w:hint="eastAsia"/>
                <w:color w:val="auto"/>
              </w:rPr>
              <w:t>5</w:t>
            </w:r>
            <w:r>
              <w:rPr>
                <w:color w:val="auto"/>
              </w:rPr>
              <w:t>）固体废物不得在运输过程中沿途丢弃、遗撒。如将固体废物用防静电的薄膜包装于箱内，再采用专用运输车辆进行运输</w:t>
            </w:r>
            <w:r>
              <w:rPr>
                <w:rFonts w:hint="eastAsia"/>
                <w:color w:val="auto"/>
                <w:lang w:eastAsia="zh-CN"/>
              </w:rPr>
              <w:t>。</w:t>
            </w:r>
          </w:p>
          <w:p w14:paraId="614707F0">
            <w:pPr>
              <w:pStyle w:val="181"/>
              <w:keepNext w:val="0"/>
              <w:keepLines w:val="0"/>
              <w:pageBreakBefore w:val="0"/>
              <w:kinsoku/>
              <w:topLinePunct w:val="0"/>
              <w:autoSpaceDE/>
              <w:autoSpaceDN/>
              <w:bidi w:val="0"/>
              <w:adjustRightInd/>
              <w:snapToGrid/>
              <w:ind w:firstLine="480"/>
              <w:textAlignment w:val="auto"/>
              <w:rPr>
                <w:b/>
                <w:bCs/>
                <w:color w:val="auto"/>
              </w:rPr>
            </w:pPr>
            <w:r>
              <w:rPr>
                <w:rFonts w:hint="eastAsia"/>
                <w:b/>
                <w:bCs/>
                <w:color w:val="auto"/>
              </w:rPr>
              <w:t>3、</w:t>
            </w:r>
            <w:r>
              <w:rPr>
                <w:b/>
                <w:bCs/>
                <w:color w:val="auto"/>
              </w:rPr>
              <w:t>生活垃圾</w:t>
            </w:r>
          </w:p>
          <w:p w14:paraId="0F5167C3">
            <w:pPr>
              <w:pStyle w:val="181"/>
              <w:keepNext w:val="0"/>
              <w:keepLines w:val="0"/>
              <w:pageBreakBefore w:val="0"/>
              <w:kinsoku/>
              <w:topLinePunct w:val="0"/>
              <w:autoSpaceDE/>
              <w:autoSpaceDN/>
              <w:bidi w:val="0"/>
              <w:adjustRightInd/>
              <w:snapToGrid/>
              <w:ind w:firstLine="480"/>
              <w:textAlignment w:val="auto"/>
              <w:rPr>
                <w:color w:val="auto"/>
              </w:rPr>
            </w:pPr>
            <w:r>
              <w:rPr>
                <w:color w:val="auto"/>
              </w:rPr>
              <w:t>生活垃圾在厂内集中收集，妥善贮存。</w:t>
            </w:r>
          </w:p>
          <w:p w14:paraId="263EF7DD">
            <w:pPr>
              <w:pStyle w:val="181"/>
              <w:keepNext w:val="0"/>
              <w:keepLines w:val="0"/>
              <w:pageBreakBefore w:val="0"/>
              <w:kinsoku/>
              <w:topLinePunct w:val="0"/>
              <w:autoSpaceDE/>
              <w:autoSpaceDN/>
              <w:bidi w:val="0"/>
              <w:adjustRightInd/>
              <w:snapToGrid/>
              <w:ind w:firstLine="480"/>
              <w:textAlignment w:val="auto"/>
              <w:rPr>
                <w:color w:val="auto"/>
              </w:rPr>
            </w:pPr>
            <w:r>
              <w:rPr>
                <w:color w:val="auto"/>
              </w:rPr>
              <w:t>本项目固废经采取以上处置措施后，实现无害化，对周围环境影响较小。</w:t>
            </w:r>
          </w:p>
          <w:p w14:paraId="2EC55F43">
            <w:pPr>
              <w:pStyle w:val="181"/>
              <w:ind w:firstLine="480"/>
              <w:rPr>
                <w:b/>
                <w:bCs/>
                <w:color w:val="auto"/>
              </w:rPr>
            </w:pPr>
            <w:r>
              <w:rPr>
                <w:rFonts w:hint="eastAsia"/>
                <w:b/>
                <w:bCs/>
                <w:color w:val="auto"/>
              </w:rPr>
              <w:t>4、</w:t>
            </w:r>
            <w:r>
              <w:rPr>
                <w:b/>
                <w:bCs/>
                <w:color w:val="auto"/>
              </w:rPr>
              <w:t>危险废物暂存、处置要求</w:t>
            </w:r>
          </w:p>
          <w:p w14:paraId="229D6EF1">
            <w:pPr>
              <w:pStyle w:val="181"/>
              <w:ind w:firstLine="480"/>
              <w:rPr>
                <w:color w:val="auto"/>
              </w:rPr>
            </w:pPr>
            <w:r>
              <w:rPr>
                <w:color w:val="auto"/>
              </w:rPr>
              <w:t>按照危险固废处置的有关规定，对属于国家规定危险废物之列的固体废物，必须委托有资质单位进行妥善处理。外运时需要严格按照国家环境保护总局令第5号文件《危险废物转移联单管理办法》的相关规定报批危险废物转移计划，应做到不沿途抛洒；因此，必须加强对固体废弃物的管理，确保各类固体废弃物的妥善处置，固体废弃物贮存场所应有明显的标志，并有防风、防雨、防晒等设施。</w:t>
            </w:r>
          </w:p>
          <w:p w14:paraId="31656E89">
            <w:pPr>
              <w:pStyle w:val="181"/>
              <w:ind w:firstLine="480"/>
              <w:rPr>
                <w:color w:val="auto"/>
              </w:rPr>
            </w:pPr>
            <w:r>
              <w:rPr>
                <w:color w:val="auto"/>
              </w:rPr>
              <w:t>厂内危险废物暂存场所应按照</w:t>
            </w:r>
            <w:r>
              <w:rPr>
                <w:rFonts w:hint="eastAsia"/>
                <w:color w:val="auto"/>
              </w:rPr>
              <w:t>《危险废物贮存污染控制标准》（GB18597-2023）</w:t>
            </w:r>
            <w:r>
              <w:rPr>
                <w:color w:val="auto"/>
              </w:rPr>
              <w:t>的规定设置，具体要求如下：</w:t>
            </w:r>
          </w:p>
          <w:p w14:paraId="75AB2125">
            <w:pPr>
              <w:pStyle w:val="181"/>
              <w:ind w:firstLine="480"/>
              <w:rPr>
                <w:color w:val="auto"/>
              </w:rPr>
            </w:pPr>
            <w:r>
              <w:rPr>
                <w:color w:val="auto"/>
              </w:rPr>
              <w:t>A、所有产生的危险废物均应使用符合标准要求的容器盛装，装载危险废物的容器及材质要满足相应的强度要求，且必须完好无损；</w:t>
            </w:r>
          </w:p>
          <w:p w14:paraId="0DD3992D">
            <w:pPr>
              <w:pStyle w:val="181"/>
              <w:ind w:firstLine="480"/>
              <w:rPr>
                <w:color w:val="auto"/>
              </w:rPr>
            </w:pPr>
            <w:r>
              <w:rPr>
                <w:color w:val="auto"/>
              </w:rPr>
              <w:t>B、禁止将不相容（相互反应）的危险废物在同一容器内混装，装危险废物的容器上必须粘贴符合标准附录A所示的标签；</w:t>
            </w:r>
          </w:p>
          <w:p w14:paraId="60834B1B">
            <w:pPr>
              <w:pStyle w:val="181"/>
              <w:ind w:firstLine="480"/>
              <w:rPr>
                <w:color w:val="auto"/>
              </w:rPr>
            </w:pPr>
            <w:r>
              <w:rPr>
                <w:color w:val="auto"/>
              </w:rPr>
              <w:t>C、危险废物贮存间的地面与裙脚要用坚固、防渗的材料建造，建筑材料必须与危险废物相容，应设计堵截泄露的裙脚，地面与裙脚所围建的溶剂不低于堵截最大容器的最大储量或总储量的五分之一，不相容的危险废物必须分开存放，并设有隔离间隔断；</w:t>
            </w:r>
          </w:p>
          <w:p w14:paraId="38F0E94C">
            <w:pPr>
              <w:pStyle w:val="181"/>
              <w:ind w:firstLine="480"/>
              <w:rPr>
                <w:color w:val="auto"/>
              </w:rPr>
            </w:pPr>
            <w:r>
              <w:rPr>
                <w:color w:val="auto"/>
              </w:rPr>
              <w:t>D、厂内建立危险废物台账管理制度，作好危险废物情况的记录，记录上须注明危险废物的名称、来源、数量、特性和包装容器的类别、入库日期、存放库位、废物出库日期及</w:t>
            </w:r>
            <w:r>
              <w:rPr>
                <w:rFonts w:hint="eastAsia"/>
                <w:color w:val="auto"/>
                <w:lang w:eastAsia="zh-CN"/>
              </w:rPr>
              <w:t>接收单位</w:t>
            </w:r>
            <w:r>
              <w:rPr>
                <w:color w:val="auto"/>
              </w:rPr>
              <w:t>名称，危险废物的记录和货单在危险废物回取后应继续保留三年；</w:t>
            </w:r>
          </w:p>
          <w:p w14:paraId="6F6B878B">
            <w:pPr>
              <w:pStyle w:val="181"/>
              <w:ind w:firstLine="480"/>
              <w:rPr>
                <w:color w:val="auto"/>
              </w:rPr>
            </w:pPr>
            <w:r>
              <w:rPr>
                <w:color w:val="auto"/>
              </w:rPr>
              <w:t>E、必须定期对贮存的危险废物包装容器及贮存设施进行检查，发现破损，应及时采取措施清理更换；</w:t>
            </w:r>
          </w:p>
          <w:p w14:paraId="05C6C8B5">
            <w:pPr>
              <w:pStyle w:val="181"/>
              <w:ind w:firstLine="480"/>
              <w:rPr>
                <w:color w:val="auto"/>
              </w:rPr>
            </w:pPr>
            <w:r>
              <w:rPr>
                <w:color w:val="auto"/>
              </w:rPr>
              <w:t>F、危险废物贮存设施必须按照</w:t>
            </w:r>
            <w:r>
              <w:rPr>
                <w:rFonts w:hint="eastAsia"/>
                <w:color w:val="auto"/>
              </w:rPr>
              <w:t>《危险废物识别标志设置技术规范》（HJ1276-2022）、《环境保护图形标志—固体废物贮存（处置）场》（GB15562.2-1995）及修改单</w:t>
            </w:r>
            <w:r>
              <w:rPr>
                <w:color w:val="auto"/>
              </w:rPr>
              <w:t>的规定</w:t>
            </w:r>
            <w:r>
              <w:rPr>
                <w:rFonts w:hint="eastAsia"/>
                <w:color w:val="auto"/>
              </w:rPr>
              <w:t>设置危险废物识别标志。</w:t>
            </w:r>
          </w:p>
          <w:p w14:paraId="6F248D00">
            <w:pPr>
              <w:pStyle w:val="181"/>
              <w:ind w:firstLine="480"/>
              <w:rPr>
                <w:color w:val="auto"/>
              </w:rPr>
            </w:pPr>
            <w:r>
              <w:rPr>
                <w:rFonts w:hint="eastAsia"/>
                <w:color w:val="auto"/>
              </w:rPr>
              <w:t>危废间标识要求见下表：</w:t>
            </w:r>
          </w:p>
          <w:p w14:paraId="18A28F93">
            <w:pPr>
              <w:pStyle w:val="15"/>
              <w:rPr>
                <w:rFonts w:hint="eastAsia" w:eastAsia="宋体"/>
                <w:color w:val="auto"/>
                <w:lang w:val="en-US" w:eastAsia="zh-CN"/>
              </w:rPr>
            </w:pPr>
            <w:r>
              <w:rPr>
                <w:color w:val="auto"/>
              </w:rPr>
              <w:t xml:space="preserve">表 </w:t>
            </w:r>
            <w:r>
              <w:rPr>
                <w:rFonts w:hint="eastAsia"/>
                <w:color w:val="auto"/>
                <w:lang w:val="en-US" w:eastAsia="zh-CN"/>
              </w:rPr>
              <w:t>4</w:t>
            </w:r>
            <w:r>
              <w:rPr>
                <w:rFonts w:hint="eastAsia"/>
                <w:color w:val="auto"/>
                <w:lang w:eastAsia="zh-CN"/>
              </w:rPr>
              <w:t>-</w:t>
            </w:r>
            <w:r>
              <w:rPr>
                <w:color w:val="auto"/>
              </w:rPr>
              <w:fldChar w:fldCharType="begin"/>
            </w:r>
            <w:r>
              <w:rPr>
                <w:color w:val="auto"/>
              </w:rPr>
              <w:instrText xml:space="preserve"> SEQ 表 \* ARABIC \s 1 </w:instrText>
            </w:r>
            <w:r>
              <w:rPr>
                <w:color w:val="auto"/>
              </w:rPr>
              <w:fldChar w:fldCharType="separate"/>
            </w:r>
            <w:r>
              <w:rPr>
                <w:color w:val="auto"/>
              </w:rPr>
              <w:t>1</w:t>
            </w:r>
            <w:r>
              <w:rPr>
                <w:color w:val="auto"/>
              </w:rPr>
              <w:fldChar w:fldCharType="end"/>
            </w:r>
            <w:r>
              <w:rPr>
                <w:rFonts w:hint="eastAsia"/>
                <w:color w:val="auto"/>
                <w:lang w:val="en-US" w:eastAsia="zh-CN"/>
              </w:rPr>
              <w:t xml:space="preserve">0 </w:t>
            </w:r>
            <w:r>
              <w:rPr>
                <w:rFonts w:hint="eastAsia"/>
                <w:color w:val="auto"/>
              </w:rPr>
              <w:t>危险废物贮存设施分区、标志、标签示例</w:t>
            </w:r>
          </w:p>
          <w:tbl>
            <w:tblPr>
              <w:tblStyle w:val="54"/>
              <w:tblpPr w:leftFromText="180" w:rightFromText="180" w:vertAnchor="text" w:tblpXSpec="center" w:tblpY="1"/>
              <w:tblOverlap w:val="neve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449"/>
              <w:gridCol w:w="3924"/>
              <w:gridCol w:w="4145"/>
            </w:tblGrid>
            <w:tr w14:paraId="78145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18" w:type="dxa"/>
                  <w:vAlign w:val="center"/>
                </w:tcPr>
                <w:p w14:paraId="0715B4D9">
                  <w:pPr>
                    <w:pStyle w:val="287"/>
                    <w:framePr w:hSpace="0" w:wrap="auto" w:vAnchor="margin" w:hAnchor="text" w:xAlign="left" w:yAlign="inline"/>
                    <w:rPr>
                      <w:color w:val="auto"/>
                    </w:rPr>
                  </w:pPr>
                  <w:r>
                    <w:rPr>
                      <w:rFonts w:hint="eastAsia"/>
                      <w:color w:val="auto"/>
                    </w:rPr>
                    <w:t>标志位置</w:t>
                  </w:r>
                </w:p>
              </w:tc>
              <w:tc>
                <w:tcPr>
                  <w:tcW w:w="3388" w:type="dxa"/>
                  <w:vAlign w:val="center"/>
                </w:tcPr>
                <w:p w14:paraId="7E8E9C2C">
                  <w:pPr>
                    <w:pStyle w:val="287"/>
                    <w:framePr w:hSpace="0" w:wrap="auto" w:vAnchor="margin" w:hAnchor="text" w:xAlign="left" w:yAlign="inline"/>
                    <w:rPr>
                      <w:color w:val="auto"/>
                    </w:rPr>
                  </w:pPr>
                  <w:r>
                    <w:rPr>
                      <w:rFonts w:hint="eastAsia"/>
                      <w:color w:val="auto"/>
                    </w:rPr>
                    <w:t>提示图形符号样式</w:t>
                  </w:r>
                </w:p>
              </w:tc>
              <w:tc>
                <w:tcPr>
                  <w:tcW w:w="3862" w:type="dxa"/>
                  <w:vAlign w:val="center"/>
                </w:tcPr>
                <w:p w14:paraId="638F1B5B">
                  <w:pPr>
                    <w:pStyle w:val="287"/>
                    <w:framePr w:hSpace="0" w:wrap="auto" w:vAnchor="margin" w:hAnchor="text" w:xAlign="left" w:yAlign="inline"/>
                    <w:rPr>
                      <w:color w:val="auto"/>
                    </w:rPr>
                  </w:pPr>
                  <w:r>
                    <w:rPr>
                      <w:rFonts w:hint="eastAsia"/>
                      <w:color w:val="auto"/>
                    </w:rPr>
                    <w:t>设置要求</w:t>
                  </w:r>
                </w:p>
              </w:tc>
            </w:tr>
            <w:tr w14:paraId="0CCCB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418" w:type="dxa"/>
                  <w:vAlign w:val="center"/>
                </w:tcPr>
                <w:p w14:paraId="6CEBC5A5">
                  <w:pPr>
                    <w:pStyle w:val="287"/>
                    <w:framePr w:hSpace="0" w:wrap="auto" w:vAnchor="margin" w:hAnchor="text" w:xAlign="left" w:yAlign="inline"/>
                    <w:rPr>
                      <w:color w:val="auto"/>
                    </w:rPr>
                  </w:pPr>
                  <w:r>
                    <w:rPr>
                      <w:rFonts w:hint="eastAsia"/>
                      <w:color w:val="auto"/>
                    </w:rPr>
                    <w:t>厂区门口醒目位置</w:t>
                  </w:r>
                </w:p>
              </w:tc>
              <w:tc>
                <w:tcPr>
                  <w:tcW w:w="3388" w:type="dxa"/>
                  <w:vAlign w:val="center"/>
                </w:tcPr>
                <w:p w14:paraId="7ADB8854">
                  <w:pPr>
                    <w:pStyle w:val="287"/>
                    <w:framePr w:hSpace="0" w:wrap="auto" w:vAnchor="margin" w:hAnchor="text" w:xAlign="left" w:yAlign="inline"/>
                    <w:rPr>
                      <w:color w:val="auto"/>
                    </w:rPr>
                  </w:pPr>
                  <w:r>
                    <w:rPr>
                      <w:color w:val="auto"/>
                      <w:sz w:val="20"/>
                      <w:lang w:val="en-US"/>
                    </w:rPr>
                    <w:drawing>
                      <wp:inline distT="0" distB="0" distL="0" distR="0">
                        <wp:extent cx="2103755" cy="1407160"/>
                        <wp:effectExtent l="0" t="0" r="10795" b="2540"/>
                        <wp:docPr id="3"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79.jpeg"/>
                                <pic:cNvPicPr>
                                  <a:picLocks noChangeAspect="1"/>
                                </pic:cNvPicPr>
                              </pic:nvPicPr>
                              <pic:blipFill>
                                <a:blip r:embed="rId36" cstate="print"/>
                                <a:stretch>
                                  <a:fillRect/>
                                </a:stretch>
                              </pic:blipFill>
                              <pic:spPr>
                                <a:xfrm>
                                  <a:off x="0" y="0"/>
                                  <a:ext cx="2103755" cy="1407160"/>
                                </a:xfrm>
                                <a:prstGeom prst="rect">
                                  <a:avLst/>
                                </a:prstGeom>
                              </pic:spPr>
                            </pic:pic>
                          </a:graphicData>
                        </a:graphic>
                      </wp:inline>
                    </w:drawing>
                  </w:r>
                </w:p>
              </w:tc>
              <w:tc>
                <w:tcPr>
                  <w:tcW w:w="3862" w:type="dxa"/>
                  <w:vAlign w:val="center"/>
                </w:tcPr>
                <w:p w14:paraId="2F9A94D1">
                  <w:pPr>
                    <w:pStyle w:val="287"/>
                    <w:framePr w:hSpace="0" w:wrap="auto" w:vAnchor="margin" w:hAnchor="text" w:xAlign="left" w:yAlign="inline"/>
                    <w:jc w:val="both"/>
                    <w:rPr>
                      <w:color w:val="auto"/>
                      <w:lang w:val="en-US"/>
                    </w:rPr>
                  </w:pPr>
                  <w:r>
                    <w:rPr>
                      <w:b/>
                      <w:bCs/>
                      <w:color w:val="auto"/>
                      <w:lang w:val="en-US"/>
                    </w:rPr>
                    <w:t>设置位置</w:t>
                  </w:r>
                  <w:r>
                    <w:rPr>
                      <w:color w:val="auto"/>
                      <w:lang w:val="en-US"/>
                    </w:rPr>
                    <w:t>：采用立式固定方式固定在危险废物产生单位厂区门口醒目位置，公开栏顶端距离地面 200cm 处；</w:t>
                  </w:r>
                  <w:r>
                    <w:rPr>
                      <w:b/>
                      <w:bCs/>
                      <w:color w:val="auto"/>
                      <w:lang w:val="en-US"/>
                    </w:rPr>
                    <w:t>尺寸</w:t>
                  </w:r>
                  <w:r>
                    <w:rPr>
                      <w:color w:val="auto"/>
                      <w:lang w:val="en-US"/>
                    </w:rPr>
                    <w:t>：底板 120cm×80cm14.</w:t>
                  </w:r>
                  <w:r>
                    <w:rPr>
                      <w:b/>
                      <w:bCs/>
                      <w:color w:val="auto"/>
                      <w:lang w:val="en-US"/>
                    </w:rPr>
                    <w:t>颜色与字体</w:t>
                  </w:r>
                  <w:r>
                    <w:rPr>
                      <w:color w:val="auto"/>
                      <w:lang w:val="en-US"/>
                    </w:rPr>
                    <w:t>：公开栏底板背景颜色为蓝色，文字颜色为白色，所有文字字体为黑体14.</w:t>
                  </w:r>
                  <w:r>
                    <w:rPr>
                      <w:b/>
                      <w:bCs/>
                      <w:color w:val="auto"/>
                      <w:lang w:val="en-US"/>
                    </w:rPr>
                    <w:t>材料</w:t>
                  </w:r>
                  <w:r>
                    <w:rPr>
                      <w:color w:val="auto"/>
                      <w:lang w:val="en-US"/>
                    </w:rPr>
                    <w:t>：底板采用 5mm 铝板；</w:t>
                  </w:r>
                </w:p>
                <w:p w14:paraId="34FFC7D7">
                  <w:pPr>
                    <w:pStyle w:val="287"/>
                    <w:framePr w:hSpace="0" w:wrap="auto" w:vAnchor="margin" w:hAnchor="text" w:xAlign="left" w:yAlign="inline"/>
                    <w:jc w:val="both"/>
                    <w:rPr>
                      <w:b/>
                      <w:color w:val="auto"/>
                      <w:lang w:val="en-US"/>
                    </w:rPr>
                  </w:pPr>
                  <w:r>
                    <w:rPr>
                      <w:b/>
                      <w:color w:val="auto"/>
                      <w:lang w:val="en-US"/>
                    </w:rPr>
                    <w:t>公开内容：</w:t>
                  </w:r>
                </w:p>
                <w:p w14:paraId="46491E62">
                  <w:pPr>
                    <w:pStyle w:val="287"/>
                    <w:framePr w:hSpace="0" w:wrap="auto" w:vAnchor="margin" w:hAnchor="text" w:xAlign="left" w:yAlign="inline"/>
                    <w:jc w:val="both"/>
                    <w:rPr>
                      <w:color w:val="auto"/>
                      <w:lang w:val="en-US"/>
                    </w:rPr>
                  </w:pPr>
                  <w:r>
                    <w:rPr>
                      <w:b/>
                      <w:bCs/>
                      <w:color w:val="auto"/>
                      <w:lang w:val="en-US"/>
                    </w:rPr>
                    <w:t>企业基本信息</w:t>
                  </w:r>
                  <w:r>
                    <w:rPr>
                      <w:color w:val="auto"/>
                      <w:lang w:val="en-US"/>
                    </w:rPr>
                    <w:t>：包括企业名称、地址、法人代表及电话、环保负责人及电话。</w:t>
                  </w:r>
                </w:p>
                <w:p w14:paraId="6A2B8D32">
                  <w:pPr>
                    <w:pStyle w:val="287"/>
                    <w:framePr w:hSpace="0" w:wrap="auto" w:vAnchor="margin" w:hAnchor="text" w:xAlign="left" w:yAlign="inline"/>
                    <w:jc w:val="both"/>
                    <w:rPr>
                      <w:color w:val="auto"/>
                      <w:lang w:val="en-US"/>
                    </w:rPr>
                  </w:pPr>
                  <w:r>
                    <w:rPr>
                      <w:b/>
                      <w:bCs/>
                      <w:color w:val="auto"/>
                      <w:lang w:val="en-US"/>
                    </w:rPr>
                    <w:t>危险废物产生规模</w:t>
                  </w:r>
                  <w:r>
                    <w:rPr>
                      <w:color w:val="auto"/>
                      <w:lang w:val="en-US"/>
                    </w:rPr>
                    <w:t>：分为 1 吨 / 年以下、1（含）-10 吨 / 年、10（含）-100 吨 / 年、100（含）-500 吨 / 年、500（含）-1000 吨 / 年、1000 吨 / 年及以上共六个等级。</w:t>
                  </w:r>
                </w:p>
                <w:p w14:paraId="4B6BBE60">
                  <w:pPr>
                    <w:pStyle w:val="287"/>
                    <w:framePr w:hSpace="0" w:wrap="auto" w:vAnchor="margin" w:hAnchor="text" w:xAlign="left" w:yAlign="inline"/>
                    <w:jc w:val="both"/>
                    <w:rPr>
                      <w:color w:val="auto"/>
                      <w:lang w:val="en-US"/>
                    </w:rPr>
                  </w:pPr>
                  <w:r>
                    <w:rPr>
                      <w:b/>
                      <w:bCs/>
                      <w:color w:val="auto"/>
                      <w:lang w:val="en-US"/>
                    </w:rPr>
                    <w:t>贮存设施信息</w:t>
                  </w:r>
                  <w:r>
                    <w:rPr>
                      <w:color w:val="auto"/>
                      <w:lang w:val="en-US"/>
                    </w:rPr>
                    <w:t>：贮存设施数量，需分别列出仓库及储罐的数量，仓库包括企业所有贮存危险废物的全封闭式仓库、围墙或防护栅栏隔离区域，储罐包括企业所有贮存危险废物的储罐、贮槽等；贮存设施建筑面积和容积，仓库面积指企业所有贮存危险废物的全封闭式仓库、围墙或防护栅栏隔离区域等建筑面积之和，以平方米计，储罐容积指企业所有贮存危险废物的储罐、贮槽等容积之和，以升计。</w:t>
                  </w:r>
                </w:p>
                <w:p w14:paraId="00C440AF">
                  <w:pPr>
                    <w:pStyle w:val="287"/>
                    <w:framePr w:hSpace="0" w:wrap="auto" w:vAnchor="margin" w:hAnchor="text" w:xAlign="left" w:yAlign="inline"/>
                    <w:jc w:val="both"/>
                    <w:rPr>
                      <w:color w:val="auto"/>
                      <w:lang w:val="en-US"/>
                    </w:rPr>
                  </w:pPr>
                  <w:r>
                    <w:rPr>
                      <w:b/>
                      <w:bCs/>
                      <w:color w:val="auto"/>
                      <w:lang w:val="en-US"/>
                    </w:rPr>
                    <w:t>危险废物详情</w:t>
                  </w:r>
                  <w:r>
                    <w:rPr>
                      <w:color w:val="auto"/>
                      <w:lang w:val="en-US"/>
                    </w:rPr>
                    <w:t>：列出企业实际产生的所有危险废物名称及对应的八位危废代码。</w:t>
                  </w:r>
                </w:p>
                <w:p w14:paraId="6287F3CA">
                  <w:pPr>
                    <w:pStyle w:val="287"/>
                    <w:framePr w:hSpace="0" w:wrap="auto" w:vAnchor="margin" w:hAnchor="text" w:xAlign="left" w:yAlign="inline"/>
                    <w:jc w:val="both"/>
                    <w:rPr>
                      <w:color w:val="auto"/>
                      <w:lang w:val="en-US"/>
                    </w:rPr>
                  </w:pPr>
                  <w:r>
                    <w:rPr>
                      <w:b/>
                      <w:bCs/>
                      <w:color w:val="auto"/>
                      <w:lang w:val="en-US"/>
                    </w:rPr>
                    <w:t>环评批文</w:t>
                  </w:r>
                  <w:r>
                    <w:rPr>
                      <w:color w:val="auto"/>
                      <w:lang w:val="en-US"/>
                    </w:rPr>
                    <w:t xml:space="preserve">：公开企业实际产生危险废物的环评情况，已取得环评批复的填写批复文号，未取得环评批复的填 </w:t>
                  </w:r>
                  <w:r>
                    <w:rPr>
                      <w:rFonts w:hint="eastAsia"/>
                      <w:color w:val="auto"/>
                      <w:lang w:val="en-US" w:eastAsia="zh-CN"/>
                    </w:rPr>
                    <w:t>“</w:t>
                  </w:r>
                  <w:r>
                    <w:rPr>
                      <w:color w:val="auto"/>
                      <w:lang w:val="en-US"/>
                    </w:rPr>
                    <w:t>无</w:t>
                  </w:r>
                  <w:r>
                    <w:rPr>
                      <w:rFonts w:hint="eastAsia"/>
                      <w:color w:val="auto"/>
                      <w:lang w:val="en-US" w:eastAsia="zh-CN"/>
                    </w:rPr>
                    <w:t>”</w:t>
                  </w:r>
                  <w:r>
                    <w:rPr>
                      <w:color w:val="auto"/>
                      <w:lang w:val="en-US"/>
                    </w:rPr>
                    <w:t>。</w:t>
                  </w:r>
                </w:p>
                <w:p w14:paraId="2D1DAFB6">
                  <w:pPr>
                    <w:pStyle w:val="287"/>
                    <w:framePr w:hSpace="0" w:wrap="auto" w:vAnchor="margin" w:hAnchor="text" w:xAlign="left" w:yAlign="inline"/>
                    <w:jc w:val="both"/>
                    <w:rPr>
                      <w:color w:val="auto"/>
                      <w:lang w:val="en-US"/>
                    </w:rPr>
                  </w:pPr>
                  <w:r>
                    <w:rPr>
                      <w:b/>
                      <w:bCs/>
                      <w:color w:val="auto"/>
                      <w:lang w:val="en-US"/>
                    </w:rPr>
                    <w:t>产生来源</w:t>
                  </w:r>
                  <w:r>
                    <w:rPr>
                      <w:color w:val="auto"/>
                      <w:lang w:val="en-US"/>
                    </w:rPr>
                    <w:t>：指危险废物产生环节或产生工序。</w:t>
                  </w:r>
                </w:p>
                <w:p w14:paraId="24F0E504">
                  <w:pPr>
                    <w:pStyle w:val="287"/>
                    <w:framePr w:hSpace="0" w:wrap="auto" w:vAnchor="margin" w:hAnchor="text" w:xAlign="left" w:yAlign="inline"/>
                    <w:jc w:val="both"/>
                    <w:rPr>
                      <w:color w:val="auto"/>
                      <w:lang w:val="en-US"/>
                    </w:rPr>
                  </w:pPr>
                  <w:r>
                    <w:rPr>
                      <w:b/>
                      <w:bCs/>
                      <w:color w:val="auto"/>
                      <w:lang w:val="en-US"/>
                    </w:rPr>
                    <w:t>环境污染防治措施</w:t>
                  </w:r>
                  <w:r>
                    <w:rPr>
                      <w:color w:val="auto"/>
                      <w:lang w:val="en-US"/>
                    </w:rPr>
                    <w:t>：根据全封闭式仓库、围墙或防护栅栏隔离区域、储罐、贮槽等设施贮存的危险废物种类和危险特性，确定需采取的污染防治措施，包括防风、防雨、防晒、防雷、防扬散、防流失、防渗漏、泄露液体收集、废气收集导出及净化处理等。</w:t>
                  </w:r>
                </w:p>
                <w:p w14:paraId="2009877C">
                  <w:pPr>
                    <w:pStyle w:val="287"/>
                    <w:framePr w:hSpace="0" w:wrap="auto" w:vAnchor="margin" w:hAnchor="text" w:xAlign="left" w:yAlign="inline"/>
                    <w:jc w:val="both"/>
                    <w:rPr>
                      <w:color w:val="auto"/>
                      <w:lang w:val="en-US"/>
                    </w:rPr>
                  </w:pPr>
                  <w:r>
                    <w:rPr>
                      <w:b/>
                      <w:bCs/>
                      <w:color w:val="auto"/>
                      <w:lang w:val="en-US"/>
                    </w:rPr>
                    <w:t>厂区平面示意图</w:t>
                  </w:r>
                  <w:r>
                    <w:rPr>
                      <w:color w:val="auto"/>
                      <w:lang w:val="en-US"/>
                    </w:rPr>
                    <w:t>：绘制厂区建筑平面示意图，突出显示厂区每一处危险废物贮存设施在厂区的相对位置。</w:t>
                  </w:r>
                </w:p>
                <w:p w14:paraId="66E56B8D">
                  <w:pPr>
                    <w:pStyle w:val="287"/>
                    <w:framePr w:hSpace="0" w:wrap="auto" w:vAnchor="margin" w:hAnchor="text" w:xAlign="left" w:yAlign="inline"/>
                    <w:jc w:val="both"/>
                    <w:rPr>
                      <w:color w:val="auto"/>
                      <w:lang w:val="en-US"/>
                    </w:rPr>
                  </w:pPr>
                  <w:r>
                    <w:rPr>
                      <w:b/>
                      <w:bCs/>
                      <w:color w:val="auto"/>
                      <w:lang w:val="en-US"/>
                    </w:rPr>
                    <w:t>监督举报途径</w:t>
                  </w:r>
                  <w:r>
                    <w:rPr>
                      <w:color w:val="auto"/>
                      <w:lang w:val="en-US"/>
                    </w:rPr>
                    <w:t>：明确监督举报的方式及联系电话等，以便公众对企业危险废物管理情况进行监督。</w:t>
                  </w:r>
                </w:p>
                <w:p w14:paraId="013AF544">
                  <w:pPr>
                    <w:pStyle w:val="287"/>
                    <w:framePr w:hSpace="0" w:wrap="auto" w:vAnchor="margin" w:hAnchor="text" w:xAlign="left" w:yAlign="inline"/>
                    <w:jc w:val="both"/>
                    <w:rPr>
                      <w:color w:val="auto"/>
                      <w:lang w:val="en-US"/>
                    </w:rPr>
                  </w:pPr>
                  <w:r>
                    <w:rPr>
                      <w:b/>
                      <w:bCs/>
                      <w:color w:val="auto"/>
                      <w:lang w:val="en-US"/>
                    </w:rPr>
                    <w:t>监制单位</w:t>
                  </w:r>
                  <w:r>
                    <w:rPr>
                      <w:color w:val="auto"/>
                      <w:lang w:val="en-US"/>
                    </w:rPr>
                    <w:t>：注明信息公开牌的监制单位。</w:t>
                  </w:r>
                </w:p>
              </w:tc>
            </w:tr>
            <w:tr w14:paraId="6D2A3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27" w:hRule="atLeast"/>
                <w:jc w:val="center"/>
              </w:trPr>
              <w:tc>
                <w:tcPr>
                  <w:tcW w:w="418" w:type="dxa"/>
                  <w:vAlign w:val="center"/>
                </w:tcPr>
                <w:p w14:paraId="0D6C4357">
                  <w:pPr>
                    <w:pStyle w:val="287"/>
                    <w:framePr w:hSpace="0" w:wrap="auto" w:vAnchor="margin" w:hAnchor="text" w:xAlign="left" w:yAlign="inline"/>
                    <w:rPr>
                      <w:color w:val="auto"/>
                    </w:rPr>
                  </w:pPr>
                  <w:r>
                    <w:rPr>
                      <w:rFonts w:hint="eastAsia"/>
                      <w:color w:val="auto"/>
                    </w:rPr>
                    <w:t>危险废物贮存设施标志</w:t>
                  </w:r>
                </w:p>
              </w:tc>
              <w:tc>
                <w:tcPr>
                  <w:tcW w:w="3388" w:type="dxa"/>
                  <w:vAlign w:val="center"/>
                </w:tcPr>
                <w:p w14:paraId="73F6DDB0">
                  <w:pPr>
                    <w:pStyle w:val="287"/>
                    <w:framePr w:hSpace="0" w:wrap="auto" w:vAnchor="margin" w:hAnchor="text" w:xAlign="left" w:yAlign="inline"/>
                    <w:rPr>
                      <w:color w:val="auto"/>
                    </w:rPr>
                  </w:pPr>
                  <w:r>
                    <w:rPr>
                      <w:color w:val="auto"/>
                      <w:lang w:val="en-US"/>
                    </w:rPr>
                    <w:drawing>
                      <wp:inline distT="0" distB="0" distL="0" distR="0">
                        <wp:extent cx="2285365" cy="2974975"/>
                        <wp:effectExtent l="0" t="0" r="635" b="158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7"/>
                                <a:stretch>
                                  <a:fillRect/>
                                </a:stretch>
                              </pic:blipFill>
                              <pic:spPr>
                                <a:xfrm>
                                  <a:off x="0" y="0"/>
                                  <a:ext cx="2285365" cy="2974975"/>
                                </a:xfrm>
                                <a:prstGeom prst="rect">
                                  <a:avLst/>
                                </a:prstGeom>
                              </pic:spPr>
                            </pic:pic>
                          </a:graphicData>
                        </a:graphic>
                      </wp:inline>
                    </w:drawing>
                  </w:r>
                </w:p>
                <w:p w14:paraId="7BD0AC35">
                  <w:pPr>
                    <w:pStyle w:val="287"/>
                    <w:framePr w:hSpace="0" w:wrap="auto" w:vAnchor="margin" w:hAnchor="text" w:xAlign="left" w:yAlign="inline"/>
                    <w:rPr>
                      <w:color w:val="auto"/>
                    </w:rPr>
                  </w:pPr>
                </w:p>
              </w:tc>
              <w:tc>
                <w:tcPr>
                  <w:tcW w:w="3862" w:type="dxa"/>
                  <w:vAlign w:val="center"/>
                </w:tcPr>
                <w:p w14:paraId="76AE7A17">
                  <w:pPr>
                    <w:pStyle w:val="287"/>
                    <w:framePr w:hSpace="0" w:wrap="auto" w:vAnchor="margin" w:hAnchor="text" w:xAlign="left" w:yAlign="inline"/>
                    <w:jc w:val="both"/>
                    <w:rPr>
                      <w:color w:val="auto"/>
                    </w:rPr>
                  </w:pPr>
                  <w:r>
                    <w:rPr>
                      <w:color w:val="auto"/>
                    </w:rPr>
                    <w:t>1</w:t>
                  </w:r>
                  <w:r>
                    <w:rPr>
                      <w:rFonts w:hint="eastAsia"/>
                      <w:color w:val="auto"/>
                    </w:rPr>
                    <w:t>、危险废物贮存设施标志宜采用坚固耐用的材料（如</w:t>
                  </w:r>
                  <w:r>
                    <w:rPr>
                      <w:color w:val="auto"/>
                    </w:rPr>
                    <w:t>1.5mm</w:t>
                  </w:r>
                  <w:r>
                    <w:rPr>
                      <w:rFonts w:hint="eastAsia"/>
                      <w:color w:val="auto"/>
                    </w:rPr>
                    <w:t>～</w:t>
                  </w:r>
                  <w:r>
                    <w:rPr>
                      <w:color w:val="auto"/>
                    </w:rPr>
                    <w:t xml:space="preserve">2mm </w:t>
                  </w:r>
                  <w:r>
                    <w:rPr>
                      <w:rFonts w:hint="eastAsia"/>
                      <w:color w:val="auto"/>
                    </w:rPr>
                    <w:t>冷轧钢板），并做搪瓷处理或贴膜处理。一般不宜使用遇水变形、变质或易燃的材料。柱式标志牌的立柱可采用</w:t>
                  </w:r>
                  <w:r>
                    <w:rPr>
                      <w:color w:val="auto"/>
                    </w:rPr>
                    <w:t>38</w:t>
                  </w:r>
                  <w:r>
                    <w:rPr>
                      <w:rFonts w:hint="eastAsia"/>
                      <w:color w:val="auto"/>
                    </w:rPr>
                    <w:t>×</w:t>
                  </w:r>
                  <w:r>
                    <w:rPr>
                      <w:color w:val="auto"/>
                    </w:rPr>
                    <w:t xml:space="preserve">4 </w:t>
                  </w:r>
                  <w:r>
                    <w:rPr>
                      <w:rFonts w:hint="eastAsia"/>
                      <w:color w:val="auto"/>
                    </w:rPr>
                    <w:t>无缝钢管或其他坚固耐用的材料，并经过防腐处理。</w:t>
                  </w:r>
                </w:p>
                <w:p w14:paraId="1E1837D7">
                  <w:pPr>
                    <w:pStyle w:val="287"/>
                    <w:framePr w:hSpace="0" w:wrap="auto" w:vAnchor="margin" w:hAnchor="text" w:xAlign="left" w:yAlign="inline"/>
                    <w:jc w:val="both"/>
                    <w:rPr>
                      <w:color w:val="auto"/>
                    </w:rPr>
                  </w:pPr>
                  <w:r>
                    <w:rPr>
                      <w:color w:val="auto"/>
                    </w:rPr>
                    <w:t>2</w:t>
                  </w:r>
                  <w:r>
                    <w:rPr>
                      <w:rFonts w:hint="eastAsia"/>
                      <w:color w:val="auto"/>
                    </w:rPr>
                    <w:t>、危险废物贮存设施标志的图形和文字应清晰、完整，保证在足够的观察距离条件下也不影响阅读。三角形警告性图形与其他信息间宜加黑色分界线区分，分界线的宽度宜不小于</w:t>
                  </w:r>
                  <w:r>
                    <w:rPr>
                      <w:color w:val="auto"/>
                    </w:rPr>
                    <w:t>3mm</w:t>
                  </w:r>
                  <w:r>
                    <w:rPr>
                      <w:rFonts w:hint="eastAsia"/>
                      <w:color w:val="auto"/>
                    </w:rPr>
                    <w:t>。</w:t>
                  </w:r>
                </w:p>
                <w:p w14:paraId="2C7337FA">
                  <w:pPr>
                    <w:pStyle w:val="287"/>
                    <w:framePr w:hSpace="0" w:wrap="auto" w:vAnchor="margin" w:hAnchor="text" w:xAlign="left" w:yAlign="inline"/>
                    <w:jc w:val="both"/>
                    <w:rPr>
                      <w:color w:val="auto"/>
                    </w:rPr>
                  </w:pPr>
                  <w:r>
                    <w:rPr>
                      <w:color w:val="auto"/>
                    </w:rPr>
                    <w:t>3</w:t>
                  </w:r>
                  <w:r>
                    <w:rPr>
                      <w:rFonts w:hint="eastAsia"/>
                      <w:color w:val="auto"/>
                    </w:rPr>
                    <w:t>、危险废物贮存、利用、处置设施的标志牌和立柱无明显变形。标志牌表面无气泡，膜或搪瓷无脱落。图案清晰，色泽一致，没有明显缺损。</w:t>
                  </w:r>
                </w:p>
                <w:p w14:paraId="36A2F55A">
                  <w:pPr>
                    <w:pStyle w:val="287"/>
                    <w:framePr w:hSpace="0" w:wrap="auto" w:vAnchor="margin" w:hAnchor="text" w:xAlign="left" w:yAlign="inline"/>
                    <w:jc w:val="both"/>
                    <w:rPr>
                      <w:color w:val="auto"/>
                    </w:rPr>
                  </w:pPr>
                  <w:r>
                    <w:rPr>
                      <w:color w:val="auto"/>
                    </w:rPr>
                    <w:t>4</w:t>
                  </w:r>
                  <w:r>
                    <w:rPr>
                      <w:rFonts w:hint="eastAsia"/>
                      <w:color w:val="auto"/>
                    </w:rPr>
                    <w:t>、危险废物贮存设施标志可采用横版或竖版的形式，标志制作应符合《危险废物识别标志设置技术规范》要求的样式。</w:t>
                  </w:r>
                </w:p>
              </w:tc>
            </w:tr>
            <w:tr w14:paraId="1EAA2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74" w:hRule="atLeast"/>
                <w:jc w:val="center"/>
              </w:trPr>
              <w:tc>
                <w:tcPr>
                  <w:tcW w:w="418" w:type="dxa"/>
                  <w:vAlign w:val="center"/>
                </w:tcPr>
                <w:p w14:paraId="22E86923">
                  <w:pPr>
                    <w:pStyle w:val="287"/>
                    <w:framePr w:hSpace="0" w:wrap="auto" w:vAnchor="margin" w:hAnchor="text" w:xAlign="left" w:yAlign="inline"/>
                    <w:rPr>
                      <w:color w:val="auto"/>
                    </w:rPr>
                  </w:pPr>
                  <w:r>
                    <w:rPr>
                      <w:rFonts w:hint="eastAsia"/>
                      <w:color w:val="auto"/>
                    </w:rPr>
                    <w:t>危险废物分区标志</w:t>
                  </w:r>
                </w:p>
              </w:tc>
              <w:tc>
                <w:tcPr>
                  <w:tcW w:w="3388" w:type="dxa"/>
                  <w:vAlign w:val="center"/>
                </w:tcPr>
                <w:p w14:paraId="34FA00D5">
                  <w:pPr>
                    <w:pStyle w:val="287"/>
                    <w:framePr w:hSpace="0" w:wrap="auto" w:vAnchor="margin" w:hAnchor="text" w:xAlign="left" w:yAlign="inline"/>
                    <w:rPr>
                      <w:color w:val="auto"/>
                    </w:rPr>
                  </w:pPr>
                  <w:r>
                    <w:rPr>
                      <w:color w:val="auto"/>
                      <w:sz w:val="20"/>
                      <w:lang w:val="en-US"/>
                    </w:rPr>
                    <w:drawing>
                      <wp:inline distT="0" distB="0" distL="0" distR="0">
                        <wp:extent cx="2221230" cy="2221230"/>
                        <wp:effectExtent l="0" t="0" r="7620" b="7620"/>
                        <wp:docPr id="27"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82.jpeg"/>
                                <pic:cNvPicPr>
                                  <a:picLocks noChangeAspect="1"/>
                                </pic:cNvPicPr>
                              </pic:nvPicPr>
                              <pic:blipFill>
                                <a:blip r:embed="rId38" cstate="print"/>
                                <a:stretch>
                                  <a:fillRect/>
                                </a:stretch>
                              </pic:blipFill>
                              <pic:spPr>
                                <a:xfrm>
                                  <a:off x="0" y="0"/>
                                  <a:ext cx="2221770" cy="2221770"/>
                                </a:xfrm>
                                <a:prstGeom prst="rect">
                                  <a:avLst/>
                                </a:prstGeom>
                              </pic:spPr>
                            </pic:pic>
                          </a:graphicData>
                        </a:graphic>
                      </wp:inline>
                    </w:drawing>
                  </w:r>
                </w:p>
              </w:tc>
              <w:tc>
                <w:tcPr>
                  <w:tcW w:w="3862" w:type="dxa"/>
                  <w:vAlign w:val="center"/>
                </w:tcPr>
                <w:p w14:paraId="228E95EC">
                  <w:pPr>
                    <w:pStyle w:val="287"/>
                    <w:framePr w:hSpace="0" w:wrap="auto" w:vAnchor="margin" w:hAnchor="text" w:xAlign="left" w:yAlign="inline"/>
                    <w:jc w:val="both"/>
                    <w:rPr>
                      <w:color w:val="auto"/>
                    </w:rPr>
                  </w:pPr>
                  <w:r>
                    <w:rPr>
                      <w:color w:val="auto"/>
                    </w:rPr>
                    <w:t>1</w:t>
                  </w:r>
                  <w:r>
                    <w:rPr>
                      <w:rFonts w:hint="eastAsia"/>
                      <w:color w:val="auto"/>
                    </w:rPr>
                    <w:t>、背景色应采用黄色，</w:t>
                  </w:r>
                  <w:r>
                    <w:rPr>
                      <w:color w:val="auto"/>
                    </w:rPr>
                    <w:t xml:space="preserve">RGB </w:t>
                  </w:r>
                  <w:r>
                    <w:rPr>
                      <w:rFonts w:hint="eastAsia"/>
                      <w:color w:val="auto"/>
                    </w:rPr>
                    <w:t>颜色值为（</w:t>
                  </w:r>
                  <w:r>
                    <w:rPr>
                      <w:color w:val="auto"/>
                    </w:rPr>
                    <w:t>255,255, 0</w:t>
                  </w:r>
                  <w:r>
                    <w:rPr>
                      <w:rFonts w:hint="eastAsia"/>
                      <w:color w:val="auto"/>
                    </w:rPr>
                    <w:t>）。废物种类信息应采用醒目的橘黄色，</w:t>
                  </w:r>
                  <w:r>
                    <w:rPr>
                      <w:color w:val="auto"/>
                    </w:rPr>
                    <w:t xml:space="preserve">RGB </w:t>
                  </w:r>
                  <w:r>
                    <w:rPr>
                      <w:rFonts w:hint="eastAsia"/>
                      <w:color w:val="auto"/>
                    </w:rPr>
                    <w:t>颜色值为（</w:t>
                  </w:r>
                  <w:r>
                    <w:rPr>
                      <w:color w:val="auto"/>
                    </w:rPr>
                    <w:t>255,150,0</w:t>
                  </w:r>
                  <w:r>
                    <w:rPr>
                      <w:rFonts w:hint="eastAsia"/>
                      <w:color w:val="auto"/>
                    </w:rPr>
                    <w:t>）。字体颜色为黑色，</w:t>
                  </w:r>
                  <w:r>
                    <w:rPr>
                      <w:color w:val="auto"/>
                    </w:rPr>
                    <w:t xml:space="preserve">RGB </w:t>
                  </w:r>
                  <w:r>
                    <w:rPr>
                      <w:rFonts w:hint="eastAsia"/>
                      <w:color w:val="auto"/>
                    </w:rPr>
                    <w:t>颜色值为（</w:t>
                  </w:r>
                  <w:r>
                    <w:rPr>
                      <w:color w:val="auto"/>
                    </w:rPr>
                    <w:t>0,0,0</w:t>
                  </w:r>
                  <w:r>
                    <w:rPr>
                      <w:rFonts w:hint="eastAsia"/>
                      <w:color w:val="auto"/>
                    </w:rPr>
                    <w:t>）。</w:t>
                  </w:r>
                </w:p>
                <w:p w14:paraId="0F8EAEC5">
                  <w:pPr>
                    <w:pStyle w:val="287"/>
                    <w:framePr w:hSpace="0" w:wrap="auto" w:vAnchor="margin" w:hAnchor="text" w:xAlign="left" w:yAlign="inline"/>
                    <w:jc w:val="both"/>
                    <w:rPr>
                      <w:color w:val="auto"/>
                    </w:rPr>
                  </w:pPr>
                  <w:r>
                    <w:rPr>
                      <w:color w:val="auto"/>
                    </w:rPr>
                    <w:t>2</w:t>
                  </w:r>
                  <w:r>
                    <w:rPr>
                      <w:rFonts w:hint="eastAsia"/>
                      <w:color w:val="auto"/>
                    </w:rPr>
                    <w:t>、的字体宜采用黑体字，其中</w:t>
                  </w:r>
                  <w:r>
                    <w:rPr>
                      <w:rFonts w:hint="eastAsia"/>
                      <w:color w:val="auto"/>
                      <w:lang w:eastAsia="zh-CN"/>
                    </w:rPr>
                    <w:t>“</w:t>
                  </w:r>
                  <w:r>
                    <w:rPr>
                      <w:rFonts w:hint="eastAsia"/>
                      <w:color w:val="auto"/>
                    </w:rPr>
                    <w:t>危险废物贮存分区标志</w:t>
                  </w:r>
                  <w:r>
                    <w:rPr>
                      <w:rFonts w:hint="eastAsia"/>
                      <w:color w:val="auto"/>
                      <w:lang w:eastAsia="zh-CN"/>
                    </w:rPr>
                    <w:t>”</w:t>
                  </w:r>
                  <w:r>
                    <w:rPr>
                      <w:rFonts w:hint="eastAsia"/>
                      <w:color w:val="auto"/>
                    </w:rPr>
                    <w:t>字样应加粗放大并居中显示。</w:t>
                  </w:r>
                </w:p>
                <w:p w14:paraId="7419969D">
                  <w:pPr>
                    <w:pStyle w:val="287"/>
                    <w:framePr w:hSpace="0" w:wrap="auto" w:vAnchor="margin" w:hAnchor="text" w:xAlign="left" w:yAlign="inline"/>
                    <w:jc w:val="both"/>
                    <w:rPr>
                      <w:color w:val="auto"/>
                    </w:rPr>
                  </w:pPr>
                  <w:r>
                    <w:rPr>
                      <w:color w:val="auto"/>
                    </w:rPr>
                    <w:t>3</w:t>
                  </w:r>
                  <w:r>
                    <w:rPr>
                      <w:rFonts w:hint="eastAsia"/>
                      <w:color w:val="auto"/>
                    </w:rPr>
                    <w:t>、危险废物贮存分区标志的尺寸宜根据对应的观察距离按照《危险废物识别标志设置技术规范》表</w:t>
                  </w:r>
                  <w:r>
                    <w:rPr>
                      <w:color w:val="auto"/>
                    </w:rPr>
                    <w:t xml:space="preserve">2 </w:t>
                  </w:r>
                  <w:r>
                    <w:rPr>
                      <w:rFonts w:hint="eastAsia"/>
                      <w:color w:val="auto"/>
                    </w:rPr>
                    <w:t>中的要求设置。</w:t>
                  </w:r>
                </w:p>
                <w:p w14:paraId="62A2056C">
                  <w:pPr>
                    <w:pStyle w:val="287"/>
                    <w:framePr w:hSpace="0" w:wrap="auto" w:vAnchor="margin" w:hAnchor="text" w:xAlign="left" w:yAlign="inline"/>
                    <w:jc w:val="both"/>
                    <w:rPr>
                      <w:color w:val="auto"/>
                    </w:rPr>
                  </w:pPr>
                  <w:r>
                    <w:rPr>
                      <w:color w:val="auto"/>
                    </w:rPr>
                    <w:t>4</w:t>
                  </w:r>
                  <w:r>
                    <w:rPr>
                      <w:rFonts w:hint="eastAsia"/>
                      <w:color w:val="auto"/>
                    </w:rPr>
                    <w:t>、危险废物贮存分区标志的衬底宜采用坚固耐用的材料，并具有耐用性和防水性。废物贮存种类信息等可采用印刷纸张、不粘胶材质或塑料卡片等，以便固定在衬底上。</w:t>
                  </w:r>
                </w:p>
                <w:p w14:paraId="49C2F4E9">
                  <w:pPr>
                    <w:pStyle w:val="287"/>
                    <w:framePr w:hSpace="0" w:wrap="auto" w:vAnchor="margin" w:hAnchor="text" w:xAlign="left" w:yAlign="inline"/>
                    <w:jc w:val="both"/>
                    <w:rPr>
                      <w:color w:val="auto"/>
                    </w:rPr>
                  </w:pPr>
                  <w:r>
                    <w:rPr>
                      <w:color w:val="auto"/>
                    </w:rPr>
                    <w:t>5</w:t>
                  </w:r>
                  <w:r>
                    <w:rPr>
                      <w:rFonts w:hint="eastAsia"/>
                      <w:color w:val="auto"/>
                    </w:rPr>
                    <w:t>、危险废物贮存分区标志的图形和文字应清晰、完整，保证在足够的观察距离条件下不影响阅读。</w:t>
                  </w:r>
                  <w:r>
                    <w:rPr>
                      <w:rFonts w:hint="eastAsia"/>
                      <w:color w:val="auto"/>
                      <w:lang w:eastAsia="zh-CN"/>
                    </w:rPr>
                    <w:t>“</w:t>
                  </w:r>
                  <w:r>
                    <w:rPr>
                      <w:rFonts w:hint="eastAsia"/>
                      <w:color w:val="auto"/>
                    </w:rPr>
                    <w:t>危险废物贮存分区标志</w:t>
                  </w:r>
                  <w:r>
                    <w:rPr>
                      <w:rFonts w:hint="eastAsia"/>
                      <w:color w:val="auto"/>
                      <w:lang w:eastAsia="zh-CN"/>
                    </w:rPr>
                    <w:t>”</w:t>
                  </w:r>
                  <w:r>
                    <w:rPr>
                      <w:rFonts w:hint="eastAsia"/>
                      <w:color w:val="auto"/>
                    </w:rPr>
                    <w:t>字样与其他信息宜加黑色分界线区分，分界线的宽度不小于</w:t>
                  </w:r>
                  <w:r>
                    <w:rPr>
                      <w:color w:val="auto"/>
                    </w:rPr>
                    <w:t>2 mm</w:t>
                  </w:r>
                  <w:r>
                    <w:rPr>
                      <w:rFonts w:hint="eastAsia"/>
                      <w:color w:val="auto"/>
                    </w:rPr>
                    <w:t>。</w:t>
                  </w:r>
                </w:p>
              </w:tc>
            </w:tr>
            <w:tr w14:paraId="01B53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80" w:hRule="atLeast"/>
                <w:jc w:val="center"/>
              </w:trPr>
              <w:tc>
                <w:tcPr>
                  <w:tcW w:w="418" w:type="dxa"/>
                  <w:vAlign w:val="center"/>
                </w:tcPr>
                <w:p w14:paraId="18CDE7E8">
                  <w:pPr>
                    <w:pStyle w:val="287"/>
                    <w:framePr w:hSpace="0" w:wrap="auto" w:vAnchor="margin" w:hAnchor="text" w:xAlign="left" w:yAlign="inline"/>
                    <w:rPr>
                      <w:color w:val="auto"/>
                    </w:rPr>
                  </w:pPr>
                  <w:r>
                    <w:rPr>
                      <w:rFonts w:hint="eastAsia"/>
                      <w:color w:val="auto"/>
                    </w:rPr>
                    <w:t>危险废物标签</w:t>
                  </w:r>
                </w:p>
              </w:tc>
              <w:tc>
                <w:tcPr>
                  <w:tcW w:w="3388" w:type="dxa"/>
                  <w:vAlign w:val="center"/>
                </w:tcPr>
                <w:p w14:paraId="66084A17">
                  <w:pPr>
                    <w:pStyle w:val="287"/>
                    <w:framePr w:hSpace="0" w:wrap="auto" w:vAnchor="margin" w:hAnchor="text" w:xAlign="left" w:yAlign="inline"/>
                    <w:rPr>
                      <w:color w:val="auto"/>
                    </w:rPr>
                  </w:pPr>
                  <w:r>
                    <w:rPr>
                      <w:color w:val="auto"/>
                      <w:sz w:val="20"/>
                      <w:lang w:val="en-US"/>
                    </w:rPr>
                    <w:drawing>
                      <wp:inline distT="0" distB="0" distL="0" distR="0">
                        <wp:extent cx="2200275" cy="2200275"/>
                        <wp:effectExtent l="0" t="0" r="9525" b="9525"/>
                        <wp:docPr id="28"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83.jpeg"/>
                                <pic:cNvPicPr>
                                  <a:picLocks noChangeAspect="1"/>
                                </pic:cNvPicPr>
                              </pic:nvPicPr>
                              <pic:blipFill>
                                <a:blip r:embed="rId39" cstate="print"/>
                                <a:stretch>
                                  <a:fillRect/>
                                </a:stretch>
                              </pic:blipFill>
                              <pic:spPr>
                                <a:xfrm>
                                  <a:off x="0" y="0"/>
                                  <a:ext cx="2200460" cy="2200460"/>
                                </a:xfrm>
                                <a:prstGeom prst="rect">
                                  <a:avLst/>
                                </a:prstGeom>
                              </pic:spPr>
                            </pic:pic>
                          </a:graphicData>
                        </a:graphic>
                      </wp:inline>
                    </w:drawing>
                  </w:r>
                </w:p>
              </w:tc>
              <w:tc>
                <w:tcPr>
                  <w:tcW w:w="3862" w:type="dxa"/>
                  <w:vAlign w:val="center"/>
                </w:tcPr>
                <w:p w14:paraId="475F0288">
                  <w:pPr>
                    <w:pStyle w:val="287"/>
                    <w:framePr w:hSpace="0" w:wrap="auto" w:vAnchor="margin" w:hAnchor="text" w:xAlign="left" w:yAlign="inline"/>
                    <w:jc w:val="both"/>
                    <w:rPr>
                      <w:color w:val="auto"/>
                    </w:rPr>
                  </w:pPr>
                  <w:r>
                    <w:rPr>
                      <w:color w:val="auto"/>
                    </w:rPr>
                    <w:t>1</w:t>
                  </w:r>
                  <w:r>
                    <w:rPr>
                      <w:rFonts w:hint="eastAsia"/>
                      <w:color w:val="auto"/>
                    </w:rPr>
                    <w:t>、危险废物标签的背景色应采用醒目的橘黄色，</w:t>
                  </w:r>
                  <w:r>
                    <w:rPr>
                      <w:color w:val="auto"/>
                    </w:rPr>
                    <w:t xml:space="preserve">RGB </w:t>
                  </w:r>
                  <w:r>
                    <w:rPr>
                      <w:rFonts w:hint="eastAsia"/>
                      <w:color w:val="auto"/>
                    </w:rPr>
                    <w:t>颜色值为（</w:t>
                  </w:r>
                  <w:r>
                    <w:rPr>
                      <w:color w:val="auto"/>
                    </w:rPr>
                    <w:t>255,150,0</w:t>
                  </w:r>
                  <w:r>
                    <w:rPr>
                      <w:rFonts w:hint="eastAsia"/>
                      <w:color w:val="auto"/>
                    </w:rPr>
                    <w:t>）。标签边框和字体颜色为黑色，</w:t>
                  </w:r>
                  <w:r>
                    <w:rPr>
                      <w:color w:val="auto"/>
                    </w:rPr>
                    <w:t>RGB</w:t>
                  </w:r>
                  <w:r>
                    <w:rPr>
                      <w:rFonts w:hint="eastAsia"/>
                      <w:color w:val="auto"/>
                    </w:rPr>
                    <w:t>颜色值为（</w:t>
                  </w:r>
                  <w:r>
                    <w:rPr>
                      <w:color w:val="auto"/>
                    </w:rPr>
                    <w:t>0,0,0</w:t>
                  </w:r>
                  <w:r>
                    <w:rPr>
                      <w:rFonts w:hint="eastAsia"/>
                      <w:color w:val="auto"/>
                    </w:rPr>
                    <w:t>）。</w:t>
                  </w:r>
                </w:p>
                <w:p w14:paraId="790260BD">
                  <w:pPr>
                    <w:pStyle w:val="287"/>
                    <w:framePr w:hSpace="0" w:wrap="auto" w:vAnchor="margin" w:hAnchor="text" w:xAlign="left" w:yAlign="inline"/>
                    <w:jc w:val="both"/>
                    <w:rPr>
                      <w:color w:val="auto"/>
                    </w:rPr>
                  </w:pPr>
                  <w:r>
                    <w:rPr>
                      <w:color w:val="auto"/>
                    </w:rPr>
                    <w:t>2</w:t>
                  </w:r>
                  <w:r>
                    <w:rPr>
                      <w:rFonts w:hint="eastAsia"/>
                      <w:color w:val="auto"/>
                    </w:rPr>
                    <w:t>、标签字体宜采用黑体字，其中</w:t>
                  </w:r>
                  <w:r>
                    <w:rPr>
                      <w:rFonts w:hint="eastAsia"/>
                      <w:color w:val="auto"/>
                      <w:lang w:eastAsia="zh-CN"/>
                    </w:rPr>
                    <w:t>“</w:t>
                  </w:r>
                  <w:r>
                    <w:rPr>
                      <w:rFonts w:hint="eastAsia"/>
                      <w:color w:val="auto"/>
                    </w:rPr>
                    <w:t>危险废物</w:t>
                  </w:r>
                  <w:r>
                    <w:rPr>
                      <w:rFonts w:hint="eastAsia"/>
                      <w:color w:val="auto"/>
                      <w:lang w:eastAsia="zh-CN"/>
                    </w:rPr>
                    <w:t>”</w:t>
                  </w:r>
                  <w:r>
                    <w:rPr>
                      <w:rFonts w:hint="eastAsia"/>
                      <w:color w:val="auto"/>
                    </w:rPr>
                    <w:t>字样应加粗放大。</w:t>
                  </w:r>
                </w:p>
                <w:p w14:paraId="55355D2E">
                  <w:pPr>
                    <w:pStyle w:val="287"/>
                    <w:framePr w:hSpace="0" w:wrap="auto" w:vAnchor="margin" w:hAnchor="text" w:xAlign="left" w:yAlign="inline"/>
                    <w:jc w:val="both"/>
                    <w:rPr>
                      <w:color w:val="auto"/>
                    </w:rPr>
                  </w:pPr>
                  <w:r>
                    <w:rPr>
                      <w:color w:val="auto"/>
                    </w:rPr>
                    <w:t>3</w:t>
                  </w:r>
                  <w:r>
                    <w:rPr>
                      <w:rFonts w:hint="eastAsia"/>
                      <w:color w:val="auto"/>
                    </w:rPr>
                    <w:t>、危险废物标签的尺寸宜根据容器或包装物的容积按照《危险废物识别标志设置技术规范》表</w:t>
                  </w:r>
                  <w:r>
                    <w:rPr>
                      <w:color w:val="auto"/>
                    </w:rPr>
                    <w:t xml:space="preserve">1 </w:t>
                  </w:r>
                  <w:r>
                    <w:rPr>
                      <w:rFonts w:hint="eastAsia"/>
                      <w:color w:val="auto"/>
                    </w:rPr>
                    <w:t>中的要求设置。</w:t>
                  </w:r>
                </w:p>
                <w:p w14:paraId="63A773B1">
                  <w:pPr>
                    <w:pStyle w:val="287"/>
                    <w:framePr w:hSpace="0" w:wrap="auto" w:vAnchor="margin" w:hAnchor="text" w:xAlign="left" w:yAlign="inline"/>
                    <w:jc w:val="both"/>
                    <w:rPr>
                      <w:color w:val="auto"/>
                    </w:rPr>
                  </w:pPr>
                  <w:r>
                    <w:rPr>
                      <w:color w:val="auto"/>
                    </w:rPr>
                    <w:t>4</w:t>
                  </w:r>
                  <w:r>
                    <w:rPr>
                      <w:rFonts w:hint="eastAsia"/>
                      <w:color w:val="auto"/>
                    </w:rPr>
                    <w:t>、危险废物标签所选用的材质宜具有一定的耐用性和防水性。标签可采用不干胶印刷品，或印刷品外加防水塑料袋或塑封等。</w:t>
                  </w:r>
                </w:p>
                <w:p w14:paraId="240218DD">
                  <w:pPr>
                    <w:pStyle w:val="287"/>
                    <w:framePr w:hSpace="0" w:wrap="auto" w:vAnchor="margin" w:hAnchor="text" w:xAlign="left" w:yAlign="inline"/>
                    <w:jc w:val="both"/>
                    <w:rPr>
                      <w:color w:val="auto"/>
                    </w:rPr>
                  </w:pPr>
                  <w:r>
                    <w:rPr>
                      <w:color w:val="auto"/>
                    </w:rPr>
                    <w:t>5</w:t>
                  </w:r>
                  <w:r>
                    <w:rPr>
                      <w:rFonts w:hint="eastAsia"/>
                      <w:color w:val="auto"/>
                    </w:rPr>
                    <w:t>、危险废物标签印刷的油墨应均匀，图案和文字应清晰、完整。危险废物标签的文字边缘宜加黑色边框，边框宽度不小于</w:t>
                  </w:r>
                  <w:r>
                    <w:rPr>
                      <w:color w:val="auto"/>
                    </w:rPr>
                    <w:t>1 mm</w:t>
                  </w:r>
                  <w:r>
                    <w:rPr>
                      <w:rFonts w:hint="eastAsia"/>
                      <w:color w:val="auto"/>
                    </w:rPr>
                    <w:t>，边框外宜留不小于</w:t>
                  </w:r>
                  <w:r>
                    <w:rPr>
                      <w:color w:val="auto"/>
                    </w:rPr>
                    <w:t xml:space="preserve">3 mm </w:t>
                  </w:r>
                  <w:r>
                    <w:rPr>
                      <w:rFonts w:hint="eastAsia"/>
                      <w:color w:val="auto"/>
                    </w:rPr>
                    <w:t>的空白。</w:t>
                  </w:r>
                </w:p>
              </w:tc>
            </w:tr>
          </w:tbl>
          <w:p w14:paraId="1032B5F5">
            <w:pPr>
              <w:pStyle w:val="771"/>
              <w:bidi w:val="0"/>
              <w:ind w:left="0" w:leftChars="0" w:firstLine="0" w:firstLineChars="0"/>
              <w:rPr>
                <w:rFonts w:hint="eastAsia"/>
                <w:b/>
                <w:bCs/>
                <w:color w:val="auto"/>
                <w:lang w:val="en-US" w:eastAsia="zh-CN"/>
              </w:rPr>
            </w:pPr>
            <w:r>
              <w:rPr>
                <w:rFonts w:hint="eastAsia"/>
                <w:b/>
                <w:bCs/>
                <w:color w:val="auto"/>
                <w:lang w:val="en-US" w:eastAsia="zh-CN"/>
              </w:rPr>
              <w:t>4.6生态环境影响</w:t>
            </w:r>
          </w:p>
          <w:p w14:paraId="57BB429E">
            <w:pPr>
              <w:pStyle w:val="771"/>
              <w:bidi w:val="0"/>
              <w:rPr>
                <w:color w:val="auto"/>
              </w:rPr>
            </w:pPr>
            <w:r>
              <w:rPr>
                <w:rFonts w:hint="eastAsia"/>
                <w:color w:val="auto"/>
                <w:lang w:val="en-US" w:eastAsia="zh-CN"/>
              </w:rPr>
              <w:t>根据生态环境部办公厅</w:t>
            </w:r>
            <w:r>
              <w:rPr>
                <w:rFonts w:hint="default"/>
                <w:color w:val="auto"/>
                <w:lang w:val="en-US" w:eastAsia="zh-CN"/>
              </w:rPr>
              <w:t>2020</w:t>
            </w:r>
            <w:r>
              <w:rPr>
                <w:rFonts w:hint="eastAsia"/>
                <w:color w:val="auto"/>
                <w:lang w:val="en-US" w:eastAsia="zh-CN"/>
              </w:rPr>
              <w:t>年</w:t>
            </w:r>
            <w:r>
              <w:rPr>
                <w:rFonts w:hint="default"/>
                <w:color w:val="auto"/>
                <w:lang w:val="en-US" w:eastAsia="zh-CN"/>
              </w:rPr>
              <w:t>12</w:t>
            </w:r>
            <w:r>
              <w:rPr>
                <w:rFonts w:hint="eastAsia"/>
                <w:color w:val="auto"/>
                <w:lang w:val="en-US" w:eastAsia="zh-CN"/>
              </w:rPr>
              <w:t>月</w:t>
            </w:r>
            <w:r>
              <w:rPr>
                <w:rFonts w:hint="default"/>
                <w:color w:val="auto"/>
                <w:lang w:val="en-US" w:eastAsia="zh-CN"/>
              </w:rPr>
              <w:t>24</w:t>
            </w:r>
            <w:r>
              <w:rPr>
                <w:rFonts w:hint="eastAsia"/>
                <w:color w:val="auto"/>
                <w:lang w:val="en-US" w:eastAsia="zh-CN"/>
              </w:rPr>
              <w:t>日印发的《建设项目环境影响报告表编制技术指南（污染影响类）（试行）》中具体编制要求“产业园区外建设项目新增用地且用地范围内有生态环境敏感的，应明确环保措施”，本项目位于</w:t>
            </w:r>
            <w:r>
              <w:rPr>
                <w:color w:val="auto"/>
              </w:rPr>
              <w:t>安徽省</w:t>
            </w:r>
            <w:r>
              <w:rPr>
                <w:rFonts w:hint="eastAsia"/>
                <w:color w:val="auto"/>
                <w:lang w:eastAsia="zh-CN"/>
              </w:rPr>
              <w:t>淮南市八公山区淮南舜岳水泥有限责任公司厂区内</w:t>
            </w:r>
            <w:r>
              <w:rPr>
                <w:rFonts w:hint="eastAsia"/>
                <w:color w:val="auto"/>
              </w:rPr>
              <w:t>，不涉及新增用地，无新增用地范围内生态环境保护目标</w:t>
            </w:r>
            <w:r>
              <w:rPr>
                <w:rFonts w:hint="eastAsia"/>
                <w:color w:val="auto"/>
                <w:lang w:val="en-US" w:eastAsia="zh-CN"/>
              </w:rPr>
              <w:t>，不做生态环境影响分析。</w:t>
            </w:r>
          </w:p>
          <w:p w14:paraId="1F4B7CB3">
            <w:pPr>
              <w:pStyle w:val="771"/>
              <w:bidi w:val="0"/>
              <w:ind w:left="0" w:leftChars="0" w:firstLine="0" w:firstLineChars="0"/>
              <w:rPr>
                <w:rFonts w:hint="eastAsia"/>
                <w:b/>
                <w:bCs/>
                <w:color w:val="auto"/>
                <w:lang w:eastAsia="zh-CN"/>
              </w:rPr>
            </w:pPr>
            <w:r>
              <w:rPr>
                <w:b/>
                <w:bCs/>
                <w:color w:val="auto"/>
              </w:rPr>
              <w:t>4.</w:t>
            </w:r>
            <w:r>
              <w:rPr>
                <w:rFonts w:hint="eastAsia"/>
                <w:b/>
                <w:bCs/>
                <w:color w:val="auto"/>
                <w:lang w:val="en-US" w:eastAsia="zh-CN"/>
              </w:rPr>
              <w:t>7</w:t>
            </w:r>
            <w:r>
              <w:rPr>
                <w:b/>
                <w:bCs/>
                <w:color w:val="auto"/>
              </w:rPr>
              <w:t>地下水</w:t>
            </w:r>
            <w:r>
              <w:rPr>
                <w:rFonts w:hint="eastAsia"/>
                <w:b/>
                <w:bCs/>
                <w:color w:val="auto"/>
                <w:lang w:eastAsia="zh-CN"/>
              </w:rPr>
              <w:t>环境影响分析</w:t>
            </w:r>
          </w:p>
          <w:p w14:paraId="7E383B8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根据《建设项目环境影响报告表编制技术指南》（污染影响类）（试行），地下水原则上不开展专项评价，涉及集中式饮用水水源和热水、矿泉水、温泉等特殊地下水资源保护区的才需要开展地下水专项评价工作。本项目不涉及上述地下水资源保护区，故只对地下水污染途径展开简单分析。</w:t>
            </w:r>
          </w:p>
          <w:p w14:paraId="2A234CA4">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1、污染途径分析</w:t>
            </w:r>
          </w:p>
          <w:p w14:paraId="40F400A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正常情况下，项目严格按照本环评要求采取防渗措施，防止废水渗漏对地下水产生污染，一般情况下不会发生废水渗漏污染地下水，对地下水不会造成污染，且厂区及厂房内地面均为硬化地面，污染地下水可能性</w:t>
            </w:r>
            <w:r>
              <w:rPr>
                <w:rFonts w:hint="eastAsia" w:ascii="Times New Roman" w:hAnsi="Times New Roman" w:eastAsia="宋体" w:cs="Times New Roman"/>
                <w:color w:val="auto"/>
                <w:sz w:val="24"/>
                <w:szCs w:val="24"/>
                <w:lang w:val="en-US" w:eastAsia="zh-CN" w:bidi="ar-SA"/>
              </w:rPr>
              <w:t>极</w:t>
            </w:r>
            <w:r>
              <w:rPr>
                <w:rFonts w:hint="default" w:ascii="Times New Roman" w:hAnsi="Times New Roman" w:eastAsia="宋体" w:cs="Times New Roman"/>
                <w:color w:val="auto"/>
                <w:sz w:val="24"/>
                <w:szCs w:val="24"/>
                <w:lang w:val="en-US" w:eastAsia="zh-CN" w:bidi="ar-SA"/>
              </w:rPr>
              <w:t>小；考虑到非正常情况下，建设项目的防渗事故池地下水防渗措施因系统老化、腐蚀等原因不能正常运行或保护效果达不到设计要求时的运行状况，导致废水</w:t>
            </w:r>
            <w:r>
              <w:rPr>
                <w:rFonts w:hint="eastAsia" w:cs="Times New Roman"/>
                <w:color w:val="auto"/>
                <w:sz w:val="24"/>
                <w:szCs w:val="24"/>
                <w:lang w:val="en-US" w:eastAsia="zh-CN" w:bidi="ar-SA"/>
              </w:rPr>
              <w:t>“</w:t>
            </w:r>
            <w:r>
              <w:rPr>
                <w:rFonts w:hint="default" w:ascii="Times New Roman" w:hAnsi="Times New Roman" w:eastAsia="宋体" w:cs="Times New Roman"/>
                <w:color w:val="auto"/>
                <w:sz w:val="24"/>
                <w:szCs w:val="24"/>
                <w:lang w:val="en-US" w:eastAsia="zh-CN" w:bidi="ar-SA"/>
              </w:rPr>
              <w:t>跑冒滴漏</w:t>
            </w:r>
            <w:r>
              <w:rPr>
                <w:rFonts w:hint="eastAsia" w:cs="Times New Roman"/>
                <w:color w:val="auto"/>
                <w:sz w:val="24"/>
                <w:szCs w:val="24"/>
                <w:lang w:val="en-US" w:eastAsia="zh-CN" w:bidi="ar-SA"/>
              </w:rPr>
              <w:t>”</w:t>
            </w:r>
            <w:r>
              <w:rPr>
                <w:rFonts w:hint="default" w:ascii="Times New Roman" w:hAnsi="Times New Roman" w:eastAsia="宋体" w:cs="Times New Roman"/>
                <w:color w:val="auto"/>
                <w:sz w:val="24"/>
                <w:szCs w:val="24"/>
                <w:lang w:val="en-US" w:eastAsia="zh-CN" w:bidi="ar-SA"/>
              </w:rPr>
              <w:t>对潜水含水层的影响。</w:t>
            </w:r>
          </w:p>
          <w:p w14:paraId="11718620">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2、污染防治措施</w:t>
            </w:r>
          </w:p>
          <w:p w14:paraId="514BCF1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（1）源头控制</w:t>
            </w:r>
          </w:p>
          <w:p w14:paraId="3E078B9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加强对污水储存设施、工艺设备、管道的维护管理，定期检查，安装监控设备，杜绝跑、冒、滴、漏现象的发生。</w:t>
            </w:r>
          </w:p>
          <w:p w14:paraId="249A96F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（2）防渗漏措施</w:t>
            </w:r>
          </w:p>
          <w:p w14:paraId="2C7ABDF0">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根据《环境影响评价技术导则地下水环境》（HJ610-2016）要求，对厂区内本项目</w:t>
            </w:r>
            <w:r>
              <w:rPr>
                <w:rFonts w:hint="eastAsia" w:ascii="Times New Roman" w:hAnsi="Times New Roman" w:eastAsia="宋体" w:cs="Times New Roman"/>
                <w:color w:val="auto"/>
                <w:sz w:val="24"/>
                <w:szCs w:val="24"/>
                <w:lang w:val="en-US" w:eastAsia="zh-CN" w:bidi="ar-SA"/>
              </w:rPr>
              <w:t>危废暂存间</w:t>
            </w:r>
            <w:r>
              <w:rPr>
                <w:rFonts w:hint="default" w:ascii="Times New Roman" w:hAnsi="Times New Roman" w:eastAsia="宋体" w:cs="Times New Roman"/>
                <w:color w:val="auto"/>
                <w:sz w:val="24"/>
                <w:szCs w:val="24"/>
                <w:lang w:val="en-US" w:eastAsia="zh-CN" w:bidi="ar-SA"/>
              </w:rPr>
              <w:t>、</w:t>
            </w:r>
            <w:r>
              <w:rPr>
                <w:rFonts w:hint="eastAsia" w:ascii="Times New Roman" w:hAnsi="Times New Roman" w:eastAsia="宋体" w:cs="Times New Roman"/>
                <w:color w:val="auto"/>
                <w:sz w:val="24"/>
                <w:szCs w:val="24"/>
                <w:lang w:val="en-US" w:eastAsia="zh-CN" w:bidi="ar-SA"/>
              </w:rPr>
              <w:t>循环</w:t>
            </w:r>
            <w:r>
              <w:rPr>
                <w:rFonts w:hint="default" w:ascii="Times New Roman" w:hAnsi="Times New Roman" w:eastAsia="宋体" w:cs="Times New Roman"/>
                <w:color w:val="auto"/>
                <w:sz w:val="24"/>
                <w:szCs w:val="24"/>
                <w:lang w:val="en-US" w:eastAsia="zh-CN" w:bidi="ar-SA"/>
              </w:rPr>
              <w:t>水池、事故</w:t>
            </w:r>
            <w:r>
              <w:rPr>
                <w:rFonts w:hint="eastAsia" w:ascii="Times New Roman" w:hAnsi="Times New Roman" w:eastAsia="宋体" w:cs="Times New Roman"/>
                <w:color w:val="auto"/>
                <w:sz w:val="24"/>
                <w:szCs w:val="24"/>
                <w:lang w:val="en-US" w:eastAsia="zh-CN" w:bidi="ar-SA"/>
              </w:rPr>
              <w:t>水</w:t>
            </w:r>
            <w:r>
              <w:rPr>
                <w:rFonts w:hint="default" w:ascii="Times New Roman" w:hAnsi="Times New Roman" w:eastAsia="宋体" w:cs="Times New Roman"/>
                <w:color w:val="auto"/>
                <w:sz w:val="24"/>
                <w:szCs w:val="24"/>
                <w:lang w:val="en-US" w:eastAsia="zh-CN" w:bidi="ar-SA"/>
              </w:rPr>
              <w:t>池、初期雨水池、车间地面</w:t>
            </w:r>
            <w:r>
              <w:rPr>
                <w:rFonts w:hint="eastAsia" w:ascii="Times New Roman" w:hAnsi="Times New Roman" w:eastAsia="宋体" w:cs="Times New Roman"/>
                <w:color w:val="auto"/>
                <w:sz w:val="24"/>
                <w:szCs w:val="24"/>
                <w:lang w:val="en-US" w:eastAsia="zh-CN" w:bidi="ar-SA"/>
              </w:rPr>
              <w:t>、产品堆棚</w:t>
            </w:r>
            <w:r>
              <w:rPr>
                <w:rFonts w:hint="default" w:ascii="Times New Roman" w:hAnsi="Times New Roman" w:eastAsia="宋体" w:cs="Times New Roman"/>
                <w:color w:val="auto"/>
                <w:sz w:val="24"/>
                <w:szCs w:val="24"/>
                <w:lang w:val="en-US" w:eastAsia="zh-CN" w:bidi="ar-SA"/>
              </w:rPr>
              <w:t>等建构筑物进行分区防控。为了进一步保护地下水资源，本项目在设计上采取以下防渗处理措施：</w:t>
            </w:r>
          </w:p>
          <w:p w14:paraId="7D9F8A3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1）重点防渗区</w:t>
            </w:r>
          </w:p>
          <w:p w14:paraId="54FDFCA1">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危险废物贮存库污染物泄漏后不能够及时发现，污染控制难易程度为难，采取重点防渗措施。采用防渗层为水泥面硬化，铺设2mm厚高密度聚乙烯，或至少2mm厚的渗透系数≤10</w:t>
            </w:r>
            <w:r>
              <w:rPr>
                <w:rFonts w:hint="default" w:ascii="Times New Roman" w:hAnsi="Times New Roman" w:eastAsia="宋体" w:cs="Times New Roman"/>
                <w:color w:val="auto"/>
                <w:sz w:val="24"/>
                <w:szCs w:val="24"/>
                <w:vertAlign w:val="superscript"/>
                <w:lang w:val="en-US" w:eastAsia="zh-CN" w:bidi="ar-SA"/>
              </w:rPr>
              <w:t>-10</w:t>
            </w:r>
            <w:r>
              <w:rPr>
                <w:rFonts w:hint="default" w:ascii="Times New Roman" w:hAnsi="Times New Roman" w:eastAsia="宋体" w:cs="Times New Roman"/>
                <w:color w:val="auto"/>
                <w:sz w:val="24"/>
                <w:szCs w:val="24"/>
                <w:lang w:val="en-US" w:eastAsia="zh-CN" w:bidi="ar-SA"/>
              </w:rPr>
              <w:t>cm/s的其它人工材料，符合《环境影响评价技术导则地下水环境》（HJ610-2016）重点防渗区要求。</w:t>
            </w:r>
          </w:p>
          <w:p w14:paraId="7B2D938E">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2）一般防渗区</w:t>
            </w:r>
          </w:p>
          <w:p w14:paraId="62CD318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主厂房、</w:t>
            </w:r>
            <w:r>
              <w:rPr>
                <w:rFonts w:hint="eastAsia" w:ascii="Times New Roman" w:hAnsi="Times New Roman" w:eastAsia="宋体" w:cs="Times New Roman"/>
                <w:color w:val="auto"/>
                <w:sz w:val="24"/>
                <w:szCs w:val="24"/>
                <w:lang w:val="en-US" w:eastAsia="zh-CN" w:bidi="ar-SA"/>
              </w:rPr>
              <w:t>精煤堆棚</w:t>
            </w:r>
            <w:r>
              <w:rPr>
                <w:rFonts w:hint="default" w:ascii="Times New Roman" w:hAnsi="Times New Roman" w:eastAsia="宋体" w:cs="Times New Roman"/>
                <w:color w:val="auto"/>
                <w:sz w:val="24"/>
                <w:szCs w:val="24"/>
                <w:lang w:val="en-US" w:eastAsia="zh-CN" w:bidi="ar-SA"/>
              </w:rPr>
              <w:t>、中煤</w:t>
            </w:r>
            <w:r>
              <w:rPr>
                <w:rFonts w:hint="eastAsia" w:ascii="Times New Roman" w:hAnsi="Times New Roman" w:eastAsia="宋体" w:cs="Times New Roman"/>
                <w:color w:val="auto"/>
                <w:sz w:val="24"/>
                <w:szCs w:val="24"/>
                <w:lang w:val="en-US" w:eastAsia="zh-CN" w:bidi="ar-SA"/>
              </w:rPr>
              <w:t>堆棚</w:t>
            </w:r>
            <w:r>
              <w:rPr>
                <w:rFonts w:hint="default" w:ascii="Times New Roman" w:hAnsi="Times New Roman" w:eastAsia="宋体" w:cs="Times New Roman"/>
                <w:color w:val="auto"/>
                <w:sz w:val="24"/>
                <w:szCs w:val="24"/>
                <w:lang w:val="en-US" w:eastAsia="zh-CN" w:bidi="ar-SA"/>
              </w:rPr>
              <w:t>、矸石</w:t>
            </w:r>
            <w:r>
              <w:rPr>
                <w:rFonts w:hint="eastAsia" w:ascii="Times New Roman" w:hAnsi="Times New Roman" w:eastAsia="宋体" w:cs="Times New Roman"/>
                <w:color w:val="auto"/>
                <w:sz w:val="24"/>
                <w:szCs w:val="24"/>
                <w:lang w:val="en-US" w:eastAsia="zh-CN" w:bidi="ar-SA"/>
              </w:rPr>
              <w:t>堆棚</w:t>
            </w:r>
            <w:r>
              <w:rPr>
                <w:rFonts w:hint="default" w:ascii="Times New Roman" w:hAnsi="Times New Roman" w:eastAsia="宋体" w:cs="Times New Roman"/>
                <w:color w:val="auto"/>
                <w:sz w:val="24"/>
                <w:szCs w:val="24"/>
                <w:lang w:val="en-US" w:eastAsia="zh-CN" w:bidi="ar-SA"/>
              </w:rPr>
              <w:t>及各水池构筑物等采取一般防渗措施。采用抗渗钢纤维混凝土面，层中掺水泥基透结晶型防水剂，其下粘土夯实，单位面积防渗能力达到等效黏土防渗层Mb≥1.5m，渗透系数≤1×10</w:t>
            </w:r>
            <w:r>
              <w:rPr>
                <w:rFonts w:hint="default" w:ascii="Times New Roman" w:hAnsi="Times New Roman" w:eastAsia="宋体" w:cs="Times New Roman"/>
                <w:color w:val="auto"/>
                <w:sz w:val="24"/>
                <w:szCs w:val="24"/>
                <w:vertAlign w:val="superscript"/>
                <w:lang w:val="en-US" w:eastAsia="zh-CN" w:bidi="ar-SA"/>
              </w:rPr>
              <w:t>-7</w:t>
            </w:r>
            <w:r>
              <w:rPr>
                <w:rFonts w:hint="default" w:ascii="Times New Roman" w:hAnsi="Times New Roman" w:eastAsia="宋体" w:cs="Times New Roman"/>
                <w:color w:val="auto"/>
                <w:sz w:val="24"/>
                <w:szCs w:val="24"/>
                <w:lang w:val="en-US" w:eastAsia="zh-CN" w:bidi="ar-SA"/>
              </w:rPr>
              <w:t>cm/s，符合《环境影响评价技术导则地下水环境》（HJ610-2016）一般防渗区要求。</w:t>
            </w:r>
          </w:p>
          <w:p w14:paraId="1FEA9FB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3）简单防渗区</w:t>
            </w:r>
          </w:p>
          <w:p w14:paraId="51A822B4">
            <w:pPr>
              <w:pStyle w:val="43"/>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360" w:lineRule="auto"/>
              <w:ind w:left="0" w:leftChars="0" w:right="0" w:firstLine="480" w:firstLineChars="200"/>
              <w:textAlignment w:val="auto"/>
              <w:rPr>
                <w:rFonts w:hint="default" w:ascii="Times New Roman" w:hAnsi="Times New Roman" w:eastAsia="宋体" w:cs="Times New Roman"/>
                <w:color w:val="auto"/>
                <w:sz w:val="24"/>
                <w:szCs w:val="24"/>
                <w:lang w:val="en-GB" w:eastAsia="zh-CN" w:bidi="ar-SA"/>
              </w:rPr>
            </w:pPr>
            <w:r>
              <w:rPr>
                <w:rFonts w:hint="default" w:ascii="Times New Roman" w:hAnsi="Times New Roman" w:eastAsia="宋体" w:cs="Times New Roman"/>
                <w:color w:val="auto"/>
                <w:sz w:val="24"/>
                <w:szCs w:val="24"/>
                <w:lang w:val="en-GB" w:eastAsia="zh-CN" w:bidi="ar-SA"/>
              </w:rPr>
              <w:t>厂区路面采取简单防渗措施，防渗层为水泥地面硬化，符合《环境影响评价技术导则 地下水环境》（HJ 610-2016）简单防渗区要求。</w:t>
            </w:r>
          </w:p>
          <w:p w14:paraId="6EF91BB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综上所述，本项目营运期对地下水的保护主要从保护水质和保护水资源量两个方面考虑：</w:t>
            </w:r>
          </w:p>
          <w:p w14:paraId="09D6284F">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①洗选废水闭路循环使用，严禁无限制开发利用地下水资源。</w:t>
            </w:r>
          </w:p>
          <w:p w14:paraId="6B83FD3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②保护地下水水质，禁止杂物污水倾倒入井。</w:t>
            </w:r>
          </w:p>
          <w:p w14:paraId="48DF2C8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leftChars="0" w:right="0" w:firstLine="480" w:firstLineChars="200"/>
              <w:jc w:val="both"/>
              <w:textAlignment w:val="auto"/>
              <w:rPr>
                <w:rFonts w:hint="default" w:ascii="Times New Roman" w:hAnsi="Times New Roman" w:eastAsia="宋体" w:cs="Times New Roman"/>
                <w:color w:val="auto"/>
                <w:kern w:val="2"/>
                <w:sz w:val="21"/>
                <w:szCs w:val="21"/>
                <w:highlight w:val="none"/>
                <w:lang w:val="en-GB" w:eastAsia="zh-CN" w:bidi="ar-SA"/>
              </w:rPr>
            </w:pPr>
            <w:r>
              <w:rPr>
                <w:rFonts w:hint="eastAsia" w:ascii="Times New Roman" w:hAnsi="Times New Roman" w:eastAsia="宋体" w:cs="Times New Roman"/>
                <w:color w:val="auto"/>
                <w:sz w:val="24"/>
                <w:szCs w:val="24"/>
                <w:lang w:val="en-US" w:eastAsia="zh-CN" w:bidi="ar-SA"/>
              </w:rPr>
              <w:t>通过</w:t>
            </w:r>
            <w:r>
              <w:rPr>
                <w:rFonts w:hint="default" w:ascii="Times New Roman" w:hAnsi="Times New Roman" w:eastAsia="宋体" w:cs="Times New Roman"/>
                <w:color w:val="auto"/>
                <w:sz w:val="24"/>
                <w:szCs w:val="24"/>
                <w:lang w:val="en-US" w:eastAsia="zh-CN" w:bidi="ar-SA"/>
              </w:rPr>
              <w:t>以上措施可将营运期水源井的影响降到最低</w:t>
            </w:r>
            <w:r>
              <w:rPr>
                <w:rFonts w:hint="default" w:ascii="Times New Roman" w:hAnsi="Times New Roman" w:eastAsia="宋体" w:cs="Times New Roman"/>
                <w:color w:val="auto"/>
                <w:sz w:val="24"/>
                <w:szCs w:val="24"/>
                <w:lang w:val="en-GB" w:eastAsia="zh-CN" w:bidi="ar-SA"/>
              </w:rPr>
              <w:t>。</w:t>
            </w:r>
          </w:p>
          <w:p w14:paraId="41D7DDE1">
            <w:pPr>
              <w:keepNext w:val="0"/>
              <w:keepLines w:val="0"/>
              <w:pageBreakBefore w:val="0"/>
              <w:widowControl w:val="0"/>
              <w:suppressLineNumbers w:val="0"/>
              <w:kinsoku/>
              <w:wordWrap/>
              <w:overflowPunct/>
              <w:topLinePunct w:val="0"/>
              <w:bidi w:val="0"/>
              <w:adjustRightInd w:val="0"/>
              <w:snapToGrid w:val="0"/>
              <w:spacing w:before="0" w:beforeAutospacing="0" w:after="0" w:afterAutospacing="0" w:line="360" w:lineRule="auto"/>
              <w:ind w:right="0"/>
              <w:textAlignment w:val="auto"/>
              <w:rPr>
                <w:rFonts w:hint="default" w:ascii="Times New Roman" w:hAnsi="Times New Roman" w:eastAsia="宋体" w:cs="Times New Roman"/>
                <w:b/>
                <w:color w:val="auto"/>
                <w:sz w:val="24"/>
                <w:szCs w:val="24"/>
                <w:highlight w:val="none"/>
              </w:rPr>
            </w:pPr>
            <w:r>
              <w:rPr>
                <w:rFonts w:hint="eastAsia" w:ascii="Times New Roman" w:hAnsi="Times New Roman" w:eastAsia="宋体" w:cs="Times New Roman"/>
                <w:b/>
                <w:color w:val="auto"/>
                <w:sz w:val="24"/>
                <w:szCs w:val="24"/>
                <w:highlight w:val="none"/>
                <w:lang w:val="en-US" w:eastAsia="zh-CN"/>
              </w:rPr>
              <w:t>4.8</w:t>
            </w:r>
            <w:r>
              <w:rPr>
                <w:rFonts w:hint="default" w:ascii="Times New Roman" w:hAnsi="Times New Roman" w:eastAsia="宋体" w:cs="Times New Roman"/>
                <w:b/>
                <w:color w:val="auto"/>
                <w:sz w:val="24"/>
                <w:szCs w:val="24"/>
                <w:highlight w:val="none"/>
              </w:rPr>
              <w:t>土壤环境影响分析</w:t>
            </w:r>
          </w:p>
          <w:p w14:paraId="208A78E2">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本项目不涉及有毒有害物质危险废物，生活污水</w:t>
            </w:r>
            <w:r>
              <w:rPr>
                <w:rFonts w:hint="eastAsia" w:ascii="Times New Roman" w:hAnsi="Times New Roman" w:eastAsia="宋体" w:cs="Times New Roman"/>
                <w:color w:val="auto"/>
                <w:sz w:val="24"/>
                <w:szCs w:val="24"/>
                <w:lang w:val="en-US" w:eastAsia="zh-CN" w:bidi="ar-SA"/>
              </w:rPr>
              <w:t>不在本项目占地范围内产生；</w:t>
            </w:r>
            <w:r>
              <w:rPr>
                <w:rFonts w:hint="default" w:ascii="Times New Roman" w:hAnsi="Times New Roman" w:eastAsia="宋体" w:cs="Times New Roman"/>
                <w:color w:val="auto"/>
                <w:sz w:val="24"/>
                <w:szCs w:val="24"/>
                <w:lang w:val="en-US" w:eastAsia="zh-CN" w:bidi="ar-SA"/>
              </w:rPr>
              <w:t>初期雨水回用于厂区内降尘；生产废水经处理后全部回用不外排的情况下，不会影响区域水体环境。对土壤污染造成污染源主要为循环水池，如不采取合理的保护措施，则存在一定的土壤污染风险，本项目主厂房、</w:t>
            </w:r>
            <w:r>
              <w:rPr>
                <w:rFonts w:hint="eastAsia" w:ascii="Times New Roman" w:hAnsi="Times New Roman" w:eastAsia="宋体" w:cs="Times New Roman"/>
                <w:color w:val="auto"/>
                <w:sz w:val="24"/>
                <w:szCs w:val="24"/>
                <w:lang w:val="en-US" w:eastAsia="zh-CN" w:bidi="ar-SA"/>
              </w:rPr>
              <w:t>精煤堆棚</w:t>
            </w:r>
            <w:r>
              <w:rPr>
                <w:rFonts w:hint="default" w:ascii="Times New Roman" w:hAnsi="Times New Roman" w:eastAsia="宋体" w:cs="Times New Roman"/>
                <w:color w:val="auto"/>
                <w:sz w:val="24"/>
                <w:szCs w:val="24"/>
                <w:lang w:val="en-US" w:eastAsia="zh-CN" w:bidi="ar-SA"/>
              </w:rPr>
              <w:t>、中煤</w:t>
            </w:r>
            <w:r>
              <w:rPr>
                <w:rFonts w:hint="eastAsia" w:ascii="Times New Roman" w:hAnsi="Times New Roman" w:eastAsia="宋体" w:cs="Times New Roman"/>
                <w:color w:val="auto"/>
                <w:sz w:val="24"/>
                <w:szCs w:val="24"/>
                <w:lang w:val="en-US" w:eastAsia="zh-CN" w:bidi="ar-SA"/>
              </w:rPr>
              <w:t>堆棚</w:t>
            </w:r>
            <w:r>
              <w:rPr>
                <w:rFonts w:hint="default" w:ascii="Times New Roman" w:hAnsi="Times New Roman" w:eastAsia="宋体" w:cs="Times New Roman"/>
                <w:color w:val="auto"/>
                <w:sz w:val="24"/>
                <w:szCs w:val="24"/>
                <w:lang w:val="en-US" w:eastAsia="zh-CN" w:bidi="ar-SA"/>
              </w:rPr>
              <w:t>、矸石</w:t>
            </w:r>
            <w:r>
              <w:rPr>
                <w:rFonts w:hint="eastAsia" w:ascii="Times New Roman" w:hAnsi="Times New Roman" w:eastAsia="宋体" w:cs="Times New Roman"/>
                <w:color w:val="auto"/>
                <w:sz w:val="24"/>
                <w:szCs w:val="24"/>
                <w:lang w:val="en-US" w:eastAsia="zh-CN" w:bidi="ar-SA"/>
              </w:rPr>
              <w:t>堆棚</w:t>
            </w:r>
            <w:r>
              <w:rPr>
                <w:rFonts w:hint="default" w:ascii="Times New Roman" w:hAnsi="Times New Roman" w:eastAsia="宋体" w:cs="Times New Roman"/>
                <w:color w:val="auto"/>
                <w:sz w:val="24"/>
                <w:szCs w:val="24"/>
                <w:lang w:val="en-US" w:eastAsia="zh-CN" w:bidi="ar-SA"/>
              </w:rPr>
              <w:t>及各水池构筑物等采取一般防渗措施。</w:t>
            </w:r>
          </w:p>
          <w:p w14:paraId="1F2D7F9C">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本项目应保证其环保治理设施正常运转，尽可能避免对区域土壤环境产生影响。为防止事故状态对土壤的污染，厂区应采取如下措施：</w:t>
            </w:r>
          </w:p>
          <w:p w14:paraId="662DFE86">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1、控制本项目</w:t>
            </w:r>
            <w:r>
              <w:rPr>
                <w:rFonts w:hint="eastAsia" w:cs="Times New Roman"/>
                <w:color w:val="auto"/>
                <w:sz w:val="24"/>
                <w:szCs w:val="24"/>
                <w:lang w:val="en-US" w:eastAsia="zh-CN" w:bidi="ar-SA"/>
              </w:rPr>
              <w:t>“</w:t>
            </w:r>
            <w:r>
              <w:rPr>
                <w:rFonts w:hint="default" w:ascii="Times New Roman" w:hAnsi="Times New Roman" w:eastAsia="宋体" w:cs="Times New Roman"/>
                <w:color w:val="auto"/>
                <w:sz w:val="24"/>
                <w:szCs w:val="24"/>
                <w:lang w:val="en-US" w:eastAsia="zh-CN" w:bidi="ar-SA"/>
              </w:rPr>
              <w:t>三废</w:t>
            </w:r>
            <w:r>
              <w:rPr>
                <w:rFonts w:hint="eastAsia" w:cs="Times New Roman"/>
                <w:color w:val="auto"/>
                <w:sz w:val="24"/>
                <w:szCs w:val="24"/>
                <w:lang w:val="en-US" w:eastAsia="zh-CN" w:bidi="ar-SA"/>
              </w:rPr>
              <w:t>”</w:t>
            </w:r>
            <w:r>
              <w:rPr>
                <w:rFonts w:hint="default" w:ascii="Times New Roman" w:hAnsi="Times New Roman" w:eastAsia="宋体" w:cs="Times New Roman"/>
                <w:color w:val="auto"/>
                <w:sz w:val="24"/>
                <w:szCs w:val="24"/>
                <w:lang w:val="en-US" w:eastAsia="zh-CN" w:bidi="ar-SA"/>
              </w:rPr>
              <w:t>的排放。大力推广闭路循环、清洁工艺，以减少污染物质，控制污染物排放的数量和浓度，使之符合排放标准和总量要求。</w:t>
            </w:r>
          </w:p>
          <w:p w14:paraId="78CB3E5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2、为了防止项目对当地的土壤产生不利影响，建设单位对各储水构筑物采取防渗措施，具体如下：对厂区路面进行硬化处理，防止废水发生</w:t>
            </w:r>
            <w:r>
              <w:rPr>
                <w:rFonts w:hint="eastAsia" w:cs="Times New Roman"/>
                <w:color w:val="auto"/>
                <w:sz w:val="24"/>
                <w:szCs w:val="24"/>
                <w:lang w:val="en-US" w:eastAsia="zh-CN" w:bidi="ar-SA"/>
              </w:rPr>
              <w:t>“</w:t>
            </w:r>
            <w:r>
              <w:rPr>
                <w:rFonts w:hint="default" w:ascii="Times New Roman" w:hAnsi="Times New Roman" w:eastAsia="宋体" w:cs="Times New Roman"/>
                <w:color w:val="auto"/>
                <w:sz w:val="24"/>
                <w:szCs w:val="24"/>
                <w:lang w:val="en-US" w:eastAsia="zh-CN" w:bidi="ar-SA"/>
              </w:rPr>
              <w:t>跑、冒、滴、漏</w:t>
            </w:r>
            <w:r>
              <w:rPr>
                <w:rFonts w:hint="eastAsia" w:cs="Times New Roman"/>
                <w:color w:val="auto"/>
                <w:sz w:val="24"/>
                <w:szCs w:val="24"/>
                <w:lang w:val="en-US" w:eastAsia="zh-CN" w:bidi="ar-SA"/>
              </w:rPr>
              <w:t>”</w:t>
            </w:r>
            <w:r>
              <w:rPr>
                <w:rFonts w:hint="default" w:ascii="Times New Roman" w:hAnsi="Times New Roman" w:eastAsia="宋体" w:cs="Times New Roman"/>
                <w:color w:val="auto"/>
                <w:sz w:val="24"/>
                <w:szCs w:val="24"/>
                <w:lang w:val="en-US" w:eastAsia="zh-CN" w:bidi="ar-SA"/>
              </w:rPr>
              <w:t>现象时污染地下水环境，主厂房、</w:t>
            </w:r>
            <w:r>
              <w:rPr>
                <w:rFonts w:hint="eastAsia" w:ascii="Times New Roman" w:hAnsi="Times New Roman" w:eastAsia="宋体" w:cs="Times New Roman"/>
                <w:color w:val="auto"/>
                <w:sz w:val="24"/>
                <w:szCs w:val="24"/>
                <w:lang w:val="en-US" w:eastAsia="zh-CN" w:bidi="ar-SA"/>
              </w:rPr>
              <w:t>精煤堆棚</w:t>
            </w:r>
            <w:r>
              <w:rPr>
                <w:rFonts w:hint="default" w:ascii="Times New Roman" w:hAnsi="Times New Roman" w:eastAsia="宋体" w:cs="Times New Roman"/>
                <w:color w:val="auto"/>
                <w:sz w:val="24"/>
                <w:szCs w:val="24"/>
                <w:lang w:val="en-US" w:eastAsia="zh-CN" w:bidi="ar-SA"/>
              </w:rPr>
              <w:t>、中煤</w:t>
            </w:r>
            <w:r>
              <w:rPr>
                <w:rFonts w:hint="eastAsia" w:ascii="Times New Roman" w:hAnsi="Times New Roman" w:eastAsia="宋体" w:cs="Times New Roman"/>
                <w:color w:val="auto"/>
                <w:sz w:val="24"/>
                <w:szCs w:val="24"/>
                <w:lang w:val="en-US" w:eastAsia="zh-CN" w:bidi="ar-SA"/>
              </w:rPr>
              <w:t>堆棚</w:t>
            </w:r>
            <w:r>
              <w:rPr>
                <w:rFonts w:hint="default" w:ascii="Times New Roman" w:hAnsi="Times New Roman" w:eastAsia="宋体" w:cs="Times New Roman"/>
                <w:color w:val="auto"/>
                <w:sz w:val="24"/>
                <w:szCs w:val="24"/>
                <w:lang w:val="en-US" w:eastAsia="zh-CN" w:bidi="ar-SA"/>
              </w:rPr>
              <w:t>、矸石</w:t>
            </w:r>
            <w:r>
              <w:rPr>
                <w:rFonts w:hint="eastAsia" w:ascii="Times New Roman" w:hAnsi="Times New Roman" w:eastAsia="宋体" w:cs="Times New Roman"/>
                <w:color w:val="auto"/>
                <w:sz w:val="24"/>
                <w:szCs w:val="24"/>
                <w:lang w:val="en-US" w:eastAsia="zh-CN" w:bidi="ar-SA"/>
              </w:rPr>
              <w:t>堆棚</w:t>
            </w:r>
            <w:r>
              <w:rPr>
                <w:rFonts w:hint="default" w:ascii="Times New Roman" w:hAnsi="Times New Roman" w:eastAsia="宋体" w:cs="Times New Roman"/>
                <w:color w:val="auto"/>
                <w:sz w:val="24"/>
                <w:szCs w:val="24"/>
                <w:lang w:val="en-US" w:eastAsia="zh-CN" w:bidi="ar-SA"/>
              </w:rPr>
              <w:t>及各水池构筑物均采取一般防渗措施，以保护厂址附近的土壤。</w:t>
            </w:r>
          </w:p>
          <w:p w14:paraId="1F0C2627">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3、加强本项目区域和周边绿化。</w:t>
            </w:r>
          </w:p>
          <w:p w14:paraId="511E514A">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4、为进一步减少企业生产过程中对区域土壤环境的影响，提出以下建议：</w:t>
            </w:r>
          </w:p>
          <w:p w14:paraId="58EB6DDF">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①健全环境管理制度加强污染防治工作，保证设施正常运转，同时强化风险防范意识。如遇到环保设施不能正常运转，企业应立即停产检修。</w:t>
            </w:r>
          </w:p>
          <w:p w14:paraId="33508025">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②定期进行环境监测</w:t>
            </w:r>
          </w:p>
          <w:p w14:paraId="18E7AE53">
            <w:pPr>
              <w:keepNext w:val="0"/>
              <w:keepLines w:val="0"/>
              <w:pageBreakBefore w:val="0"/>
              <w:widowControl w:val="0"/>
              <w:suppressLineNumbers w:val="0"/>
              <w:kinsoku/>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bidi="ar-SA"/>
              </w:rPr>
            </w:pPr>
            <w:r>
              <w:rPr>
                <w:rFonts w:hint="default" w:ascii="Times New Roman" w:hAnsi="Times New Roman" w:eastAsia="宋体" w:cs="Times New Roman"/>
                <w:color w:val="auto"/>
                <w:sz w:val="24"/>
                <w:szCs w:val="24"/>
                <w:lang w:val="en-US" w:eastAsia="zh-CN" w:bidi="ar-SA"/>
              </w:rPr>
              <w:t>综上，在采取本报告中提出的保护措施后，本项目对土壤环境污染可被接受。</w:t>
            </w:r>
            <w:r>
              <w:rPr>
                <w:rFonts w:hint="eastAsia" w:ascii="Times New Roman" w:hAnsi="Times New Roman" w:eastAsia="宋体" w:cs="Times New Roman"/>
                <w:color w:val="auto"/>
                <w:sz w:val="24"/>
                <w:szCs w:val="24"/>
                <w:lang w:val="en-US" w:eastAsia="zh-CN" w:bidi="ar-SA"/>
              </w:rPr>
              <w:t>本项目防渗分区及防渗要求见下表。</w:t>
            </w:r>
          </w:p>
          <w:p w14:paraId="502C4D28">
            <w:pPr>
              <w:pStyle w:val="15"/>
              <w:keepNext w:val="0"/>
              <w:keepLines w:val="0"/>
              <w:pageBreakBefore w:val="0"/>
              <w:widowControl w:val="0"/>
              <w:kinsoku/>
              <w:wordWrap/>
              <w:overflowPunct/>
              <w:topLinePunct w:val="0"/>
              <w:autoSpaceDE/>
              <w:autoSpaceDN/>
              <w:bidi w:val="0"/>
              <w:adjustRightInd/>
              <w:snapToGrid/>
              <w:spacing w:after="0"/>
              <w:textAlignment w:val="auto"/>
              <w:rPr>
                <w:color w:val="auto"/>
              </w:rPr>
            </w:pPr>
            <w:r>
              <w:rPr>
                <w:color w:val="auto"/>
              </w:rPr>
              <w:t xml:space="preserve">表 </w:t>
            </w:r>
            <w:r>
              <w:rPr>
                <w:rFonts w:hint="eastAsia"/>
                <w:color w:val="auto"/>
              </w:rPr>
              <w:t>4-</w:t>
            </w:r>
            <w:r>
              <w:rPr>
                <w:rFonts w:hint="eastAsia"/>
                <w:color w:val="auto"/>
                <w:lang w:val="en-US" w:eastAsia="zh-CN"/>
              </w:rPr>
              <w:t>11</w:t>
            </w:r>
            <w:r>
              <w:rPr>
                <w:rFonts w:hint="eastAsia"/>
                <w:color w:val="auto"/>
              </w:rPr>
              <w:t xml:space="preserve"> </w:t>
            </w:r>
            <w:r>
              <w:rPr>
                <w:color w:val="auto"/>
              </w:rPr>
              <w:t>项目防渗分区划分表</w:t>
            </w:r>
          </w:p>
          <w:tbl>
            <w:tblPr>
              <w:tblStyle w:val="5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9"/>
              <w:gridCol w:w="1906"/>
              <w:gridCol w:w="1148"/>
              <w:gridCol w:w="3442"/>
            </w:tblGrid>
            <w:tr w14:paraId="51969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85" w:type="pct"/>
                  <w:vAlign w:val="center"/>
                </w:tcPr>
                <w:p w14:paraId="65FFA44A">
                  <w:pPr>
                    <w:pStyle w:val="77"/>
                    <w:bidi w:val="0"/>
                    <w:rPr>
                      <w:rFonts w:hint="default" w:ascii="Times New Roman" w:hAnsi="Times New Roman" w:cs="Times New Roman"/>
                      <w:b/>
                      <w:bCs/>
                      <w:color w:val="auto"/>
                    </w:rPr>
                  </w:pPr>
                  <w:r>
                    <w:rPr>
                      <w:rFonts w:hint="default" w:ascii="Times New Roman" w:hAnsi="Times New Roman" w:cs="Times New Roman"/>
                      <w:b/>
                      <w:bCs/>
                      <w:color w:val="auto"/>
                      <w:lang w:eastAsia="zh-CN"/>
                    </w:rPr>
                    <w:t>防渗</w:t>
                  </w:r>
                  <w:r>
                    <w:rPr>
                      <w:rFonts w:hint="default" w:ascii="Times New Roman" w:hAnsi="Times New Roman" w:cs="Times New Roman"/>
                      <w:b/>
                      <w:bCs/>
                      <w:color w:val="auto"/>
                    </w:rPr>
                    <w:t>区域</w:t>
                  </w:r>
                </w:p>
              </w:tc>
              <w:tc>
                <w:tcPr>
                  <w:tcW w:w="1119" w:type="pct"/>
                  <w:vAlign w:val="center"/>
                </w:tcPr>
                <w:p w14:paraId="4CAF2C95">
                  <w:pPr>
                    <w:pStyle w:val="77"/>
                    <w:bidi w:val="0"/>
                    <w:rPr>
                      <w:rFonts w:hint="default" w:ascii="Times New Roman" w:hAnsi="Times New Roman" w:cs="Times New Roman"/>
                      <w:b/>
                      <w:bCs/>
                      <w:color w:val="auto"/>
                    </w:rPr>
                  </w:pPr>
                  <w:r>
                    <w:rPr>
                      <w:rFonts w:hint="default" w:ascii="Times New Roman" w:hAnsi="Times New Roman" w:cs="Times New Roman"/>
                      <w:b/>
                      <w:bCs/>
                      <w:color w:val="auto"/>
                    </w:rPr>
                    <w:t>防渗区域或部位</w:t>
                  </w:r>
                </w:p>
              </w:tc>
              <w:tc>
                <w:tcPr>
                  <w:tcW w:w="674" w:type="pct"/>
                  <w:vAlign w:val="center"/>
                </w:tcPr>
                <w:p w14:paraId="6CC3763B">
                  <w:pPr>
                    <w:pStyle w:val="77"/>
                    <w:bidi w:val="0"/>
                    <w:rPr>
                      <w:rFonts w:hint="default" w:ascii="Times New Roman" w:hAnsi="Times New Roman" w:cs="Times New Roman"/>
                      <w:b/>
                      <w:bCs/>
                      <w:color w:val="auto"/>
                    </w:rPr>
                  </w:pPr>
                  <w:r>
                    <w:rPr>
                      <w:rFonts w:hint="default" w:ascii="Times New Roman" w:hAnsi="Times New Roman" w:cs="Times New Roman"/>
                      <w:b/>
                      <w:bCs/>
                      <w:color w:val="auto"/>
                    </w:rPr>
                    <w:t>防渗等级</w:t>
                  </w:r>
                </w:p>
              </w:tc>
              <w:tc>
                <w:tcPr>
                  <w:tcW w:w="2020" w:type="pct"/>
                  <w:vAlign w:val="center"/>
                </w:tcPr>
                <w:p w14:paraId="342760C4">
                  <w:pPr>
                    <w:pStyle w:val="77"/>
                    <w:bidi w:val="0"/>
                    <w:rPr>
                      <w:rFonts w:hint="default" w:ascii="Times New Roman" w:hAnsi="Times New Roman" w:cs="Times New Roman"/>
                      <w:b/>
                      <w:bCs/>
                      <w:color w:val="auto"/>
                    </w:rPr>
                  </w:pPr>
                  <w:r>
                    <w:rPr>
                      <w:rFonts w:hint="default" w:ascii="Times New Roman" w:hAnsi="Times New Roman" w:cs="Times New Roman"/>
                      <w:b/>
                      <w:bCs/>
                      <w:color w:val="auto"/>
                    </w:rPr>
                    <w:t>防渗技术要求</w:t>
                  </w:r>
                </w:p>
              </w:tc>
            </w:tr>
            <w:tr w14:paraId="38D55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85" w:type="pct"/>
                  <w:vAlign w:val="center"/>
                </w:tcPr>
                <w:p w14:paraId="4AC46CA9">
                  <w:pPr>
                    <w:pStyle w:val="77"/>
                    <w:bidi w:val="0"/>
                    <w:rPr>
                      <w:rFonts w:hint="default" w:ascii="Times New Roman" w:hAnsi="Times New Roman" w:cs="Times New Roman"/>
                      <w:color w:val="auto"/>
                    </w:rPr>
                  </w:pPr>
                  <w:r>
                    <w:rPr>
                      <w:rFonts w:hint="default" w:ascii="Times New Roman" w:hAnsi="Times New Roman" w:cs="Times New Roman"/>
                      <w:color w:val="auto"/>
                    </w:rPr>
                    <w:t>危废暂存间</w:t>
                  </w:r>
                </w:p>
              </w:tc>
              <w:tc>
                <w:tcPr>
                  <w:tcW w:w="1119" w:type="pct"/>
                  <w:vAlign w:val="center"/>
                </w:tcPr>
                <w:p w14:paraId="2BD4516F">
                  <w:pPr>
                    <w:pStyle w:val="77"/>
                    <w:bidi w:val="0"/>
                    <w:rPr>
                      <w:rFonts w:hint="default" w:ascii="Times New Roman" w:hAnsi="Times New Roman" w:cs="Times New Roman"/>
                      <w:color w:val="auto"/>
                    </w:rPr>
                  </w:pPr>
                  <w:r>
                    <w:rPr>
                      <w:rFonts w:hint="default" w:ascii="Times New Roman" w:hAnsi="Times New Roman" w:cs="Times New Roman"/>
                      <w:color w:val="auto"/>
                    </w:rPr>
                    <w:t>地面及裙角</w:t>
                  </w:r>
                </w:p>
              </w:tc>
              <w:tc>
                <w:tcPr>
                  <w:tcW w:w="674" w:type="pct"/>
                  <w:vAlign w:val="center"/>
                </w:tcPr>
                <w:p w14:paraId="2125F92E">
                  <w:pPr>
                    <w:pStyle w:val="77"/>
                    <w:bidi w:val="0"/>
                    <w:rPr>
                      <w:rFonts w:hint="default" w:ascii="Times New Roman" w:hAnsi="Times New Roman" w:cs="Times New Roman"/>
                      <w:color w:val="auto"/>
                    </w:rPr>
                  </w:pPr>
                  <w:r>
                    <w:rPr>
                      <w:rFonts w:hint="default" w:ascii="Times New Roman" w:hAnsi="Times New Roman" w:cs="Times New Roman"/>
                      <w:color w:val="auto"/>
                    </w:rPr>
                    <w:t>重点防渗区</w:t>
                  </w:r>
                </w:p>
              </w:tc>
              <w:tc>
                <w:tcPr>
                  <w:tcW w:w="2020" w:type="pct"/>
                  <w:vAlign w:val="center"/>
                </w:tcPr>
                <w:p w14:paraId="3D4E3E12">
                  <w:pPr>
                    <w:pStyle w:val="77"/>
                    <w:bidi w:val="0"/>
                    <w:rPr>
                      <w:rFonts w:hint="default" w:ascii="Times New Roman" w:hAnsi="Times New Roman" w:cs="Times New Roman"/>
                      <w:color w:val="auto"/>
                    </w:rPr>
                  </w:pPr>
                  <w:r>
                    <w:rPr>
                      <w:rFonts w:hint="default" w:ascii="Times New Roman" w:hAnsi="Times New Roman" w:cs="Times New Roman"/>
                      <w:color w:val="auto"/>
                    </w:rPr>
                    <w:t>根据《环境影响评价技术导则地下水环境》（HJ610 2016）执行，防渗层防渗性能不低于6.0m厚渗透系数1×10</w:t>
                  </w:r>
                  <w:r>
                    <w:rPr>
                      <w:rFonts w:hint="default" w:ascii="Times New Roman" w:hAnsi="Times New Roman" w:cs="Times New Roman"/>
                      <w:color w:val="auto"/>
                      <w:vertAlign w:val="superscript"/>
                    </w:rPr>
                    <w:t>-7</w:t>
                  </w:r>
                  <w:r>
                    <w:rPr>
                      <w:rFonts w:hint="default" w:ascii="Times New Roman" w:hAnsi="Times New Roman" w:cs="Times New Roman"/>
                      <w:color w:val="auto"/>
                    </w:rPr>
                    <w:t>cm/s的粘土层防渗性能，或2mm厚高密度聚乙烯，或至少2mm厚的其他人工材料，渗透系数≤10</w:t>
                  </w:r>
                  <w:r>
                    <w:rPr>
                      <w:rFonts w:hint="default" w:ascii="Times New Roman" w:hAnsi="Times New Roman" w:cs="Times New Roman"/>
                      <w:color w:val="auto"/>
                      <w:vertAlign w:val="superscript"/>
                    </w:rPr>
                    <w:t>-10</w:t>
                  </w:r>
                  <w:r>
                    <w:rPr>
                      <w:rFonts w:hint="default" w:ascii="Times New Roman" w:hAnsi="Times New Roman" w:cs="Times New Roman"/>
                      <w:color w:val="auto"/>
                    </w:rPr>
                    <w:t>cm/s</w:t>
                  </w:r>
                </w:p>
              </w:tc>
            </w:tr>
            <w:tr w14:paraId="2077D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85" w:type="pct"/>
                  <w:shd w:val="clear" w:color="auto" w:fill="auto"/>
                  <w:vAlign w:val="center"/>
                </w:tcPr>
                <w:p w14:paraId="5CE39CC6">
                  <w:pPr>
                    <w:pStyle w:val="77"/>
                    <w:bidi w:val="0"/>
                    <w:rPr>
                      <w:rFonts w:hint="default" w:ascii="Times New Roman" w:hAnsi="Times New Roman" w:cs="Times New Roman"/>
                      <w:color w:val="auto"/>
                    </w:rPr>
                  </w:pPr>
                  <w:r>
                    <w:rPr>
                      <w:rFonts w:hint="default" w:ascii="Times New Roman" w:hAnsi="Times New Roman" w:cs="Times New Roman"/>
                      <w:color w:val="auto"/>
                      <w:lang w:val="en-US" w:eastAsia="zh-CN"/>
                    </w:rPr>
                    <w:t>主厂房、精煤堆棚、中煤堆棚、矸石堆棚及各水池构筑物</w:t>
                  </w:r>
                </w:p>
              </w:tc>
              <w:tc>
                <w:tcPr>
                  <w:tcW w:w="1119" w:type="pct"/>
                  <w:shd w:val="clear" w:color="auto" w:fill="auto"/>
                  <w:vAlign w:val="center"/>
                </w:tcPr>
                <w:p w14:paraId="25C9066B">
                  <w:pPr>
                    <w:pStyle w:val="77"/>
                    <w:bidi w:val="0"/>
                    <w:rPr>
                      <w:rFonts w:hint="default" w:ascii="Times New Roman" w:hAnsi="Times New Roman" w:cs="Times New Roman"/>
                      <w:color w:val="auto"/>
                    </w:rPr>
                  </w:pPr>
                  <w:r>
                    <w:rPr>
                      <w:rFonts w:hint="default" w:ascii="Times New Roman" w:hAnsi="Times New Roman" w:cs="Times New Roman"/>
                      <w:color w:val="auto"/>
                    </w:rPr>
                    <w:t>底部和四周</w:t>
                  </w:r>
                </w:p>
              </w:tc>
              <w:tc>
                <w:tcPr>
                  <w:tcW w:w="674" w:type="pct"/>
                  <w:vAlign w:val="center"/>
                </w:tcPr>
                <w:p w14:paraId="41481651">
                  <w:pPr>
                    <w:pStyle w:val="77"/>
                    <w:bidi w:val="0"/>
                    <w:rPr>
                      <w:rFonts w:hint="default" w:ascii="Times New Roman" w:hAnsi="Times New Roman" w:cs="Times New Roman"/>
                      <w:color w:val="auto"/>
                    </w:rPr>
                  </w:pPr>
                  <w:r>
                    <w:rPr>
                      <w:rFonts w:hint="default" w:ascii="Times New Roman" w:hAnsi="Times New Roman" w:cs="Times New Roman"/>
                      <w:color w:val="auto"/>
                    </w:rPr>
                    <w:t>一般防渗区</w:t>
                  </w:r>
                </w:p>
              </w:tc>
              <w:tc>
                <w:tcPr>
                  <w:tcW w:w="2020" w:type="pct"/>
                  <w:vAlign w:val="center"/>
                </w:tcPr>
                <w:p w14:paraId="2004CB38">
                  <w:pPr>
                    <w:pStyle w:val="77"/>
                    <w:bidi w:val="0"/>
                    <w:rPr>
                      <w:rFonts w:hint="default" w:ascii="Times New Roman" w:hAnsi="Times New Roman" w:cs="Times New Roman"/>
                      <w:color w:val="auto"/>
                    </w:rPr>
                  </w:pPr>
                  <w:r>
                    <w:rPr>
                      <w:rFonts w:hint="default" w:ascii="Times New Roman" w:hAnsi="Times New Roman" w:cs="Times New Roman"/>
                      <w:color w:val="auto"/>
                    </w:rPr>
                    <w:t>等效黏土防渗层Mb≥1.5m，k≤1×10</w:t>
                  </w:r>
                  <w:r>
                    <w:rPr>
                      <w:rFonts w:hint="default" w:ascii="Times New Roman" w:hAnsi="Times New Roman" w:cs="Times New Roman"/>
                      <w:color w:val="auto"/>
                      <w:vertAlign w:val="superscript"/>
                    </w:rPr>
                    <w:t>-7</w:t>
                  </w:r>
                  <w:r>
                    <w:rPr>
                      <w:rFonts w:hint="default" w:ascii="Times New Roman" w:hAnsi="Times New Roman" w:cs="Times New Roman"/>
                      <w:color w:val="auto"/>
                    </w:rPr>
                    <w:t>cm/s</w:t>
                  </w:r>
                </w:p>
              </w:tc>
            </w:tr>
            <w:tr w14:paraId="68FEA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85" w:type="pct"/>
                  <w:vAlign w:val="center"/>
                </w:tcPr>
                <w:p w14:paraId="2B678E0D">
                  <w:pPr>
                    <w:pStyle w:val="77"/>
                    <w:bidi w:val="0"/>
                    <w:rPr>
                      <w:rFonts w:hint="default" w:ascii="Times New Roman" w:hAnsi="Times New Roman" w:cs="Times New Roman"/>
                      <w:color w:val="auto"/>
                    </w:rPr>
                  </w:pPr>
                  <w:r>
                    <w:rPr>
                      <w:rFonts w:hint="default" w:ascii="Times New Roman" w:hAnsi="Times New Roman" w:cs="Times New Roman"/>
                      <w:color w:val="auto"/>
                    </w:rPr>
                    <w:t>除重点防渗、一般防渗外的其他区域</w:t>
                  </w:r>
                </w:p>
              </w:tc>
              <w:tc>
                <w:tcPr>
                  <w:tcW w:w="1119" w:type="pct"/>
                  <w:vAlign w:val="center"/>
                </w:tcPr>
                <w:p w14:paraId="4ECF3735">
                  <w:pPr>
                    <w:pStyle w:val="77"/>
                    <w:bidi w:val="0"/>
                    <w:rPr>
                      <w:rFonts w:hint="default" w:ascii="Times New Roman" w:hAnsi="Times New Roman" w:cs="Times New Roman"/>
                      <w:color w:val="auto"/>
                    </w:rPr>
                  </w:pPr>
                  <w:r>
                    <w:rPr>
                      <w:rFonts w:hint="default" w:ascii="Times New Roman" w:hAnsi="Times New Roman" w:cs="Times New Roman"/>
                      <w:color w:val="auto"/>
                    </w:rPr>
                    <w:t>地面</w:t>
                  </w:r>
                </w:p>
              </w:tc>
              <w:tc>
                <w:tcPr>
                  <w:tcW w:w="674" w:type="pct"/>
                  <w:vAlign w:val="center"/>
                </w:tcPr>
                <w:p w14:paraId="70BF5C2D">
                  <w:pPr>
                    <w:pStyle w:val="77"/>
                    <w:bidi w:val="0"/>
                    <w:rPr>
                      <w:rFonts w:hint="default" w:ascii="Times New Roman" w:hAnsi="Times New Roman" w:cs="Times New Roman"/>
                      <w:color w:val="auto"/>
                    </w:rPr>
                  </w:pPr>
                  <w:r>
                    <w:rPr>
                      <w:rFonts w:hint="default" w:ascii="Times New Roman" w:hAnsi="Times New Roman" w:cs="Times New Roman"/>
                      <w:color w:val="auto"/>
                    </w:rPr>
                    <w:t>简单防渗区</w:t>
                  </w:r>
                </w:p>
              </w:tc>
              <w:tc>
                <w:tcPr>
                  <w:tcW w:w="2020" w:type="pct"/>
                  <w:vAlign w:val="center"/>
                </w:tcPr>
                <w:p w14:paraId="07E1D61A">
                  <w:pPr>
                    <w:pStyle w:val="77"/>
                    <w:bidi w:val="0"/>
                    <w:rPr>
                      <w:rFonts w:hint="default" w:ascii="Times New Roman" w:hAnsi="Times New Roman" w:cs="Times New Roman"/>
                      <w:color w:val="auto"/>
                    </w:rPr>
                  </w:pPr>
                  <w:r>
                    <w:rPr>
                      <w:rFonts w:hint="default" w:ascii="Times New Roman" w:hAnsi="Times New Roman" w:cs="Times New Roman"/>
                      <w:color w:val="auto"/>
                    </w:rPr>
                    <w:t>一般地面硬化</w:t>
                  </w:r>
                </w:p>
              </w:tc>
            </w:tr>
          </w:tbl>
          <w:p w14:paraId="0A8BE806">
            <w:pPr>
              <w:spacing w:after="0" w:line="360" w:lineRule="auto"/>
              <w:rPr>
                <w:rFonts w:ascii="Times New Roman" w:hAnsi="Times New Roman" w:eastAsia="宋体" w:cs="Times New Roman"/>
                <w:b/>
                <w:bCs/>
                <w:color w:val="auto"/>
                <w:kern w:val="2"/>
                <w:szCs w:val="24"/>
              </w:rPr>
            </w:pPr>
            <w:r>
              <w:rPr>
                <w:rFonts w:ascii="Times New Roman" w:hAnsi="Times New Roman" w:eastAsia="宋体" w:cs="Times New Roman"/>
                <w:b/>
                <w:bCs/>
                <w:color w:val="auto"/>
                <w:kern w:val="2"/>
                <w:szCs w:val="24"/>
              </w:rPr>
              <w:t>4.</w:t>
            </w:r>
            <w:r>
              <w:rPr>
                <w:rFonts w:hint="eastAsia" w:cs="Times New Roman"/>
                <w:b/>
                <w:bCs/>
                <w:color w:val="auto"/>
                <w:kern w:val="2"/>
                <w:szCs w:val="24"/>
                <w:lang w:val="en-US" w:eastAsia="zh-CN"/>
              </w:rPr>
              <w:t>9</w:t>
            </w:r>
            <w:r>
              <w:rPr>
                <w:rFonts w:ascii="Times New Roman" w:hAnsi="Times New Roman" w:eastAsia="宋体" w:cs="Times New Roman"/>
                <w:b/>
                <w:bCs/>
                <w:color w:val="auto"/>
                <w:kern w:val="2"/>
                <w:szCs w:val="24"/>
              </w:rPr>
              <w:t xml:space="preserve"> </w:t>
            </w:r>
            <w:r>
              <w:rPr>
                <w:rFonts w:hint="eastAsia" w:ascii="Times New Roman" w:hAnsi="Times New Roman" w:eastAsia="宋体" w:cs="Times New Roman"/>
                <w:b/>
                <w:bCs/>
                <w:color w:val="auto"/>
                <w:kern w:val="2"/>
                <w:szCs w:val="24"/>
              </w:rPr>
              <w:t>环境风险</w:t>
            </w:r>
          </w:p>
          <w:p w14:paraId="0F80FF03">
            <w:pPr>
              <w:pStyle w:val="771"/>
              <w:bidi w:val="0"/>
              <w:rPr>
                <w:rFonts w:hint="eastAsia"/>
                <w:color w:val="auto"/>
                <w:lang w:val="en-US" w:eastAsia="zh-CN"/>
              </w:rPr>
            </w:pPr>
            <w:r>
              <w:rPr>
                <w:rFonts w:hint="eastAsia"/>
                <w:color w:val="auto"/>
                <w:lang w:val="en-US" w:eastAsia="zh-CN"/>
              </w:rPr>
              <w:t>环境风险评价的目的是通过分析建设项目运营期内可能发生的事故类型和对环境的影响程度和范围，以确定项目风险可承受程度，从而为工程设计提供参考依据。根据工程分析和原料特性可知，项目具有一定的事故风险性，需要进行必要的环境事故风险分析，并在此基础上提出降低事故风险的措施，以确保事故时生产加油站内外的环境质量仍符合功能类别要求、职工及周边影响区内人群及生物的健康和生命安全有所保障。项目环境风险评价主要依据《建设项目环境风险评价技术导则》（HJ169-2018）的要求进行评价。</w:t>
            </w:r>
          </w:p>
          <w:p w14:paraId="7145D0DD">
            <w:pPr>
              <w:pStyle w:val="771"/>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1、环境风险评价</w:t>
            </w:r>
          </w:p>
          <w:p w14:paraId="45A59138">
            <w:pPr>
              <w:pStyle w:val="771"/>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（1）环境风险潜势初判</w:t>
            </w:r>
          </w:p>
          <w:p w14:paraId="1FB8483E">
            <w:pPr>
              <w:pStyle w:val="771"/>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计算所涉及的每种危险物质在厂界内的最大存在总量与其临界值的比值Q。在不同厂区的同一种物质，按其在厂界内的最大存在总量计算。对于长输管线项目，按照两个截断阀室之间管段危险物质最大存在总量计算。</w:t>
            </w:r>
          </w:p>
          <w:p w14:paraId="23DEF41A">
            <w:pPr>
              <w:pStyle w:val="771"/>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当只涉及一种危险物质时，计算该物质的总量与其临界量比值，即为Q；</w:t>
            </w:r>
          </w:p>
          <w:p w14:paraId="63231FFC">
            <w:pPr>
              <w:pStyle w:val="771"/>
              <w:bidi w:val="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当存在多种危险物质时，则按下式计算物质总量与其临界量比值（Q）：</w:t>
            </w:r>
          </w:p>
          <w:p w14:paraId="32D197EA">
            <w:pPr>
              <w:ind w:firstLine="480"/>
              <w:jc w:val="center"/>
              <w:rPr>
                <w:color w:val="auto"/>
              </w:rPr>
            </w:pPr>
            <w:r>
              <w:rPr>
                <w:color w:val="auto"/>
              </w:rPr>
              <w:t>Q=q</w:t>
            </w:r>
            <w:r>
              <w:rPr>
                <w:color w:val="auto"/>
                <w:vertAlign w:val="subscript"/>
              </w:rPr>
              <w:t>1</w:t>
            </w:r>
            <w:r>
              <w:rPr>
                <w:color w:val="auto"/>
              </w:rPr>
              <w:t>/Q</w:t>
            </w:r>
            <w:r>
              <w:rPr>
                <w:color w:val="auto"/>
                <w:vertAlign w:val="subscript"/>
              </w:rPr>
              <w:t>1</w:t>
            </w:r>
            <w:r>
              <w:rPr>
                <w:color w:val="auto"/>
              </w:rPr>
              <w:t>+q</w:t>
            </w:r>
            <w:r>
              <w:rPr>
                <w:color w:val="auto"/>
                <w:vertAlign w:val="subscript"/>
              </w:rPr>
              <w:t>2</w:t>
            </w:r>
            <w:r>
              <w:rPr>
                <w:color w:val="auto"/>
              </w:rPr>
              <w:t>/Q</w:t>
            </w:r>
            <w:r>
              <w:rPr>
                <w:color w:val="auto"/>
                <w:vertAlign w:val="subscript"/>
              </w:rPr>
              <w:t>2</w:t>
            </w:r>
            <w:r>
              <w:rPr>
                <w:color w:val="auto"/>
              </w:rPr>
              <w:t>+q</w:t>
            </w:r>
            <w:r>
              <w:rPr>
                <w:color w:val="auto"/>
                <w:vertAlign w:val="subscript"/>
              </w:rPr>
              <w:t>3</w:t>
            </w:r>
            <w:r>
              <w:rPr>
                <w:color w:val="auto"/>
              </w:rPr>
              <w:t>/Q</w:t>
            </w:r>
            <w:r>
              <w:rPr>
                <w:color w:val="auto"/>
                <w:vertAlign w:val="subscript"/>
              </w:rPr>
              <w:t>3</w:t>
            </w:r>
            <w:r>
              <w:rPr>
                <w:color w:val="auto"/>
              </w:rPr>
              <w:t>+…+q</w:t>
            </w:r>
            <w:r>
              <w:rPr>
                <w:color w:val="auto"/>
                <w:vertAlign w:val="subscript"/>
              </w:rPr>
              <w:t>n</w:t>
            </w:r>
            <w:r>
              <w:rPr>
                <w:color w:val="auto"/>
              </w:rPr>
              <w:t>/Q</w:t>
            </w:r>
            <w:r>
              <w:rPr>
                <w:color w:val="auto"/>
                <w:vertAlign w:val="subscript"/>
              </w:rPr>
              <w:t>n</w:t>
            </w:r>
          </w:p>
          <w:p w14:paraId="0A4BD4C2">
            <w:pPr>
              <w:ind w:firstLine="480"/>
              <w:rPr>
                <w:color w:val="auto"/>
              </w:rPr>
            </w:pPr>
            <w:r>
              <w:rPr>
                <w:rFonts w:hint="eastAsia"/>
                <w:color w:val="auto"/>
              </w:rPr>
              <w:t>式中：</w:t>
            </w:r>
          </w:p>
          <w:p w14:paraId="2F3E94E1">
            <w:pPr>
              <w:ind w:firstLine="960" w:firstLineChars="400"/>
              <w:rPr>
                <w:color w:val="auto"/>
              </w:rPr>
            </w:pPr>
            <w:r>
              <w:rPr>
                <w:color w:val="auto"/>
              </w:rPr>
              <w:t>q</w:t>
            </w:r>
            <w:r>
              <w:rPr>
                <w:color w:val="auto"/>
                <w:vertAlign w:val="subscript"/>
              </w:rPr>
              <w:t>1</w:t>
            </w:r>
            <w:r>
              <w:rPr>
                <w:color w:val="auto"/>
              </w:rPr>
              <w:t>，q</w:t>
            </w:r>
            <w:r>
              <w:rPr>
                <w:color w:val="auto"/>
                <w:vertAlign w:val="subscript"/>
              </w:rPr>
              <w:t>2</w:t>
            </w:r>
            <w:r>
              <w:rPr>
                <w:color w:val="auto"/>
              </w:rPr>
              <w:t>，q</w:t>
            </w:r>
            <w:r>
              <w:rPr>
                <w:color w:val="auto"/>
                <w:vertAlign w:val="subscript"/>
              </w:rPr>
              <w:t>3</w:t>
            </w:r>
            <w:r>
              <w:rPr>
                <w:color w:val="auto"/>
              </w:rPr>
              <w:t>，…，q</w:t>
            </w:r>
            <w:r>
              <w:rPr>
                <w:color w:val="auto"/>
                <w:vertAlign w:val="subscript"/>
              </w:rPr>
              <w:t>n</w:t>
            </w:r>
            <w:r>
              <w:rPr>
                <w:color w:val="auto"/>
              </w:rPr>
              <w:t>——每种危险物质</w:t>
            </w:r>
            <w:r>
              <w:rPr>
                <w:rFonts w:hint="eastAsia"/>
                <w:color w:val="auto"/>
              </w:rPr>
              <w:t>的最大存在总量</w:t>
            </w:r>
            <w:r>
              <w:rPr>
                <w:color w:val="auto"/>
              </w:rPr>
              <w:t>，t；</w:t>
            </w:r>
          </w:p>
          <w:p w14:paraId="69422414">
            <w:pPr>
              <w:ind w:firstLine="960" w:firstLineChars="400"/>
              <w:rPr>
                <w:color w:val="auto"/>
              </w:rPr>
            </w:pPr>
            <w:r>
              <w:rPr>
                <w:color w:val="auto"/>
              </w:rPr>
              <w:t>Q</w:t>
            </w:r>
            <w:r>
              <w:rPr>
                <w:color w:val="auto"/>
                <w:vertAlign w:val="subscript"/>
              </w:rPr>
              <w:t>1</w:t>
            </w:r>
            <w:r>
              <w:rPr>
                <w:color w:val="auto"/>
              </w:rPr>
              <w:t>，Q</w:t>
            </w:r>
            <w:r>
              <w:rPr>
                <w:color w:val="auto"/>
                <w:vertAlign w:val="subscript"/>
              </w:rPr>
              <w:t>2</w:t>
            </w:r>
            <w:r>
              <w:rPr>
                <w:color w:val="auto"/>
              </w:rPr>
              <w:t>，Q</w:t>
            </w:r>
            <w:r>
              <w:rPr>
                <w:color w:val="auto"/>
                <w:vertAlign w:val="subscript"/>
              </w:rPr>
              <w:t>3</w:t>
            </w:r>
            <w:r>
              <w:rPr>
                <w:color w:val="auto"/>
              </w:rPr>
              <w:t>，…，Q</w:t>
            </w:r>
            <w:r>
              <w:rPr>
                <w:color w:val="auto"/>
                <w:vertAlign w:val="subscript"/>
              </w:rPr>
              <w:t>n</w:t>
            </w:r>
            <w:r>
              <w:rPr>
                <w:color w:val="auto"/>
              </w:rPr>
              <w:t>——</w:t>
            </w:r>
            <w:r>
              <w:rPr>
                <w:rFonts w:hint="eastAsia"/>
                <w:color w:val="auto"/>
              </w:rPr>
              <w:t>每种危险物质的</w:t>
            </w:r>
            <w:r>
              <w:rPr>
                <w:color w:val="auto"/>
              </w:rPr>
              <w:t>临界量，t。</w:t>
            </w:r>
          </w:p>
          <w:p w14:paraId="3FAB319F">
            <w:pPr>
              <w:ind w:firstLine="960" w:firstLineChars="400"/>
              <w:rPr>
                <w:color w:val="auto"/>
              </w:rPr>
            </w:pPr>
            <w:r>
              <w:rPr>
                <w:rFonts w:hint="eastAsia"/>
                <w:color w:val="auto"/>
              </w:rPr>
              <w:t>当Q＜1时，该项目环境风险潜势为</w:t>
            </w:r>
            <w:r>
              <w:rPr>
                <w:color w:val="auto"/>
              </w:rPr>
              <w:t>Ⅰ</w:t>
            </w:r>
            <w:r>
              <w:rPr>
                <w:rFonts w:hint="eastAsia"/>
                <w:color w:val="auto"/>
              </w:rPr>
              <w:t>。</w:t>
            </w:r>
          </w:p>
          <w:p w14:paraId="5F59B0B2">
            <w:pPr>
              <w:pStyle w:val="771"/>
              <w:bidi w:val="0"/>
              <w:rPr>
                <w:rFonts w:hint="eastAsia"/>
                <w:color w:val="auto"/>
              </w:rPr>
            </w:pPr>
            <w:r>
              <w:rPr>
                <w:rFonts w:hint="eastAsia"/>
                <w:color w:val="auto"/>
              </w:rPr>
              <w:t>当Q≥1时，</w:t>
            </w:r>
            <w:r>
              <w:rPr>
                <w:rFonts w:hint="eastAsia"/>
                <w:color w:val="auto"/>
                <w:lang w:eastAsia="zh-CN"/>
              </w:rPr>
              <w:t>将</w:t>
            </w:r>
            <w:r>
              <w:rPr>
                <w:rFonts w:hint="eastAsia"/>
                <w:color w:val="auto"/>
              </w:rPr>
              <w:t>Q值划分为：（1）1≤Q＜10；（2）10≤Q＜100；（3）Q≥100。</w:t>
            </w:r>
          </w:p>
          <w:p w14:paraId="4681FD62">
            <w:pPr>
              <w:pStyle w:val="771"/>
              <w:bidi w:val="0"/>
              <w:rPr>
                <w:rFonts w:hint="eastAsia"/>
                <w:color w:val="auto"/>
              </w:rPr>
            </w:pPr>
          </w:p>
          <w:p w14:paraId="022851CA">
            <w:pPr>
              <w:pStyle w:val="771"/>
              <w:bidi w:val="0"/>
              <w:rPr>
                <w:rFonts w:hint="eastAsia"/>
                <w:color w:val="auto"/>
              </w:rPr>
            </w:pPr>
          </w:p>
          <w:p w14:paraId="6A384775">
            <w:pPr>
              <w:pStyle w:val="15"/>
              <w:rPr>
                <w:color w:val="auto"/>
              </w:rPr>
            </w:pPr>
            <w:r>
              <w:rPr>
                <w:color w:val="auto"/>
              </w:rPr>
              <w:t xml:space="preserve">表 </w:t>
            </w:r>
            <w:r>
              <w:rPr>
                <w:rFonts w:hint="eastAsia"/>
                <w:color w:val="auto"/>
              </w:rPr>
              <w:t>4-</w:t>
            </w:r>
            <w:r>
              <w:rPr>
                <w:rFonts w:hint="eastAsia"/>
                <w:color w:val="auto"/>
                <w:lang w:val="en-US" w:eastAsia="zh-CN"/>
              </w:rPr>
              <w:t>1</w:t>
            </w:r>
            <w:r>
              <w:rPr>
                <w:color w:val="auto"/>
              </w:rPr>
              <w:fldChar w:fldCharType="begin"/>
            </w:r>
            <w:r>
              <w:rPr>
                <w:color w:val="auto"/>
              </w:rPr>
              <w:instrText xml:space="preserve"> SEQ 表 \* ARABIC \s 1 </w:instrText>
            </w:r>
            <w:r>
              <w:rPr>
                <w:color w:val="auto"/>
              </w:rPr>
              <w:fldChar w:fldCharType="separate"/>
            </w:r>
            <w:r>
              <w:rPr>
                <w:color w:val="auto"/>
              </w:rPr>
              <w:t>2</w:t>
            </w:r>
            <w:r>
              <w:rPr>
                <w:color w:val="auto"/>
              </w:rPr>
              <w:fldChar w:fldCharType="end"/>
            </w:r>
            <w:r>
              <w:rPr>
                <w:rFonts w:hint="eastAsia"/>
                <w:color w:val="auto"/>
              </w:rPr>
              <w:t xml:space="preserve"> </w:t>
            </w:r>
            <w:r>
              <w:rPr>
                <w:color w:val="auto"/>
              </w:rPr>
              <w:t>物质的种类、特性及最大贮存量</w:t>
            </w:r>
          </w:p>
          <w:tbl>
            <w:tblPr>
              <w:tblStyle w:val="53"/>
              <w:tblW w:w="4998" w:type="pct"/>
              <w:jc w:val="center"/>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autofit"/>
              <w:tblCellMar>
                <w:top w:w="0" w:type="dxa"/>
                <w:left w:w="0" w:type="dxa"/>
                <w:bottom w:w="0" w:type="dxa"/>
                <w:right w:w="0" w:type="dxa"/>
              </w:tblCellMar>
            </w:tblPr>
            <w:tblGrid>
              <w:gridCol w:w="935"/>
              <w:gridCol w:w="2353"/>
              <w:gridCol w:w="2047"/>
              <w:gridCol w:w="1305"/>
              <w:gridCol w:w="1865"/>
            </w:tblGrid>
            <w:tr w14:paraId="75142BA9">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cantSplit/>
                <w:trHeight w:val="603" w:hRule="exact"/>
                <w:jc w:val="center"/>
              </w:trPr>
              <w:tc>
                <w:tcPr>
                  <w:tcW w:w="550" w:type="pct"/>
                  <w:tcBorders>
                    <w:top w:val="single" w:color="auto" w:sz="4" w:space="0"/>
                    <w:left w:val="single" w:color="auto" w:sz="4" w:space="0"/>
                  </w:tcBorders>
                  <w:vAlign w:val="center"/>
                </w:tcPr>
                <w:p w14:paraId="597EE454">
                  <w:pPr>
                    <w:pStyle w:val="77"/>
                    <w:rPr>
                      <w:b/>
                      <w:bCs/>
                      <w:color w:val="auto"/>
                    </w:rPr>
                  </w:pPr>
                  <w:r>
                    <w:rPr>
                      <w:b/>
                      <w:bCs/>
                      <w:color w:val="auto"/>
                    </w:rPr>
                    <w:t>序号</w:t>
                  </w:r>
                </w:p>
              </w:tc>
              <w:tc>
                <w:tcPr>
                  <w:tcW w:w="1383" w:type="pct"/>
                  <w:tcBorders>
                    <w:top w:val="single" w:color="auto" w:sz="4" w:space="0"/>
                  </w:tcBorders>
                  <w:vAlign w:val="center"/>
                </w:tcPr>
                <w:p w14:paraId="4406F373">
                  <w:pPr>
                    <w:pStyle w:val="77"/>
                    <w:rPr>
                      <w:b/>
                      <w:bCs/>
                      <w:color w:val="auto"/>
                    </w:rPr>
                  </w:pPr>
                  <w:r>
                    <w:rPr>
                      <w:b/>
                      <w:bCs/>
                      <w:color w:val="auto"/>
                    </w:rPr>
                    <w:t>危险物质名称</w:t>
                  </w:r>
                </w:p>
              </w:tc>
              <w:tc>
                <w:tcPr>
                  <w:tcW w:w="1203" w:type="pct"/>
                  <w:tcBorders>
                    <w:top w:val="single" w:color="auto" w:sz="4" w:space="0"/>
                  </w:tcBorders>
                  <w:vAlign w:val="center"/>
                </w:tcPr>
                <w:p w14:paraId="1183C6BA">
                  <w:pPr>
                    <w:pStyle w:val="77"/>
                    <w:rPr>
                      <w:rFonts w:hint="eastAsia" w:eastAsia="宋体"/>
                      <w:b/>
                      <w:bCs/>
                      <w:color w:val="auto"/>
                      <w:lang w:eastAsia="zh-CN"/>
                    </w:rPr>
                  </w:pPr>
                  <w:r>
                    <w:rPr>
                      <w:b/>
                      <w:bCs/>
                      <w:color w:val="auto"/>
                    </w:rPr>
                    <w:t>最大存在总量</w:t>
                  </w:r>
                  <w:r>
                    <w:rPr>
                      <w:rFonts w:hint="eastAsia"/>
                      <w:b/>
                      <w:bCs/>
                      <w:color w:val="auto"/>
                      <w:lang w:eastAsia="zh-CN"/>
                    </w:rPr>
                    <w:t>（</w:t>
                  </w:r>
                  <w:r>
                    <w:rPr>
                      <w:b/>
                      <w:bCs/>
                      <w:color w:val="auto"/>
                    </w:rPr>
                    <w:t>t</w:t>
                  </w:r>
                  <w:r>
                    <w:rPr>
                      <w:rFonts w:hint="eastAsia"/>
                      <w:b/>
                      <w:bCs/>
                      <w:color w:val="auto"/>
                      <w:lang w:eastAsia="zh-CN"/>
                    </w:rPr>
                    <w:t>）</w:t>
                  </w:r>
                </w:p>
              </w:tc>
              <w:tc>
                <w:tcPr>
                  <w:tcW w:w="766" w:type="pct"/>
                  <w:tcBorders>
                    <w:top w:val="single" w:color="auto" w:sz="4" w:space="0"/>
                  </w:tcBorders>
                  <w:vAlign w:val="center"/>
                </w:tcPr>
                <w:p w14:paraId="5EAFBFA9">
                  <w:pPr>
                    <w:pStyle w:val="77"/>
                    <w:rPr>
                      <w:rFonts w:hint="eastAsia" w:eastAsia="宋体"/>
                      <w:b/>
                      <w:bCs/>
                      <w:color w:val="auto"/>
                      <w:lang w:eastAsia="zh-CN"/>
                    </w:rPr>
                  </w:pPr>
                  <w:r>
                    <w:rPr>
                      <w:b/>
                      <w:bCs/>
                      <w:color w:val="auto"/>
                    </w:rPr>
                    <w:t>临界量</w:t>
                  </w:r>
                  <w:r>
                    <w:rPr>
                      <w:rFonts w:hint="eastAsia"/>
                      <w:b/>
                      <w:bCs/>
                      <w:color w:val="auto"/>
                      <w:lang w:eastAsia="zh-CN"/>
                    </w:rPr>
                    <w:t>（</w:t>
                  </w:r>
                  <w:r>
                    <w:rPr>
                      <w:b/>
                      <w:bCs/>
                      <w:color w:val="auto"/>
                    </w:rPr>
                    <w:t>t</w:t>
                  </w:r>
                  <w:r>
                    <w:rPr>
                      <w:rFonts w:hint="eastAsia"/>
                      <w:b/>
                      <w:bCs/>
                      <w:color w:val="auto"/>
                      <w:lang w:eastAsia="zh-CN"/>
                    </w:rPr>
                    <w:t>）</w:t>
                  </w:r>
                </w:p>
              </w:tc>
              <w:tc>
                <w:tcPr>
                  <w:tcW w:w="1096" w:type="pct"/>
                  <w:tcBorders>
                    <w:top w:val="single" w:color="auto" w:sz="4" w:space="0"/>
                    <w:right w:val="single" w:color="auto" w:sz="4" w:space="0"/>
                  </w:tcBorders>
                  <w:vAlign w:val="center"/>
                </w:tcPr>
                <w:p w14:paraId="5023F3C3">
                  <w:pPr>
                    <w:pStyle w:val="77"/>
                    <w:rPr>
                      <w:b/>
                      <w:bCs/>
                      <w:color w:val="auto"/>
                    </w:rPr>
                  </w:pPr>
                  <w:r>
                    <w:rPr>
                      <w:b/>
                      <w:bCs/>
                      <w:color w:val="auto"/>
                    </w:rPr>
                    <w:t>该种危险物质Q值</w:t>
                  </w:r>
                </w:p>
              </w:tc>
            </w:tr>
            <w:tr w14:paraId="1712DCAE">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cantSplit/>
                <w:trHeight w:val="993" w:hRule="exact"/>
                <w:jc w:val="center"/>
              </w:trPr>
              <w:tc>
                <w:tcPr>
                  <w:tcW w:w="550" w:type="pct"/>
                  <w:tcBorders>
                    <w:left w:val="single" w:color="auto" w:sz="4" w:space="0"/>
                  </w:tcBorders>
                  <w:shd w:val="clear" w:color="auto" w:fill="auto"/>
                  <w:vAlign w:val="center"/>
                </w:tcPr>
                <w:p w14:paraId="7A8A9771">
                  <w:pPr>
                    <w:pStyle w:val="77"/>
                    <w:rPr>
                      <w:rFonts w:hint="eastAsia" w:eastAsia="宋体"/>
                      <w:color w:val="auto"/>
                      <w:lang w:eastAsia="zh-CN"/>
                    </w:rPr>
                  </w:pPr>
                  <w:r>
                    <w:rPr>
                      <w:rFonts w:hint="eastAsia"/>
                      <w:color w:val="auto"/>
                      <w:lang w:val="en-US" w:eastAsia="zh-CN"/>
                    </w:rPr>
                    <w:t>1</w:t>
                  </w:r>
                </w:p>
              </w:tc>
              <w:tc>
                <w:tcPr>
                  <w:tcW w:w="1383" w:type="pct"/>
                  <w:shd w:val="clear" w:color="auto" w:fill="auto"/>
                  <w:vAlign w:val="center"/>
                </w:tcPr>
                <w:p w14:paraId="29D2CF50">
                  <w:pPr>
                    <w:pStyle w:val="77"/>
                    <w:rPr>
                      <w:rFonts w:hint="eastAsia" w:eastAsia="宋体"/>
                      <w:color w:val="auto"/>
                      <w:lang w:eastAsia="zh-CN"/>
                    </w:rPr>
                  </w:pPr>
                  <w:r>
                    <w:rPr>
                      <w:rFonts w:hint="eastAsia"/>
                      <w:color w:val="auto"/>
                    </w:rPr>
                    <w:t>危险废物</w:t>
                  </w:r>
                  <w:r>
                    <w:rPr>
                      <w:rFonts w:hint="eastAsia"/>
                      <w:color w:val="auto"/>
                      <w:lang w:eastAsia="zh-CN"/>
                    </w:rPr>
                    <w:t>（含废机油、废机油桶、</w:t>
                  </w:r>
                  <w:r>
                    <w:rPr>
                      <w:rFonts w:hint="eastAsia"/>
                      <w:color w:val="auto"/>
                      <w:szCs w:val="18"/>
                      <w:highlight w:val="none"/>
                      <w:lang w:val="en-US" w:eastAsia="zh-CN"/>
                    </w:rPr>
                    <w:t>废含油抹布和手套等</w:t>
                  </w:r>
                  <w:r>
                    <w:rPr>
                      <w:rFonts w:hint="eastAsia"/>
                      <w:color w:val="auto"/>
                      <w:lang w:eastAsia="zh-CN"/>
                    </w:rPr>
                    <w:t>）</w:t>
                  </w:r>
                </w:p>
              </w:tc>
              <w:tc>
                <w:tcPr>
                  <w:tcW w:w="1203" w:type="pct"/>
                  <w:shd w:val="clear" w:color="auto" w:fill="auto"/>
                  <w:vAlign w:val="center"/>
                </w:tcPr>
                <w:p w14:paraId="2D3CA0D9">
                  <w:pPr>
                    <w:pStyle w:val="77"/>
                    <w:rPr>
                      <w:rFonts w:hint="default" w:eastAsia="宋体"/>
                      <w:color w:val="auto"/>
                      <w:lang w:val="en-US" w:eastAsia="zh-CN"/>
                    </w:rPr>
                  </w:pPr>
                  <w:r>
                    <w:rPr>
                      <w:rFonts w:hint="eastAsia"/>
                      <w:color w:val="auto"/>
                      <w:lang w:val="en-US" w:eastAsia="zh-CN"/>
                    </w:rPr>
                    <w:t>0.35</w:t>
                  </w:r>
                </w:p>
              </w:tc>
              <w:tc>
                <w:tcPr>
                  <w:tcW w:w="766" w:type="pct"/>
                  <w:shd w:val="clear" w:color="auto" w:fill="auto"/>
                  <w:vAlign w:val="center"/>
                </w:tcPr>
                <w:p w14:paraId="22CC2D4D">
                  <w:pPr>
                    <w:pStyle w:val="77"/>
                    <w:rPr>
                      <w:color w:val="auto"/>
                    </w:rPr>
                  </w:pPr>
                  <w:r>
                    <w:rPr>
                      <w:rFonts w:hint="eastAsia"/>
                      <w:color w:val="auto"/>
                    </w:rPr>
                    <w:t>50</w:t>
                  </w:r>
                </w:p>
              </w:tc>
              <w:tc>
                <w:tcPr>
                  <w:tcW w:w="1096" w:type="pct"/>
                  <w:tcBorders>
                    <w:right w:val="single" w:color="auto" w:sz="4" w:space="0"/>
                  </w:tcBorders>
                  <w:shd w:val="clear" w:color="auto" w:fill="auto"/>
                  <w:vAlign w:val="center"/>
                </w:tcPr>
                <w:p w14:paraId="20E70BF6">
                  <w:pPr>
                    <w:pStyle w:val="77"/>
                    <w:rPr>
                      <w:rFonts w:hint="default" w:eastAsia="宋体"/>
                      <w:color w:val="auto"/>
                      <w:lang w:val="en-US" w:eastAsia="zh-CN"/>
                    </w:rPr>
                  </w:pPr>
                  <w:r>
                    <w:rPr>
                      <w:rFonts w:hint="eastAsia"/>
                      <w:color w:val="auto"/>
                      <w:lang w:val="en-US" w:eastAsia="zh-CN"/>
                    </w:rPr>
                    <w:t>0.007</w:t>
                  </w:r>
                </w:p>
              </w:tc>
            </w:tr>
            <w:tr w14:paraId="1DB2ECFB">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0" w:type="dxa"/>
                  <w:bottom w:w="0" w:type="dxa"/>
                  <w:right w:w="0" w:type="dxa"/>
                </w:tblCellMar>
              </w:tblPrEx>
              <w:trPr>
                <w:cantSplit/>
                <w:trHeight w:val="415" w:hRule="exact"/>
                <w:jc w:val="center"/>
              </w:trPr>
              <w:tc>
                <w:tcPr>
                  <w:tcW w:w="3903" w:type="pct"/>
                  <w:gridSpan w:val="4"/>
                  <w:tcBorders>
                    <w:left w:val="single" w:color="auto" w:sz="4" w:space="0"/>
                    <w:bottom w:val="single" w:color="auto" w:sz="4" w:space="0"/>
                  </w:tcBorders>
                  <w:vAlign w:val="center"/>
                </w:tcPr>
                <w:p w14:paraId="4839740C">
                  <w:pPr>
                    <w:pStyle w:val="77"/>
                    <w:rPr>
                      <w:color w:val="auto"/>
                    </w:rPr>
                  </w:pPr>
                  <w:r>
                    <w:rPr>
                      <w:color w:val="auto"/>
                    </w:rPr>
                    <w:t>项目Q值Σ</w:t>
                  </w:r>
                </w:p>
              </w:tc>
              <w:tc>
                <w:tcPr>
                  <w:tcW w:w="1096" w:type="pct"/>
                  <w:tcBorders>
                    <w:bottom w:val="single" w:color="auto" w:sz="4" w:space="0"/>
                    <w:right w:val="single" w:color="auto" w:sz="4" w:space="0"/>
                  </w:tcBorders>
                  <w:vAlign w:val="center"/>
                </w:tcPr>
                <w:p w14:paraId="4133DB99">
                  <w:pPr>
                    <w:pStyle w:val="77"/>
                    <w:rPr>
                      <w:rFonts w:hint="default" w:eastAsia="宋体"/>
                      <w:color w:val="auto"/>
                      <w:lang w:val="en-US" w:eastAsia="zh-CN"/>
                    </w:rPr>
                  </w:pPr>
                  <w:r>
                    <w:rPr>
                      <w:rFonts w:hint="eastAsia"/>
                      <w:color w:val="auto"/>
                      <w:lang w:val="en-US" w:eastAsia="zh-CN"/>
                    </w:rPr>
                    <w:t>0.007</w:t>
                  </w:r>
                </w:p>
              </w:tc>
            </w:tr>
          </w:tbl>
          <w:p w14:paraId="3B7CBA7C">
            <w:pPr>
              <w:pStyle w:val="771"/>
              <w:bidi w:val="0"/>
              <w:rPr>
                <w:rFonts w:hint="eastAsia"/>
                <w:color w:val="auto"/>
              </w:rPr>
            </w:pPr>
            <w:r>
              <w:rPr>
                <w:rFonts w:hint="eastAsia"/>
                <w:color w:val="auto"/>
              </w:rPr>
              <w:t>由于</w:t>
            </w:r>
            <w:r>
              <w:rPr>
                <w:color w:val="auto"/>
              </w:rPr>
              <w:t>Q=0.</w:t>
            </w:r>
            <w:r>
              <w:rPr>
                <w:rFonts w:hint="eastAsia"/>
                <w:color w:val="auto"/>
                <w:lang w:val="en-US" w:eastAsia="zh-CN"/>
              </w:rPr>
              <w:t>007</w:t>
            </w:r>
            <w:r>
              <w:rPr>
                <w:color w:val="auto"/>
              </w:rPr>
              <w:t>＜1</w:t>
            </w:r>
            <w:r>
              <w:rPr>
                <w:rFonts w:hint="eastAsia"/>
                <w:color w:val="auto"/>
              </w:rPr>
              <w:t>，因此本项目的环境风险潜势等级为Ⅰ</w:t>
            </w:r>
            <w:r>
              <w:rPr>
                <w:color w:val="auto"/>
              </w:rPr>
              <w:t>，对比评价等级判定表可知，本项目环境风险评价工作等级为简单分析</w:t>
            </w:r>
            <w:r>
              <w:rPr>
                <w:rFonts w:hint="eastAsia"/>
                <w:color w:val="auto"/>
              </w:rPr>
              <w:t>。</w:t>
            </w:r>
          </w:p>
          <w:p w14:paraId="3E4450D6">
            <w:pPr>
              <w:pStyle w:val="776"/>
              <w:ind w:firstLine="480"/>
              <w:rPr>
                <w:color w:val="auto"/>
                <w:highlight w:val="none"/>
              </w:rPr>
            </w:pPr>
            <w:r>
              <w:rPr>
                <w:rFonts w:eastAsia="Times New Roman"/>
                <w:color w:val="auto"/>
                <w:highlight w:val="none"/>
              </w:rPr>
              <w:t>2</w:t>
            </w:r>
            <w:r>
              <w:rPr>
                <w:color w:val="auto"/>
                <w:highlight w:val="none"/>
              </w:rPr>
              <w:t>、风险评价工作等级</w:t>
            </w:r>
          </w:p>
          <w:p w14:paraId="0C8DFA5C">
            <w:pPr>
              <w:pStyle w:val="776"/>
              <w:ind w:firstLine="480"/>
              <w:rPr>
                <w:color w:val="auto"/>
                <w:highlight w:val="none"/>
              </w:rPr>
            </w:pPr>
            <w:r>
              <w:rPr>
                <w:color w:val="auto"/>
                <w:highlight w:val="none"/>
              </w:rPr>
              <w:t>根据《建设项目环境风险评价技术导则》（</w:t>
            </w:r>
            <w:r>
              <w:rPr>
                <w:rFonts w:eastAsia="Times New Roman"/>
                <w:color w:val="auto"/>
                <w:highlight w:val="none"/>
              </w:rPr>
              <w:t>HJ/T</w:t>
            </w:r>
            <w:r>
              <w:rPr>
                <w:rFonts w:eastAsia="Times New Roman"/>
                <w:color w:val="auto"/>
                <w:spacing w:val="-31"/>
                <w:highlight w:val="none"/>
              </w:rPr>
              <w:t xml:space="preserve"> </w:t>
            </w:r>
            <w:r>
              <w:rPr>
                <w:rFonts w:eastAsia="Times New Roman"/>
                <w:color w:val="auto"/>
                <w:highlight w:val="none"/>
              </w:rPr>
              <w:t>169-2018</w:t>
            </w:r>
            <w:r>
              <w:rPr>
                <w:color w:val="auto"/>
                <w:spacing w:val="-1"/>
                <w:highlight w:val="none"/>
              </w:rPr>
              <w:t>），</w:t>
            </w:r>
            <w:r>
              <w:rPr>
                <w:color w:val="auto"/>
                <w:highlight w:val="none"/>
              </w:rPr>
              <w:t>环境风险评价工作等级划分为一级、二级、三级。根据</w:t>
            </w:r>
            <w:r>
              <w:rPr>
                <w:color w:val="auto"/>
                <w:spacing w:val="-3"/>
                <w:highlight w:val="none"/>
              </w:rPr>
              <w:t>建设项目涉及的物质及工艺系统危</w:t>
            </w:r>
            <w:r>
              <w:rPr>
                <w:color w:val="auto"/>
                <w:highlight w:val="none"/>
              </w:rPr>
              <w:t>险性和所在地的环境敏感性确定环境风险潜</w:t>
            </w:r>
            <w:r>
              <w:rPr>
                <w:color w:val="auto"/>
                <w:spacing w:val="-3"/>
                <w:highlight w:val="none"/>
              </w:rPr>
              <w:t>势，确定评价工作等级。风险潜势</w:t>
            </w:r>
            <w:r>
              <w:rPr>
                <w:color w:val="auto"/>
                <w:highlight w:val="none"/>
              </w:rPr>
              <w:t>为</w:t>
            </w:r>
            <w:r>
              <w:rPr>
                <w:rFonts w:eastAsia="Times New Roman"/>
                <w:color w:val="auto"/>
                <w:highlight w:val="none"/>
              </w:rPr>
              <w:t>IV</w:t>
            </w:r>
            <w:r>
              <w:rPr>
                <w:color w:val="auto"/>
                <w:highlight w:val="none"/>
              </w:rPr>
              <w:t>及以上，进行一级评价；风险潜势为</w:t>
            </w:r>
            <w:r>
              <w:rPr>
                <w:rFonts w:eastAsia="Times New Roman"/>
                <w:color w:val="auto"/>
                <w:highlight w:val="none"/>
              </w:rPr>
              <w:t>III</w:t>
            </w:r>
            <w:r>
              <w:rPr>
                <w:rFonts w:eastAsia="Times New Roman"/>
                <w:color w:val="auto"/>
                <w:spacing w:val="-28"/>
                <w:highlight w:val="none"/>
              </w:rPr>
              <w:t xml:space="preserve"> </w:t>
            </w:r>
            <w:r>
              <w:rPr>
                <w:color w:val="auto"/>
                <w:highlight w:val="none"/>
              </w:rPr>
              <w:t>，进行二级评价；风险潜势为</w:t>
            </w:r>
            <w:r>
              <w:rPr>
                <w:rFonts w:eastAsia="Times New Roman"/>
                <w:color w:val="auto"/>
                <w:highlight w:val="none"/>
              </w:rPr>
              <w:t>II</w:t>
            </w:r>
            <w:r>
              <w:rPr>
                <w:rFonts w:eastAsia="Times New Roman"/>
                <w:color w:val="auto"/>
                <w:spacing w:val="-32"/>
                <w:highlight w:val="none"/>
              </w:rPr>
              <w:t xml:space="preserve"> </w:t>
            </w:r>
            <w:r>
              <w:rPr>
                <w:color w:val="auto"/>
                <w:highlight w:val="none"/>
              </w:rPr>
              <w:t>，进行三级评价；</w:t>
            </w:r>
            <w:r>
              <w:rPr>
                <w:color w:val="auto"/>
                <w:spacing w:val="-3"/>
                <w:highlight w:val="none"/>
              </w:rPr>
              <w:t>本项目风险潜势为</w:t>
            </w:r>
            <w:r>
              <w:rPr>
                <w:color w:val="auto"/>
                <w:spacing w:val="-44"/>
                <w:highlight w:val="none"/>
              </w:rPr>
              <w:t xml:space="preserve"> </w:t>
            </w:r>
            <w:r>
              <w:rPr>
                <w:rFonts w:eastAsia="Times New Roman"/>
                <w:color w:val="auto"/>
                <w:spacing w:val="-3"/>
                <w:highlight w:val="none"/>
              </w:rPr>
              <w:t>I</w:t>
            </w:r>
            <w:r>
              <w:rPr>
                <w:rFonts w:eastAsia="Times New Roman"/>
                <w:color w:val="auto"/>
                <w:spacing w:val="-35"/>
                <w:highlight w:val="none"/>
              </w:rPr>
              <w:t xml:space="preserve"> </w:t>
            </w:r>
            <w:r>
              <w:rPr>
                <w:color w:val="auto"/>
                <w:spacing w:val="-3"/>
                <w:highlight w:val="none"/>
              </w:rPr>
              <w:t>，可开展简单分析。</w:t>
            </w:r>
          </w:p>
          <w:p w14:paraId="597773C2">
            <w:pPr>
              <w:pStyle w:val="15"/>
              <w:rPr>
                <w:rFonts w:hint="eastAsia" w:eastAsia="宋体"/>
                <w:color w:val="auto"/>
                <w:highlight w:val="none"/>
                <w:lang w:val="en-US" w:eastAsia="zh-CN"/>
              </w:rPr>
            </w:pPr>
            <w:r>
              <w:rPr>
                <w:color w:val="auto"/>
                <w:highlight w:val="none"/>
              </w:rPr>
              <w:t xml:space="preserve">表 </w:t>
            </w:r>
            <w:r>
              <w:rPr>
                <w:rFonts w:hint="eastAsia"/>
                <w:color w:val="auto"/>
                <w:highlight w:val="none"/>
                <w:lang w:val="en-US" w:eastAsia="zh-CN"/>
              </w:rPr>
              <w:t>4-1</w:t>
            </w:r>
            <w:r>
              <w:rPr>
                <w:color w:val="auto"/>
                <w:highlight w:val="none"/>
              </w:rPr>
              <w:fldChar w:fldCharType="begin"/>
            </w:r>
            <w:r>
              <w:rPr>
                <w:color w:val="auto"/>
                <w:highlight w:val="none"/>
              </w:rPr>
              <w:instrText xml:space="preserve"> SEQ 表 \* ARABIC \s 2 </w:instrText>
            </w:r>
            <w:r>
              <w:rPr>
                <w:color w:val="auto"/>
                <w:highlight w:val="none"/>
              </w:rPr>
              <w:fldChar w:fldCharType="separate"/>
            </w:r>
            <w:r>
              <w:rPr>
                <w:color w:val="auto"/>
                <w:highlight w:val="none"/>
              </w:rPr>
              <w:t>3</w:t>
            </w:r>
            <w:r>
              <w:rPr>
                <w:color w:val="auto"/>
                <w:highlight w:val="none"/>
              </w:rPr>
              <w:fldChar w:fldCharType="end"/>
            </w:r>
            <w:r>
              <w:rPr>
                <w:rFonts w:hint="eastAsia"/>
                <w:color w:val="auto"/>
                <w:highlight w:val="none"/>
                <w:lang w:val="en-US" w:eastAsia="zh-CN"/>
              </w:rPr>
              <w:t xml:space="preserve"> </w:t>
            </w:r>
            <w:r>
              <w:rPr>
                <w:color w:val="auto"/>
                <w:highlight w:val="none"/>
              </w:rPr>
              <w:t>环境风险评价工作等级</w:t>
            </w:r>
          </w:p>
          <w:tbl>
            <w:tblPr>
              <w:tblStyle w:val="245"/>
              <w:tblpPr w:leftFromText="180" w:rightFromText="180" w:vertAnchor="text" w:tblpXSpec="center" w:tblpY="1"/>
              <w:tblOverlap w:val="never"/>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039"/>
              <w:gridCol w:w="1619"/>
              <w:gridCol w:w="1620"/>
              <w:gridCol w:w="1620"/>
              <w:gridCol w:w="1625"/>
            </w:tblGrid>
            <w:tr w14:paraId="395CEA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933" w:type="dxa"/>
                  <w:vAlign w:val="center"/>
                </w:tcPr>
                <w:p w14:paraId="4BDFFA0A">
                  <w:pPr>
                    <w:pStyle w:val="777"/>
                    <w:framePr w:wrap="auto" w:vAnchor="margin" w:hAnchor="text" w:yAlign="inline"/>
                    <w:rPr>
                      <w:color w:val="auto"/>
                      <w:highlight w:val="none"/>
                    </w:rPr>
                  </w:pPr>
                  <w:r>
                    <w:rPr>
                      <w:color w:val="auto"/>
                      <w:highlight w:val="none"/>
                    </w:rPr>
                    <w:t>环境风险潜势</w:t>
                  </w:r>
                </w:p>
              </w:tc>
              <w:tc>
                <w:tcPr>
                  <w:tcW w:w="1535" w:type="dxa"/>
                  <w:vAlign w:val="center"/>
                </w:tcPr>
                <w:p w14:paraId="2C84A37D">
                  <w:pPr>
                    <w:pStyle w:val="777"/>
                    <w:framePr w:wrap="auto" w:vAnchor="margin" w:hAnchor="text" w:yAlign="inline"/>
                    <w:rPr>
                      <w:rFonts w:eastAsia="Times New Roman" w:cs="Times New Roman"/>
                      <w:color w:val="auto"/>
                      <w:sz w:val="13"/>
                      <w:szCs w:val="13"/>
                      <w:highlight w:val="none"/>
                    </w:rPr>
                  </w:pPr>
                  <w:r>
                    <w:rPr>
                      <w:rFonts w:eastAsia="Times New Roman" w:cs="Times New Roman"/>
                      <w:color w:val="auto"/>
                      <w:highlight w:val="none"/>
                    </w:rPr>
                    <w:t>IV</w:t>
                  </w:r>
                  <w:r>
                    <w:rPr>
                      <w:rFonts w:eastAsia="Times New Roman" w:cs="Times New Roman"/>
                      <w:color w:val="auto"/>
                      <w:spacing w:val="-27"/>
                      <w:highlight w:val="none"/>
                    </w:rPr>
                    <w:t xml:space="preserve"> </w:t>
                  </w:r>
                  <w:r>
                    <w:rPr>
                      <w:color w:val="auto"/>
                      <w:spacing w:val="3"/>
                      <w:highlight w:val="none"/>
                    </w:rPr>
                    <w:t>、</w:t>
                  </w:r>
                  <w:r>
                    <w:rPr>
                      <w:rFonts w:eastAsia="Times New Roman" w:cs="Times New Roman"/>
                      <w:color w:val="auto"/>
                      <w:highlight w:val="none"/>
                    </w:rPr>
                    <w:t>IV</w:t>
                  </w:r>
                  <w:r>
                    <w:rPr>
                      <w:rFonts w:eastAsia="Times New Roman" w:cs="Times New Roman"/>
                      <w:color w:val="auto"/>
                      <w:spacing w:val="3"/>
                      <w:position w:val="6"/>
                      <w:sz w:val="13"/>
                      <w:szCs w:val="13"/>
                      <w:highlight w:val="none"/>
                    </w:rPr>
                    <w:t>+</w:t>
                  </w:r>
                </w:p>
              </w:tc>
              <w:tc>
                <w:tcPr>
                  <w:tcW w:w="1536" w:type="dxa"/>
                  <w:vAlign w:val="center"/>
                </w:tcPr>
                <w:p w14:paraId="77C6FBA5">
                  <w:pPr>
                    <w:pStyle w:val="777"/>
                    <w:framePr w:wrap="auto" w:vAnchor="margin" w:hAnchor="text" w:yAlign="inline"/>
                    <w:rPr>
                      <w:rFonts w:eastAsia="Times New Roman" w:cs="Times New Roman"/>
                      <w:color w:val="auto"/>
                      <w:highlight w:val="none"/>
                    </w:rPr>
                  </w:pPr>
                  <w:r>
                    <w:rPr>
                      <w:rFonts w:eastAsia="Times New Roman" w:cs="Times New Roman"/>
                      <w:color w:val="auto"/>
                      <w:spacing w:val="1"/>
                      <w:highlight w:val="none"/>
                    </w:rPr>
                    <w:t>III</w:t>
                  </w:r>
                </w:p>
              </w:tc>
              <w:tc>
                <w:tcPr>
                  <w:tcW w:w="1536" w:type="dxa"/>
                  <w:vAlign w:val="center"/>
                </w:tcPr>
                <w:p w14:paraId="3918C2E1">
                  <w:pPr>
                    <w:pStyle w:val="777"/>
                    <w:framePr w:wrap="auto" w:vAnchor="margin" w:hAnchor="text" w:yAlign="inline"/>
                    <w:rPr>
                      <w:rFonts w:eastAsia="Times New Roman" w:cs="Times New Roman"/>
                      <w:color w:val="auto"/>
                      <w:highlight w:val="none"/>
                    </w:rPr>
                  </w:pPr>
                  <w:r>
                    <w:rPr>
                      <w:rFonts w:eastAsia="Times New Roman" w:cs="Times New Roman"/>
                      <w:color w:val="auto"/>
                      <w:highlight w:val="none"/>
                    </w:rPr>
                    <w:t>II</w:t>
                  </w:r>
                </w:p>
              </w:tc>
              <w:tc>
                <w:tcPr>
                  <w:tcW w:w="1541" w:type="dxa"/>
                  <w:shd w:val="clear" w:color="auto" w:fill="BFBFBF"/>
                  <w:vAlign w:val="center"/>
                </w:tcPr>
                <w:p w14:paraId="50422B0D">
                  <w:pPr>
                    <w:pStyle w:val="777"/>
                    <w:framePr w:wrap="auto" w:vAnchor="margin" w:hAnchor="text" w:yAlign="inline"/>
                    <w:rPr>
                      <w:rFonts w:eastAsia="Times New Roman" w:cs="Times New Roman"/>
                      <w:color w:val="auto"/>
                      <w:highlight w:val="none"/>
                    </w:rPr>
                  </w:pPr>
                  <w:r>
                    <w:rPr>
                      <w:rFonts w:eastAsia="Times New Roman" w:cs="Times New Roman"/>
                      <w:color w:val="auto"/>
                      <w:highlight w:val="none"/>
                    </w:rPr>
                    <w:t>I</w:t>
                  </w:r>
                </w:p>
              </w:tc>
            </w:tr>
            <w:tr w14:paraId="05B039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933" w:type="dxa"/>
                  <w:vAlign w:val="center"/>
                </w:tcPr>
                <w:p w14:paraId="50F9ED5D">
                  <w:pPr>
                    <w:pStyle w:val="777"/>
                    <w:framePr w:wrap="auto" w:vAnchor="margin" w:hAnchor="text" w:yAlign="inline"/>
                    <w:rPr>
                      <w:color w:val="auto"/>
                      <w:highlight w:val="none"/>
                    </w:rPr>
                  </w:pPr>
                  <w:r>
                    <w:rPr>
                      <w:color w:val="auto"/>
                      <w:spacing w:val="7"/>
                      <w:highlight w:val="none"/>
                    </w:rPr>
                    <w:t>评价工作等级</w:t>
                  </w:r>
                </w:p>
              </w:tc>
              <w:tc>
                <w:tcPr>
                  <w:tcW w:w="1535" w:type="dxa"/>
                  <w:vAlign w:val="center"/>
                </w:tcPr>
                <w:p w14:paraId="6CDA36CB">
                  <w:pPr>
                    <w:pStyle w:val="777"/>
                    <w:framePr w:wrap="auto" w:vAnchor="margin" w:hAnchor="text" w:yAlign="inline"/>
                    <w:rPr>
                      <w:color w:val="auto"/>
                      <w:highlight w:val="none"/>
                    </w:rPr>
                  </w:pPr>
                  <w:r>
                    <w:rPr>
                      <w:color w:val="auto"/>
                      <w:position w:val="-4"/>
                      <w:highlight w:val="none"/>
                    </w:rPr>
                    <w:t>一</w:t>
                  </w:r>
                </w:p>
              </w:tc>
              <w:tc>
                <w:tcPr>
                  <w:tcW w:w="1536" w:type="dxa"/>
                  <w:vAlign w:val="center"/>
                </w:tcPr>
                <w:p w14:paraId="612F8429">
                  <w:pPr>
                    <w:pStyle w:val="777"/>
                    <w:framePr w:wrap="auto" w:vAnchor="margin" w:hAnchor="text" w:yAlign="inline"/>
                    <w:rPr>
                      <w:color w:val="auto"/>
                      <w:highlight w:val="none"/>
                    </w:rPr>
                  </w:pPr>
                  <w:r>
                    <w:rPr>
                      <w:color w:val="auto"/>
                      <w:highlight w:val="none"/>
                    </w:rPr>
                    <w:t>二</w:t>
                  </w:r>
                </w:p>
              </w:tc>
              <w:tc>
                <w:tcPr>
                  <w:tcW w:w="1536" w:type="dxa"/>
                  <w:vAlign w:val="center"/>
                </w:tcPr>
                <w:p w14:paraId="0F39ABA9">
                  <w:pPr>
                    <w:pStyle w:val="777"/>
                    <w:framePr w:wrap="auto" w:vAnchor="margin" w:hAnchor="text" w:yAlign="inline"/>
                    <w:rPr>
                      <w:color w:val="auto"/>
                      <w:highlight w:val="none"/>
                    </w:rPr>
                  </w:pPr>
                  <w:r>
                    <w:rPr>
                      <w:color w:val="auto"/>
                      <w:position w:val="1"/>
                      <w:highlight w:val="none"/>
                    </w:rPr>
                    <w:t>三</w:t>
                  </w:r>
                </w:p>
              </w:tc>
              <w:tc>
                <w:tcPr>
                  <w:tcW w:w="1541" w:type="dxa"/>
                  <w:shd w:val="clear" w:color="auto" w:fill="BFBFBF"/>
                  <w:vAlign w:val="center"/>
                </w:tcPr>
                <w:p w14:paraId="479A1EE5">
                  <w:pPr>
                    <w:pStyle w:val="777"/>
                    <w:framePr w:wrap="auto" w:vAnchor="margin" w:hAnchor="text" w:yAlign="inline"/>
                    <w:rPr>
                      <w:color w:val="auto"/>
                      <w:highlight w:val="none"/>
                    </w:rPr>
                  </w:pPr>
                  <w:r>
                    <w:rPr>
                      <w:color w:val="auto"/>
                      <w:highlight w:val="none"/>
                    </w:rPr>
                    <w:t>简单分析</w:t>
                  </w:r>
                </w:p>
              </w:tc>
            </w:tr>
          </w:tbl>
          <w:p w14:paraId="2C71F29C">
            <w:pPr>
              <w:pStyle w:val="181"/>
              <w:ind w:firstLine="480"/>
              <w:rPr>
                <w:rFonts w:hint="eastAsia" w:ascii="Arial" w:hAnsi="Arial" w:eastAsia="宋体" w:cs="Arial"/>
                <w:color w:val="auto"/>
                <w:kern w:val="1"/>
                <w:sz w:val="24"/>
                <w:szCs w:val="21"/>
                <w:lang w:val="en-US" w:eastAsia="zh-CN" w:bidi="ar-SA"/>
              </w:rPr>
            </w:pPr>
            <w:r>
              <w:rPr>
                <w:rFonts w:hint="default" w:ascii="Times New Roman" w:hAnsi="Times New Roman" w:eastAsia="宋体" w:cs="Times New Roman"/>
                <w:color w:val="auto"/>
                <w:kern w:val="1"/>
                <w:sz w:val="24"/>
                <w:szCs w:val="21"/>
                <w:lang w:val="en-US" w:eastAsia="zh-CN" w:bidi="ar-SA"/>
              </w:rPr>
              <w:t>3、</w:t>
            </w:r>
            <w:r>
              <w:rPr>
                <w:rFonts w:hint="eastAsia" w:ascii="Arial" w:hAnsi="Arial" w:eastAsia="宋体" w:cs="Arial"/>
                <w:color w:val="auto"/>
                <w:kern w:val="1"/>
                <w:sz w:val="24"/>
                <w:szCs w:val="21"/>
                <w:lang w:val="en-US" w:eastAsia="zh-CN" w:bidi="ar-SA"/>
              </w:rPr>
              <w:t>环境影响途径及危害后果</w:t>
            </w:r>
          </w:p>
          <w:p w14:paraId="359C1D01">
            <w:pPr>
              <w:pStyle w:val="771"/>
              <w:bidi w:val="0"/>
              <w:rPr>
                <w:rFonts w:hint="eastAsia" w:ascii="Arial" w:hAnsi="Arial" w:eastAsia="宋体" w:cs="Arial"/>
                <w:color w:val="auto"/>
                <w:kern w:val="1"/>
                <w:sz w:val="24"/>
                <w:szCs w:val="21"/>
                <w:lang w:val="en-US" w:eastAsia="zh-CN" w:bidi="ar-SA"/>
              </w:rPr>
            </w:pPr>
            <w:r>
              <w:rPr>
                <w:rFonts w:hint="eastAsia" w:ascii="Arial" w:hAnsi="Arial" w:eastAsia="宋体" w:cs="Arial"/>
                <w:color w:val="auto"/>
                <w:kern w:val="1"/>
                <w:sz w:val="24"/>
                <w:szCs w:val="21"/>
                <w:lang w:val="en-US" w:eastAsia="zh-CN" w:bidi="ar-SA"/>
              </w:rPr>
              <w:t>影响途径：</w:t>
            </w:r>
          </w:p>
          <w:p w14:paraId="4112C329">
            <w:pPr>
              <w:pStyle w:val="771"/>
              <w:bidi w:val="0"/>
              <w:rPr>
                <w:rFonts w:hint="eastAsia" w:ascii="Arial" w:hAnsi="Arial" w:eastAsia="宋体" w:cs="Arial"/>
                <w:color w:val="auto"/>
                <w:kern w:val="1"/>
                <w:sz w:val="24"/>
                <w:szCs w:val="21"/>
                <w:lang w:val="en-US" w:eastAsia="zh-CN" w:bidi="ar-SA"/>
              </w:rPr>
            </w:pPr>
            <w:r>
              <w:rPr>
                <w:rFonts w:hint="eastAsia" w:ascii="Arial" w:hAnsi="Arial" w:eastAsia="宋体" w:cs="Arial"/>
                <w:color w:val="auto"/>
                <w:kern w:val="1"/>
                <w:sz w:val="24"/>
                <w:szCs w:val="21"/>
                <w:lang w:val="en-US" w:eastAsia="zh-CN" w:bidi="ar-SA"/>
              </w:rPr>
              <w:t>①废矿物油、矿物油、柴油泄漏直接对边土壤和水体环境产生影响；</w:t>
            </w:r>
          </w:p>
          <w:p w14:paraId="43D84E9F">
            <w:pPr>
              <w:pStyle w:val="771"/>
              <w:bidi w:val="0"/>
              <w:rPr>
                <w:rFonts w:hint="eastAsia" w:ascii="Arial" w:hAnsi="Arial" w:eastAsia="宋体" w:cs="Arial"/>
                <w:color w:val="auto"/>
                <w:kern w:val="1"/>
                <w:sz w:val="24"/>
                <w:szCs w:val="21"/>
                <w:lang w:val="en-US" w:eastAsia="zh-CN" w:bidi="ar-SA"/>
              </w:rPr>
            </w:pPr>
            <w:r>
              <w:rPr>
                <w:rFonts w:hint="eastAsia" w:ascii="Arial" w:hAnsi="Arial" w:eastAsia="宋体" w:cs="Arial"/>
                <w:color w:val="auto"/>
                <w:kern w:val="1"/>
                <w:sz w:val="24"/>
                <w:szCs w:val="21"/>
                <w:lang w:val="en-US" w:eastAsia="zh-CN" w:bidi="ar-SA"/>
              </w:rPr>
              <w:t>②废矿物油、矿物油、柴油燃烧产生</w:t>
            </w:r>
            <w:r>
              <w:rPr>
                <w:rFonts w:hint="eastAsia" w:ascii="Arial" w:hAnsi="Arial" w:cs="Arial"/>
                <w:color w:val="auto"/>
                <w:kern w:val="1"/>
                <w:sz w:val="24"/>
                <w:szCs w:val="21"/>
                <w:lang w:val="en-US" w:eastAsia="zh-CN" w:bidi="ar-SA"/>
              </w:rPr>
              <w:t>的</w:t>
            </w:r>
            <w:r>
              <w:rPr>
                <w:rFonts w:hint="eastAsia" w:ascii="Arial" w:hAnsi="Arial" w:eastAsia="宋体" w:cs="Arial"/>
                <w:color w:val="auto"/>
                <w:kern w:val="1"/>
                <w:sz w:val="24"/>
                <w:szCs w:val="21"/>
                <w:lang w:val="en-US" w:eastAsia="zh-CN" w:bidi="ar-SA"/>
              </w:rPr>
              <w:t>废气及消防废水间接对大气环境、地表水环境及地下水环境产生影响；</w:t>
            </w:r>
          </w:p>
          <w:p w14:paraId="316DAF18">
            <w:pPr>
              <w:pStyle w:val="771"/>
              <w:bidi w:val="0"/>
              <w:rPr>
                <w:rFonts w:hint="eastAsia" w:ascii="Arial" w:hAnsi="Arial" w:eastAsia="宋体" w:cs="Arial"/>
                <w:color w:val="auto"/>
                <w:kern w:val="1"/>
                <w:sz w:val="24"/>
                <w:szCs w:val="21"/>
                <w:lang w:val="en-US" w:eastAsia="zh-CN" w:bidi="ar-SA"/>
              </w:rPr>
            </w:pPr>
            <w:r>
              <w:rPr>
                <w:rFonts w:hint="eastAsia" w:ascii="Arial" w:hAnsi="Arial" w:eastAsia="宋体" w:cs="Arial"/>
                <w:color w:val="auto"/>
                <w:kern w:val="1"/>
                <w:sz w:val="24"/>
                <w:szCs w:val="21"/>
                <w:lang w:val="en-US" w:eastAsia="zh-CN" w:bidi="ar-SA"/>
              </w:rPr>
              <w:t>③煤泥水事故排放。</w:t>
            </w:r>
          </w:p>
          <w:p w14:paraId="52502DF9">
            <w:pPr>
              <w:pStyle w:val="771"/>
              <w:bidi w:val="0"/>
              <w:rPr>
                <w:rFonts w:hint="eastAsia"/>
                <w:b/>
                <w:bCs/>
                <w:color w:val="auto"/>
              </w:rPr>
            </w:pPr>
            <w:r>
              <w:rPr>
                <w:rFonts w:hint="eastAsia" w:ascii="Arial" w:hAnsi="Arial" w:eastAsia="宋体" w:cs="Arial"/>
                <w:color w:val="auto"/>
                <w:kern w:val="1"/>
                <w:sz w:val="24"/>
                <w:szCs w:val="21"/>
                <w:lang w:val="en-US" w:eastAsia="zh-CN" w:bidi="ar-SA"/>
              </w:rPr>
              <w:t>危害后果：废矿物油、矿物油、柴油泄漏后</w:t>
            </w:r>
            <w:r>
              <w:rPr>
                <w:rFonts w:hint="eastAsia" w:ascii="Arial" w:hAnsi="Arial" w:cs="Arial"/>
                <w:color w:val="auto"/>
                <w:kern w:val="1"/>
                <w:szCs w:val="21"/>
              </w:rPr>
              <w:t>若发生燃烧，会产生有毒有害的气体，使得当地环境空气造成严重污染，对人群健康造成极大危害。</w:t>
            </w:r>
          </w:p>
          <w:p w14:paraId="3E7B72A7">
            <w:pPr>
              <w:pStyle w:val="771"/>
              <w:bidi w:val="0"/>
              <w:rPr>
                <w:rFonts w:hint="eastAsia"/>
                <w:color w:val="auto"/>
              </w:rPr>
            </w:pPr>
            <w:r>
              <w:rPr>
                <w:rFonts w:hint="eastAsia"/>
                <w:color w:val="auto"/>
              </w:rPr>
              <w:t>4、环境风险防范措施</w:t>
            </w:r>
          </w:p>
          <w:p w14:paraId="4845275F">
            <w:pPr>
              <w:pStyle w:val="771"/>
              <w:bidi w:val="0"/>
              <w:rPr>
                <w:rFonts w:hint="default" w:ascii="Times New Roman" w:hAnsi="Times New Roman" w:eastAsia="宋体" w:cs="Times New Roman"/>
                <w:color w:val="auto"/>
                <w:kern w:val="1"/>
                <w:sz w:val="24"/>
                <w:szCs w:val="21"/>
                <w:lang w:val="en-US" w:eastAsia="zh-CN" w:bidi="ar-SA"/>
              </w:rPr>
            </w:pPr>
            <w:r>
              <w:rPr>
                <w:rFonts w:hint="default" w:ascii="Times New Roman" w:hAnsi="Times New Roman" w:eastAsia="宋体" w:cs="Times New Roman"/>
                <w:color w:val="auto"/>
                <w:kern w:val="1"/>
                <w:sz w:val="24"/>
                <w:szCs w:val="21"/>
                <w:lang w:val="en-US" w:eastAsia="zh-CN" w:bidi="ar-SA"/>
              </w:rPr>
              <w:t>（1）机油、废机油防范措施</w:t>
            </w:r>
          </w:p>
          <w:p w14:paraId="590D9B35">
            <w:pPr>
              <w:pStyle w:val="771"/>
              <w:bidi w:val="0"/>
              <w:rPr>
                <w:rFonts w:hint="eastAsia" w:ascii="Arial" w:hAnsi="Arial" w:eastAsia="宋体" w:cs="Arial"/>
                <w:color w:val="auto"/>
                <w:kern w:val="1"/>
                <w:sz w:val="24"/>
                <w:szCs w:val="21"/>
                <w:lang w:val="en-US" w:eastAsia="zh-CN" w:bidi="ar-SA"/>
              </w:rPr>
            </w:pPr>
            <w:r>
              <w:rPr>
                <w:rFonts w:hint="eastAsia" w:ascii="Arial" w:hAnsi="Arial" w:eastAsia="宋体" w:cs="Arial"/>
                <w:color w:val="auto"/>
                <w:kern w:val="1"/>
                <w:sz w:val="24"/>
                <w:szCs w:val="21"/>
                <w:lang w:val="en-US" w:eastAsia="zh-CN" w:bidi="ar-SA"/>
              </w:rPr>
              <w:t>为有效防止废机油发生泄漏，采取以下防范措施：</w:t>
            </w:r>
          </w:p>
          <w:p w14:paraId="706B77ED">
            <w:pPr>
              <w:pStyle w:val="771"/>
              <w:bidi w:val="0"/>
              <w:rPr>
                <w:rFonts w:hint="eastAsia" w:ascii="Arial" w:hAnsi="Arial" w:eastAsia="宋体" w:cs="Arial"/>
                <w:color w:val="auto"/>
                <w:kern w:val="1"/>
                <w:sz w:val="24"/>
                <w:szCs w:val="21"/>
                <w:lang w:val="en-US" w:eastAsia="zh-CN" w:bidi="ar-SA"/>
              </w:rPr>
            </w:pPr>
            <w:r>
              <w:rPr>
                <w:rFonts w:hint="default" w:ascii="Arial" w:hAnsi="Arial" w:eastAsia="宋体" w:cs="Arial"/>
                <w:color w:val="auto"/>
                <w:kern w:val="1"/>
                <w:sz w:val="24"/>
                <w:szCs w:val="21"/>
                <w:lang w:val="en-US" w:eastAsia="zh-CN" w:bidi="ar-SA"/>
              </w:rPr>
              <w:t>①危废</w:t>
            </w:r>
            <w:r>
              <w:rPr>
                <w:rFonts w:hint="eastAsia" w:ascii="Arial" w:hAnsi="Arial" w:eastAsia="宋体" w:cs="Arial"/>
                <w:color w:val="auto"/>
                <w:kern w:val="1"/>
                <w:sz w:val="24"/>
                <w:szCs w:val="21"/>
                <w:lang w:val="en-US" w:eastAsia="zh-CN" w:bidi="ar-SA"/>
              </w:rPr>
              <w:t>暂存</w:t>
            </w:r>
            <w:r>
              <w:rPr>
                <w:rFonts w:hint="default" w:ascii="Arial" w:hAnsi="Arial" w:eastAsia="宋体" w:cs="Arial"/>
                <w:color w:val="auto"/>
                <w:kern w:val="1"/>
                <w:sz w:val="24"/>
                <w:szCs w:val="21"/>
                <w:lang w:val="en-US" w:eastAsia="zh-CN" w:bidi="ar-SA"/>
              </w:rPr>
              <w:t>间地面经水泥硬化处理，具有防渗漏、防腐蚀功能；</w:t>
            </w:r>
          </w:p>
          <w:p w14:paraId="43205483">
            <w:pPr>
              <w:pStyle w:val="771"/>
              <w:bidi w:val="0"/>
              <w:rPr>
                <w:rFonts w:hint="eastAsia" w:ascii="Arial" w:hAnsi="Arial" w:eastAsia="宋体" w:cs="Arial"/>
                <w:color w:val="auto"/>
                <w:kern w:val="1"/>
                <w:sz w:val="24"/>
                <w:szCs w:val="21"/>
                <w:lang w:val="en-US" w:eastAsia="zh-CN" w:bidi="ar-SA"/>
              </w:rPr>
            </w:pPr>
            <w:r>
              <w:rPr>
                <w:rFonts w:hint="default" w:ascii="Arial" w:hAnsi="Arial" w:eastAsia="宋体" w:cs="Arial"/>
                <w:color w:val="auto"/>
                <w:kern w:val="1"/>
                <w:sz w:val="24"/>
                <w:szCs w:val="21"/>
                <w:lang w:val="en-US" w:eastAsia="zh-CN" w:bidi="ar-SA"/>
              </w:rPr>
              <w:t>②危废间及柴油库房四周设置围堰，可有效防止雨水流入；</w:t>
            </w:r>
          </w:p>
          <w:p w14:paraId="7C809FDD">
            <w:pPr>
              <w:pStyle w:val="771"/>
              <w:bidi w:val="0"/>
              <w:rPr>
                <w:rFonts w:hint="eastAsia" w:ascii="Arial" w:hAnsi="Arial" w:eastAsia="宋体" w:cs="Arial"/>
                <w:color w:val="auto"/>
                <w:kern w:val="1"/>
                <w:sz w:val="24"/>
                <w:szCs w:val="21"/>
                <w:lang w:val="en-US" w:eastAsia="zh-CN" w:bidi="ar-SA"/>
              </w:rPr>
            </w:pPr>
            <w:r>
              <w:rPr>
                <w:rFonts w:hint="default" w:ascii="Arial" w:hAnsi="Arial" w:eastAsia="宋体" w:cs="Arial"/>
                <w:color w:val="auto"/>
                <w:kern w:val="1"/>
                <w:sz w:val="24"/>
                <w:szCs w:val="21"/>
                <w:lang w:val="en-US" w:eastAsia="zh-CN" w:bidi="ar-SA"/>
              </w:rPr>
              <w:t>③设置应急回收装置；</w:t>
            </w:r>
          </w:p>
          <w:p w14:paraId="2CC66DB7">
            <w:pPr>
              <w:pStyle w:val="771"/>
              <w:bidi w:val="0"/>
              <w:rPr>
                <w:rFonts w:hint="eastAsia" w:ascii="Arial" w:hAnsi="Arial" w:eastAsia="宋体" w:cs="Arial"/>
                <w:color w:val="auto"/>
                <w:kern w:val="1"/>
                <w:sz w:val="24"/>
                <w:szCs w:val="21"/>
                <w:lang w:val="en-US" w:eastAsia="zh-CN" w:bidi="ar-SA"/>
              </w:rPr>
            </w:pPr>
            <w:r>
              <w:rPr>
                <w:rFonts w:hint="default" w:ascii="Arial" w:hAnsi="Arial" w:eastAsia="宋体" w:cs="Arial"/>
                <w:color w:val="auto"/>
                <w:kern w:val="1"/>
                <w:sz w:val="24"/>
                <w:szCs w:val="21"/>
                <w:lang w:val="en-US" w:eastAsia="zh-CN" w:bidi="ar-SA"/>
              </w:rPr>
              <w:t>④日常管理及维护良好，有专人进行看管。</w:t>
            </w:r>
          </w:p>
          <w:p w14:paraId="223AB7D8">
            <w:pPr>
              <w:pStyle w:val="771"/>
              <w:bidi w:val="0"/>
              <w:rPr>
                <w:rFonts w:hint="eastAsia" w:ascii="Arial" w:hAnsi="Arial" w:eastAsia="宋体" w:cs="Arial"/>
                <w:color w:val="auto"/>
                <w:kern w:val="1"/>
                <w:sz w:val="24"/>
                <w:szCs w:val="21"/>
                <w:lang w:val="en-US" w:eastAsia="zh-CN" w:bidi="ar-SA"/>
              </w:rPr>
            </w:pPr>
            <w:r>
              <w:rPr>
                <w:rFonts w:hint="default" w:ascii="Arial" w:hAnsi="Arial" w:eastAsia="宋体" w:cs="Arial"/>
                <w:color w:val="auto"/>
                <w:kern w:val="1"/>
                <w:sz w:val="24"/>
                <w:szCs w:val="21"/>
                <w:lang w:val="en-US" w:eastAsia="zh-CN" w:bidi="ar-SA"/>
              </w:rPr>
              <w:t>在采取以上防范措施后，可以有效减小发生泄漏的概率，最大限度地将污染事故风险降到最低程度。</w:t>
            </w:r>
          </w:p>
          <w:p w14:paraId="60DA08A4">
            <w:pPr>
              <w:pStyle w:val="771"/>
              <w:bidi w:val="0"/>
              <w:rPr>
                <w:rFonts w:hint="eastAsia" w:eastAsia="宋体"/>
                <w:color w:val="auto"/>
                <w:lang w:eastAsia="zh-CN"/>
              </w:rPr>
            </w:pPr>
            <w:r>
              <w:rPr>
                <w:rFonts w:hint="eastAsia"/>
                <w:color w:val="auto"/>
                <w:lang w:eastAsia="zh-CN"/>
              </w:rPr>
              <w:t>（</w:t>
            </w:r>
            <w:r>
              <w:rPr>
                <w:rFonts w:hint="eastAsia"/>
                <w:color w:val="auto"/>
                <w:lang w:val="en-US" w:eastAsia="zh-CN"/>
              </w:rPr>
              <w:t>2</w:t>
            </w:r>
            <w:r>
              <w:rPr>
                <w:rFonts w:hint="eastAsia"/>
                <w:color w:val="auto"/>
                <w:lang w:eastAsia="zh-CN"/>
              </w:rPr>
              <w:t>）煤泥水外排防范措施</w:t>
            </w:r>
          </w:p>
          <w:p w14:paraId="1C8BBDDB">
            <w:pPr>
              <w:pStyle w:val="771"/>
              <w:bidi w:val="0"/>
              <w:rPr>
                <w:rFonts w:hint="default" w:ascii="Times New Roman" w:hAnsi="Times New Roman" w:eastAsia="宋体" w:cs="Times New Roman"/>
                <w:color w:val="auto"/>
                <w:kern w:val="1"/>
                <w:sz w:val="24"/>
                <w:szCs w:val="21"/>
                <w:lang w:val="en-US" w:eastAsia="zh-CN" w:bidi="ar-SA"/>
              </w:rPr>
            </w:pPr>
            <w:r>
              <w:rPr>
                <w:rFonts w:hint="default" w:ascii="Times New Roman" w:hAnsi="Times New Roman" w:eastAsia="宋体" w:cs="Times New Roman"/>
                <w:color w:val="auto"/>
                <w:kern w:val="1"/>
                <w:sz w:val="24"/>
                <w:szCs w:val="21"/>
                <w:lang w:val="en-US" w:eastAsia="zh-CN" w:bidi="ar-SA"/>
              </w:rPr>
              <w:t>①当浓缩机发生故障时，可将煤泥水排至事故水池，待浓缩池修复后将事故水池中煤泥水泵入浓缩池进行处理，可保证事故状态下煤泥水不外排；</w:t>
            </w:r>
          </w:p>
          <w:p w14:paraId="421EC568">
            <w:pPr>
              <w:pStyle w:val="771"/>
              <w:bidi w:val="0"/>
              <w:rPr>
                <w:rFonts w:hint="default" w:ascii="Times New Roman" w:hAnsi="Times New Roman" w:eastAsia="宋体" w:cs="Times New Roman"/>
                <w:color w:val="auto"/>
                <w:kern w:val="1"/>
                <w:sz w:val="24"/>
                <w:szCs w:val="21"/>
                <w:lang w:val="en-US" w:eastAsia="zh-CN" w:bidi="ar-SA"/>
              </w:rPr>
            </w:pPr>
            <w:r>
              <w:rPr>
                <w:rFonts w:hint="default" w:ascii="Times New Roman" w:hAnsi="Times New Roman" w:eastAsia="宋体" w:cs="Times New Roman"/>
                <w:color w:val="auto"/>
                <w:kern w:val="1"/>
                <w:sz w:val="24"/>
                <w:szCs w:val="21"/>
                <w:lang w:val="en-US" w:eastAsia="zh-CN" w:bidi="ar-SA"/>
              </w:rPr>
              <w:t>②当压滤机发生故障时，可将压滤机入料阀关闭，使循环水浓度略有上升，不会影响生产，也不会外排煤泥水；</w:t>
            </w:r>
          </w:p>
          <w:p w14:paraId="6DE122B5">
            <w:pPr>
              <w:pStyle w:val="771"/>
              <w:bidi w:val="0"/>
              <w:rPr>
                <w:rFonts w:hint="default" w:ascii="Times New Roman" w:hAnsi="Times New Roman" w:eastAsia="宋体" w:cs="Times New Roman"/>
                <w:color w:val="auto"/>
                <w:kern w:val="1"/>
                <w:sz w:val="24"/>
                <w:szCs w:val="21"/>
                <w:lang w:val="en-US" w:eastAsia="zh-CN" w:bidi="ar-SA"/>
              </w:rPr>
            </w:pPr>
            <w:r>
              <w:rPr>
                <w:rFonts w:hint="default" w:ascii="Times New Roman" w:hAnsi="Times New Roman" w:eastAsia="宋体" w:cs="Times New Roman"/>
                <w:color w:val="auto"/>
                <w:kern w:val="1"/>
                <w:sz w:val="24"/>
                <w:szCs w:val="21"/>
                <w:lang w:val="en-US" w:eastAsia="zh-CN" w:bidi="ar-SA"/>
              </w:rPr>
              <w:t>③当设备发生故障、检修及停电事故时，系统内循环水可全部进入循环水池，不会发生煤泥水外排，另外，应加强对设备或设施的维护管理，尽量避免设备故障，一旦发现要及时检修；</w:t>
            </w:r>
          </w:p>
          <w:p w14:paraId="5C766A86">
            <w:pPr>
              <w:pStyle w:val="771"/>
              <w:bidi w:val="0"/>
              <w:rPr>
                <w:rFonts w:hint="default" w:ascii="Times New Roman" w:hAnsi="Times New Roman" w:eastAsia="宋体" w:cs="Times New Roman"/>
                <w:color w:val="auto"/>
                <w:kern w:val="1"/>
                <w:sz w:val="24"/>
                <w:szCs w:val="21"/>
                <w:lang w:val="en-US" w:eastAsia="zh-CN" w:bidi="ar-SA"/>
              </w:rPr>
            </w:pPr>
            <w:r>
              <w:rPr>
                <w:rFonts w:hint="default" w:ascii="Times New Roman" w:hAnsi="Times New Roman" w:eastAsia="宋体" w:cs="Times New Roman"/>
                <w:color w:val="auto"/>
                <w:kern w:val="1"/>
                <w:sz w:val="24"/>
                <w:szCs w:val="21"/>
                <w:lang w:val="en-US" w:eastAsia="zh-CN" w:bidi="ar-SA"/>
              </w:rPr>
              <w:t>④加强清水用量管理，使系统内处于平衡状态，即可杜绝事故发生；建设单位</w:t>
            </w:r>
            <w:r>
              <w:rPr>
                <w:rFonts w:hint="eastAsia" w:cs="Times New Roman"/>
                <w:color w:val="auto"/>
                <w:kern w:val="1"/>
                <w:sz w:val="24"/>
                <w:szCs w:val="21"/>
                <w:lang w:val="en-US" w:eastAsia="zh-CN" w:bidi="ar-SA"/>
              </w:rPr>
              <w:t>应</w:t>
            </w:r>
            <w:r>
              <w:rPr>
                <w:rFonts w:hint="default" w:ascii="Times New Roman" w:hAnsi="Times New Roman" w:eastAsia="宋体" w:cs="Times New Roman"/>
                <w:color w:val="auto"/>
                <w:kern w:val="1"/>
                <w:sz w:val="24"/>
                <w:szCs w:val="21"/>
                <w:lang w:val="en-US" w:eastAsia="zh-CN" w:bidi="ar-SA"/>
              </w:rPr>
              <w:t>严格规范管理制度，加强管理。</w:t>
            </w:r>
          </w:p>
          <w:p w14:paraId="3C16AA15">
            <w:pPr>
              <w:pStyle w:val="181"/>
              <w:ind w:firstLine="480"/>
              <w:rPr>
                <w:rFonts w:hint="default" w:ascii="Times New Roman" w:hAnsi="Times New Roman" w:eastAsia="宋体" w:cs="Times New Roman"/>
                <w:color w:val="auto"/>
                <w:kern w:val="1"/>
                <w:sz w:val="24"/>
                <w:szCs w:val="21"/>
                <w:lang w:val="en-US" w:eastAsia="zh-CN" w:bidi="ar-SA"/>
              </w:rPr>
            </w:pPr>
            <w:r>
              <w:rPr>
                <w:rFonts w:hint="eastAsia" w:ascii="Times New Roman" w:hAnsi="Times New Roman" w:eastAsia="宋体" w:cs="Times New Roman"/>
                <w:color w:val="auto"/>
                <w:kern w:val="1"/>
                <w:sz w:val="24"/>
                <w:szCs w:val="21"/>
                <w:lang w:val="en-US" w:eastAsia="zh-CN" w:bidi="ar-SA"/>
              </w:rPr>
              <w:t>5、</w:t>
            </w:r>
            <w:r>
              <w:rPr>
                <w:rFonts w:hint="default" w:ascii="Times New Roman" w:hAnsi="Times New Roman" w:eastAsia="宋体" w:cs="Times New Roman"/>
                <w:color w:val="auto"/>
                <w:kern w:val="1"/>
                <w:sz w:val="24"/>
                <w:szCs w:val="21"/>
                <w:lang w:val="en-US" w:eastAsia="zh-CN" w:bidi="ar-SA"/>
              </w:rPr>
              <w:t>应急预案的内容和要求</w:t>
            </w:r>
          </w:p>
          <w:p w14:paraId="74285A7C">
            <w:pPr>
              <w:pStyle w:val="15"/>
              <w:rPr>
                <w:rFonts w:hint="eastAsia" w:eastAsia="宋体"/>
                <w:color w:val="auto"/>
                <w:lang w:val="en-US" w:eastAsia="zh-CN"/>
              </w:rPr>
            </w:pPr>
            <w:r>
              <w:rPr>
                <w:color w:val="auto"/>
              </w:rPr>
              <w:t xml:space="preserve">表 </w:t>
            </w:r>
            <w:r>
              <w:rPr>
                <w:rFonts w:hint="eastAsia"/>
                <w:color w:val="auto"/>
                <w:lang w:val="en-US" w:eastAsia="zh-CN"/>
              </w:rPr>
              <w:t>4</w:t>
            </w:r>
            <w:r>
              <w:rPr>
                <w:rFonts w:hint="eastAsia"/>
                <w:color w:val="auto"/>
                <w:lang w:eastAsia="zh-CN"/>
              </w:rPr>
              <w:t>-</w:t>
            </w:r>
            <w:r>
              <w:rPr>
                <w:rFonts w:hint="eastAsia"/>
                <w:color w:val="auto"/>
                <w:lang w:val="en-US" w:eastAsia="zh-CN"/>
              </w:rPr>
              <w:t>1</w:t>
            </w:r>
            <w:r>
              <w:rPr>
                <w:color w:val="auto"/>
              </w:rPr>
              <w:fldChar w:fldCharType="begin"/>
            </w:r>
            <w:r>
              <w:rPr>
                <w:color w:val="auto"/>
              </w:rPr>
              <w:instrText xml:space="preserve"> SEQ 表 \* ARABIC \s 1 </w:instrText>
            </w:r>
            <w:r>
              <w:rPr>
                <w:color w:val="auto"/>
              </w:rPr>
              <w:fldChar w:fldCharType="separate"/>
            </w:r>
            <w:r>
              <w:rPr>
                <w:color w:val="auto"/>
              </w:rPr>
              <w:t>4</w:t>
            </w:r>
            <w:r>
              <w:rPr>
                <w:color w:val="auto"/>
              </w:rPr>
              <w:fldChar w:fldCharType="end"/>
            </w:r>
            <w:r>
              <w:rPr>
                <w:rFonts w:hint="eastAsia"/>
                <w:color w:val="auto"/>
                <w:lang w:val="en-US" w:eastAsia="zh-CN"/>
              </w:rPr>
              <w:t xml:space="preserve"> </w:t>
            </w:r>
            <w:r>
              <w:rPr>
                <w:color w:val="auto"/>
                <w:szCs w:val="22"/>
              </w:rPr>
              <w:t>应急预案表</w:t>
            </w:r>
          </w:p>
          <w:tbl>
            <w:tblPr>
              <w:tblStyle w:val="24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08"/>
              <w:gridCol w:w="1894"/>
              <w:gridCol w:w="5916"/>
            </w:tblGrid>
            <w:tr w14:paraId="7DFAD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2" w:hRule="atLeast"/>
                <w:jc w:val="center"/>
              </w:trPr>
              <w:tc>
                <w:tcPr>
                  <w:tcW w:w="691" w:type="dxa"/>
                  <w:vAlign w:val="center"/>
                </w:tcPr>
                <w:p w14:paraId="42DBB6F7">
                  <w:pPr>
                    <w:pStyle w:val="287"/>
                    <w:framePr w:hSpace="0" w:wrap="auto" w:vAnchor="margin" w:hAnchor="text" w:xAlign="left" w:yAlign="inline"/>
                    <w:rPr>
                      <w:b/>
                      <w:bCs/>
                      <w:color w:val="auto"/>
                    </w:rPr>
                  </w:pPr>
                  <w:r>
                    <w:rPr>
                      <w:b/>
                      <w:bCs/>
                      <w:color w:val="auto"/>
                    </w:rPr>
                    <w:t>序号</w:t>
                  </w:r>
                </w:p>
              </w:tc>
              <w:tc>
                <w:tcPr>
                  <w:tcW w:w="1849" w:type="dxa"/>
                  <w:vAlign w:val="center"/>
                </w:tcPr>
                <w:p w14:paraId="16FE9D2E">
                  <w:pPr>
                    <w:pStyle w:val="287"/>
                    <w:framePr w:hSpace="0" w:wrap="auto" w:vAnchor="margin" w:hAnchor="text" w:xAlign="left" w:yAlign="inline"/>
                    <w:rPr>
                      <w:b/>
                      <w:bCs/>
                      <w:color w:val="auto"/>
                    </w:rPr>
                  </w:pPr>
                  <w:r>
                    <w:rPr>
                      <w:b/>
                      <w:bCs/>
                      <w:color w:val="auto"/>
                    </w:rPr>
                    <w:t>项目</w:t>
                  </w:r>
                </w:p>
              </w:tc>
              <w:tc>
                <w:tcPr>
                  <w:tcW w:w="5776" w:type="dxa"/>
                  <w:vAlign w:val="center"/>
                </w:tcPr>
                <w:p w14:paraId="000C60A5">
                  <w:pPr>
                    <w:pStyle w:val="287"/>
                    <w:framePr w:hSpace="0" w:wrap="auto" w:vAnchor="margin" w:hAnchor="text" w:xAlign="left" w:yAlign="inline"/>
                    <w:rPr>
                      <w:b/>
                      <w:bCs/>
                      <w:color w:val="auto"/>
                    </w:rPr>
                  </w:pPr>
                  <w:r>
                    <w:rPr>
                      <w:b/>
                      <w:bCs/>
                      <w:color w:val="auto"/>
                    </w:rPr>
                    <w:t>内容及要求</w:t>
                  </w:r>
                </w:p>
              </w:tc>
            </w:tr>
            <w:tr w14:paraId="47404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40FC4319">
                  <w:pPr>
                    <w:pStyle w:val="287"/>
                    <w:framePr w:hSpace="0" w:wrap="auto" w:vAnchor="margin" w:hAnchor="text" w:xAlign="left" w:yAlign="inline"/>
                    <w:rPr>
                      <w:color w:val="auto"/>
                    </w:rPr>
                  </w:pPr>
                  <w:r>
                    <w:rPr>
                      <w:color w:val="auto"/>
                    </w:rPr>
                    <w:t>1</w:t>
                  </w:r>
                </w:p>
              </w:tc>
              <w:tc>
                <w:tcPr>
                  <w:tcW w:w="1849" w:type="dxa"/>
                  <w:vAlign w:val="center"/>
                </w:tcPr>
                <w:p w14:paraId="70963A5E">
                  <w:pPr>
                    <w:pStyle w:val="287"/>
                    <w:framePr w:hSpace="0" w:wrap="auto" w:vAnchor="margin" w:hAnchor="text" w:xAlign="left" w:yAlign="inline"/>
                    <w:rPr>
                      <w:color w:val="auto"/>
                    </w:rPr>
                  </w:pPr>
                  <w:r>
                    <w:rPr>
                      <w:color w:val="auto"/>
                    </w:rPr>
                    <w:t>应急计划区</w:t>
                  </w:r>
                </w:p>
              </w:tc>
              <w:tc>
                <w:tcPr>
                  <w:tcW w:w="5776" w:type="dxa"/>
                  <w:vAlign w:val="center"/>
                </w:tcPr>
                <w:p w14:paraId="4966D312">
                  <w:pPr>
                    <w:pStyle w:val="287"/>
                    <w:framePr w:hSpace="0" w:wrap="auto" w:vAnchor="margin" w:hAnchor="text" w:xAlign="left" w:yAlign="inline"/>
                    <w:rPr>
                      <w:color w:val="auto"/>
                    </w:rPr>
                  </w:pPr>
                  <w:r>
                    <w:rPr>
                      <w:color w:val="auto"/>
                    </w:rPr>
                    <w:t>危险目标为危废库；保护目标为项目周围的环境敏感目标</w:t>
                  </w:r>
                </w:p>
              </w:tc>
            </w:tr>
            <w:tr w14:paraId="431EF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299AE93B">
                  <w:pPr>
                    <w:pStyle w:val="287"/>
                    <w:framePr w:hSpace="0" w:wrap="auto" w:vAnchor="margin" w:hAnchor="text" w:xAlign="left" w:yAlign="inline"/>
                    <w:rPr>
                      <w:color w:val="auto"/>
                    </w:rPr>
                  </w:pPr>
                  <w:r>
                    <w:rPr>
                      <w:color w:val="auto"/>
                    </w:rPr>
                    <w:t>2</w:t>
                  </w:r>
                </w:p>
              </w:tc>
              <w:tc>
                <w:tcPr>
                  <w:tcW w:w="1849" w:type="dxa"/>
                  <w:vAlign w:val="center"/>
                </w:tcPr>
                <w:p w14:paraId="3944BC80">
                  <w:pPr>
                    <w:pStyle w:val="287"/>
                    <w:framePr w:hSpace="0" w:wrap="auto" w:vAnchor="margin" w:hAnchor="text" w:xAlign="left" w:yAlign="inline"/>
                    <w:rPr>
                      <w:color w:val="auto"/>
                    </w:rPr>
                  </w:pPr>
                  <w:r>
                    <w:rPr>
                      <w:color w:val="auto"/>
                    </w:rPr>
                    <w:t>应急组织机构、人员</w:t>
                  </w:r>
                </w:p>
              </w:tc>
              <w:tc>
                <w:tcPr>
                  <w:tcW w:w="5776" w:type="dxa"/>
                  <w:vAlign w:val="center"/>
                </w:tcPr>
                <w:p w14:paraId="78CD679A">
                  <w:pPr>
                    <w:pStyle w:val="287"/>
                    <w:framePr w:hSpace="0" w:wrap="auto" w:vAnchor="margin" w:hAnchor="text" w:xAlign="left" w:yAlign="inline"/>
                    <w:rPr>
                      <w:color w:val="auto"/>
                    </w:rPr>
                  </w:pPr>
                  <w:r>
                    <w:rPr>
                      <w:color w:val="auto"/>
                    </w:rPr>
                    <w:t>设立事故应急机构，人员由企业主要领导、安全负责人、环保负责人等主要人员组成</w:t>
                  </w:r>
                </w:p>
              </w:tc>
            </w:tr>
            <w:tr w14:paraId="75E34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2" w:hRule="atLeast"/>
                <w:jc w:val="center"/>
              </w:trPr>
              <w:tc>
                <w:tcPr>
                  <w:tcW w:w="691" w:type="dxa"/>
                  <w:vAlign w:val="center"/>
                </w:tcPr>
                <w:p w14:paraId="7781556B">
                  <w:pPr>
                    <w:pStyle w:val="287"/>
                    <w:framePr w:hSpace="0" w:wrap="auto" w:vAnchor="margin" w:hAnchor="text" w:xAlign="left" w:yAlign="inline"/>
                    <w:rPr>
                      <w:color w:val="auto"/>
                    </w:rPr>
                  </w:pPr>
                  <w:r>
                    <w:rPr>
                      <w:color w:val="auto"/>
                    </w:rPr>
                    <w:t>3</w:t>
                  </w:r>
                </w:p>
              </w:tc>
              <w:tc>
                <w:tcPr>
                  <w:tcW w:w="1849" w:type="dxa"/>
                  <w:vAlign w:val="center"/>
                </w:tcPr>
                <w:p w14:paraId="79E6C130">
                  <w:pPr>
                    <w:pStyle w:val="287"/>
                    <w:framePr w:hSpace="0" w:wrap="auto" w:vAnchor="margin" w:hAnchor="text" w:xAlign="left" w:yAlign="inline"/>
                    <w:rPr>
                      <w:color w:val="auto"/>
                    </w:rPr>
                  </w:pPr>
                  <w:r>
                    <w:rPr>
                      <w:color w:val="auto"/>
                    </w:rPr>
                    <w:t>预案分级响应条件</w:t>
                  </w:r>
                </w:p>
              </w:tc>
              <w:tc>
                <w:tcPr>
                  <w:tcW w:w="5776" w:type="dxa"/>
                  <w:vAlign w:val="center"/>
                </w:tcPr>
                <w:p w14:paraId="417D5326">
                  <w:pPr>
                    <w:pStyle w:val="287"/>
                    <w:framePr w:hSpace="0" w:wrap="auto" w:vAnchor="margin" w:hAnchor="text" w:xAlign="left" w:yAlign="inline"/>
                    <w:rPr>
                      <w:color w:val="auto"/>
                    </w:rPr>
                  </w:pPr>
                  <w:r>
                    <w:rPr>
                      <w:rFonts w:hint="eastAsia"/>
                      <w:color w:val="auto"/>
                      <w:lang w:eastAsia="zh-CN"/>
                    </w:rPr>
                    <w:t>应急</w:t>
                  </w:r>
                  <w:r>
                    <w:rPr>
                      <w:color w:val="auto"/>
                    </w:rPr>
                    <w:t>预案的级别分为三级，一级为特大事故、二级为重大事故、三级为一般事故。根据事故的级别，相应建立对应的事故处理程序和处理范围。</w:t>
                  </w:r>
                </w:p>
              </w:tc>
            </w:tr>
            <w:tr w14:paraId="56DE5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48951DA3">
                  <w:pPr>
                    <w:pStyle w:val="287"/>
                    <w:framePr w:hSpace="0" w:wrap="auto" w:vAnchor="margin" w:hAnchor="text" w:xAlign="left" w:yAlign="inline"/>
                    <w:rPr>
                      <w:color w:val="auto"/>
                    </w:rPr>
                  </w:pPr>
                  <w:r>
                    <w:rPr>
                      <w:color w:val="auto"/>
                    </w:rPr>
                    <w:t>4</w:t>
                  </w:r>
                </w:p>
              </w:tc>
              <w:tc>
                <w:tcPr>
                  <w:tcW w:w="1849" w:type="dxa"/>
                  <w:vAlign w:val="center"/>
                </w:tcPr>
                <w:p w14:paraId="0D2044B8">
                  <w:pPr>
                    <w:pStyle w:val="287"/>
                    <w:framePr w:hSpace="0" w:wrap="auto" w:vAnchor="margin" w:hAnchor="text" w:xAlign="left" w:yAlign="inline"/>
                    <w:rPr>
                      <w:color w:val="auto"/>
                    </w:rPr>
                  </w:pPr>
                  <w:r>
                    <w:rPr>
                      <w:color w:val="auto"/>
                    </w:rPr>
                    <w:t>应急救援保障</w:t>
                  </w:r>
                </w:p>
              </w:tc>
              <w:tc>
                <w:tcPr>
                  <w:tcW w:w="5776" w:type="dxa"/>
                  <w:vAlign w:val="center"/>
                </w:tcPr>
                <w:p w14:paraId="2815E337">
                  <w:pPr>
                    <w:pStyle w:val="287"/>
                    <w:framePr w:hSpace="0" w:wrap="auto" w:vAnchor="margin" w:hAnchor="text" w:xAlign="left" w:yAlign="inline"/>
                    <w:rPr>
                      <w:color w:val="auto"/>
                    </w:rPr>
                  </w:pPr>
                  <w:r>
                    <w:rPr>
                      <w:color w:val="auto"/>
                    </w:rPr>
                    <w:t>企业应配备必要的应急设施及设备和器材；事故易发的工作岗位配备必需的防护用品等。</w:t>
                  </w:r>
                </w:p>
              </w:tc>
            </w:tr>
            <w:tr w14:paraId="5F98D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69BEC6E0">
                  <w:pPr>
                    <w:pStyle w:val="287"/>
                    <w:framePr w:hSpace="0" w:wrap="auto" w:vAnchor="margin" w:hAnchor="text" w:xAlign="left" w:yAlign="inline"/>
                    <w:rPr>
                      <w:color w:val="auto"/>
                    </w:rPr>
                  </w:pPr>
                  <w:r>
                    <w:rPr>
                      <w:color w:val="auto"/>
                    </w:rPr>
                    <w:t>5</w:t>
                  </w:r>
                </w:p>
              </w:tc>
              <w:tc>
                <w:tcPr>
                  <w:tcW w:w="1849" w:type="dxa"/>
                  <w:vAlign w:val="center"/>
                </w:tcPr>
                <w:p w14:paraId="390F3CB9">
                  <w:pPr>
                    <w:pStyle w:val="287"/>
                    <w:framePr w:hSpace="0" w:wrap="auto" w:vAnchor="margin" w:hAnchor="text" w:xAlign="left" w:yAlign="inline"/>
                    <w:rPr>
                      <w:color w:val="auto"/>
                    </w:rPr>
                  </w:pPr>
                  <w:r>
                    <w:rPr>
                      <w:color w:val="auto"/>
                    </w:rPr>
                    <w:t>报警、通讯联络方式</w:t>
                  </w:r>
                </w:p>
              </w:tc>
              <w:tc>
                <w:tcPr>
                  <w:tcW w:w="5776" w:type="dxa"/>
                  <w:vAlign w:val="center"/>
                </w:tcPr>
                <w:p w14:paraId="776D0048">
                  <w:pPr>
                    <w:pStyle w:val="287"/>
                    <w:framePr w:hSpace="0" w:wrap="auto" w:vAnchor="margin" w:hAnchor="text" w:xAlign="left" w:yAlign="inline"/>
                    <w:rPr>
                      <w:color w:val="auto"/>
                    </w:rPr>
                  </w:pPr>
                  <w:r>
                    <w:rPr>
                      <w:color w:val="auto"/>
                    </w:rPr>
                    <w:t>建立专用的报警和通讯线路，并保持其畅通。</w:t>
                  </w:r>
                </w:p>
              </w:tc>
            </w:tr>
            <w:tr w14:paraId="55D1A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12E016C9">
                  <w:pPr>
                    <w:pStyle w:val="287"/>
                    <w:framePr w:hSpace="0" w:wrap="auto" w:vAnchor="margin" w:hAnchor="text" w:xAlign="left" w:yAlign="inline"/>
                    <w:rPr>
                      <w:color w:val="auto"/>
                    </w:rPr>
                  </w:pPr>
                  <w:r>
                    <w:rPr>
                      <w:color w:val="auto"/>
                    </w:rPr>
                    <w:t>6</w:t>
                  </w:r>
                </w:p>
              </w:tc>
              <w:tc>
                <w:tcPr>
                  <w:tcW w:w="1849" w:type="dxa"/>
                  <w:vAlign w:val="center"/>
                </w:tcPr>
                <w:p w14:paraId="73243F88">
                  <w:pPr>
                    <w:pStyle w:val="287"/>
                    <w:framePr w:hSpace="0" w:wrap="auto" w:vAnchor="margin" w:hAnchor="text" w:xAlign="left" w:yAlign="inline"/>
                    <w:rPr>
                      <w:color w:val="auto"/>
                    </w:rPr>
                  </w:pPr>
                  <w:r>
                    <w:rPr>
                      <w:color w:val="auto"/>
                    </w:rPr>
                    <w:t>应急环境监测、抢救、救援</w:t>
                  </w:r>
                  <w:r>
                    <w:rPr>
                      <w:rFonts w:hint="eastAsia"/>
                      <w:color w:val="auto"/>
                      <w:lang w:eastAsia="zh-CN"/>
                    </w:rPr>
                    <w:t>及防</w:t>
                  </w:r>
                  <w:r>
                    <w:rPr>
                      <w:color w:val="auto"/>
                    </w:rPr>
                    <w:t>控</w:t>
                  </w:r>
                </w:p>
              </w:tc>
              <w:tc>
                <w:tcPr>
                  <w:tcW w:w="5776" w:type="dxa"/>
                  <w:vAlign w:val="center"/>
                </w:tcPr>
                <w:p w14:paraId="60D44666">
                  <w:pPr>
                    <w:pStyle w:val="287"/>
                    <w:framePr w:hSpace="0" w:wrap="auto" w:vAnchor="margin" w:hAnchor="text" w:xAlign="left" w:yAlign="inline"/>
                    <w:rPr>
                      <w:rFonts w:hint="eastAsia" w:eastAsia="宋体"/>
                      <w:color w:val="auto"/>
                      <w:lang w:eastAsia="zh-CN"/>
                    </w:rPr>
                  </w:pPr>
                  <w:r>
                    <w:rPr>
                      <w:color w:val="auto"/>
                    </w:rPr>
                    <w:t>发生事故时，要保证现场的事故处理设施和全厂的应急处理系统能够紧急启动，并对事故产生的污染物进行有效的</w:t>
                  </w:r>
                  <w:r>
                    <w:rPr>
                      <w:rFonts w:hint="eastAsia"/>
                      <w:color w:val="auto"/>
                      <w:lang w:eastAsia="zh-CN"/>
                    </w:rPr>
                    <w:t>防控</w:t>
                  </w:r>
                </w:p>
              </w:tc>
            </w:tr>
            <w:tr w14:paraId="2679F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549CB013">
                  <w:pPr>
                    <w:pStyle w:val="287"/>
                    <w:framePr w:hSpace="0" w:wrap="auto" w:vAnchor="margin" w:hAnchor="text" w:xAlign="left" w:yAlign="inline"/>
                    <w:rPr>
                      <w:color w:val="auto"/>
                    </w:rPr>
                  </w:pPr>
                  <w:r>
                    <w:rPr>
                      <w:color w:val="auto"/>
                    </w:rPr>
                    <w:t>7</w:t>
                  </w:r>
                </w:p>
              </w:tc>
              <w:tc>
                <w:tcPr>
                  <w:tcW w:w="1849" w:type="dxa"/>
                  <w:vAlign w:val="center"/>
                </w:tcPr>
                <w:p w14:paraId="2EF8BD63">
                  <w:pPr>
                    <w:pStyle w:val="287"/>
                    <w:framePr w:hSpace="0" w:wrap="auto" w:vAnchor="margin" w:hAnchor="text" w:xAlign="left" w:yAlign="inline"/>
                    <w:rPr>
                      <w:color w:val="auto"/>
                    </w:rPr>
                  </w:pPr>
                  <w:r>
                    <w:rPr>
                      <w:color w:val="auto"/>
                    </w:rPr>
                    <w:t>应急监测、防护措施、清除泄漏措施和器材</w:t>
                  </w:r>
                </w:p>
              </w:tc>
              <w:tc>
                <w:tcPr>
                  <w:tcW w:w="5776" w:type="dxa"/>
                  <w:vAlign w:val="center"/>
                </w:tcPr>
                <w:p w14:paraId="78EB99ED">
                  <w:pPr>
                    <w:pStyle w:val="287"/>
                    <w:framePr w:hSpace="0" w:wrap="auto" w:vAnchor="margin" w:hAnchor="text" w:xAlign="left" w:yAlign="inline"/>
                    <w:rPr>
                      <w:color w:val="auto"/>
                    </w:rPr>
                  </w:pPr>
                  <w:r>
                    <w:rPr>
                      <w:color w:val="auto"/>
                    </w:rPr>
                    <w:t>设立必要地控制和清除污染的相应措施，如：水枪、及时 更换阀门等。事故发生时，要及时发现事故发生地点和环节，并利用已有的防护措施减少污染物的排放。</w:t>
                  </w:r>
                </w:p>
              </w:tc>
            </w:tr>
            <w:tr w14:paraId="6FFA7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50C4E2C0">
                  <w:pPr>
                    <w:pStyle w:val="287"/>
                    <w:framePr w:hSpace="0" w:wrap="auto" w:vAnchor="margin" w:hAnchor="text" w:xAlign="left" w:yAlign="inline"/>
                    <w:rPr>
                      <w:color w:val="auto"/>
                    </w:rPr>
                  </w:pPr>
                  <w:r>
                    <w:rPr>
                      <w:color w:val="auto"/>
                    </w:rPr>
                    <w:t>8</w:t>
                  </w:r>
                </w:p>
              </w:tc>
              <w:tc>
                <w:tcPr>
                  <w:tcW w:w="1849" w:type="dxa"/>
                  <w:vAlign w:val="center"/>
                </w:tcPr>
                <w:p w14:paraId="005F588B">
                  <w:pPr>
                    <w:pStyle w:val="287"/>
                    <w:framePr w:hSpace="0" w:wrap="auto" w:vAnchor="margin" w:hAnchor="text" w:xAlign="left" w:yAlign="inline"/>
                    <w:rPr>
                      <w:color w:val="auto"/>
                    </w:rPr>
                  </w:pPr>
                  <w:r>
                    <w:rPr>
                      <w:color w:val="auto"/>
                    </w:rPr>
                    <w:t>人员积极撤离、疏散，应急剂量控制、撤离计划</w:t>
                  </w:r>
                </w:p>
              </w:tc>
              <w:tc>
                <w:tcPr>
                  <w:tcW w:w="5776" w:type="dxa"/>
                  <w:vAlign w:val="center"/>
                </w:tcPr>
                <w:p w14:paraId="7F6AF484">
                  <w:pPr>
                    <w:pStyle w:val="287"/>
                    <w:framePr w:hSpace="0" w:wrap="auto" w:vAnchor="margin" w:hAnchor="text" w:xAlign="left" w:yAlign="inline"/>
                    <w:rPr>
                      <w:color w:val="auto"/>
                    </w:rPr>
                  </w:pPr>
                  <w:r>
                    <w:rPr>
                      <w:color w:val="auto"/>
                    </w:rPr>
                    <w:t>事故发生时，通知下风向居民和企事业单位，以便于人群紧急疏散，减小污染物对周围人</w:t>
                  </w:r>
                  <w:r>
                    <w:rPr>
                      <w:rFonts w:hint="eastAsia"/>
                      <w:color w:val="auto"/>
                      <w:lang w:eastAsia="zh-CN"/>
                    </w:rPr>
                    <w:t>群身</w:t>
                  </w:r>
                  <w:r>
                    <w:rPr>
                      <w:color w:val="auto"/>
                    </w:rPr>
                    <w:t>体健康的影响。及时通知公安、交通、消防等有关部门及时封闭受污染区域，减小事故影响范围。发生重大事故时，要通知周围居民和企业及时疏散。</w:t>
                  </w:r>
                </w:p>
              </w:tc>
            </w:tr>
            <w:tr w14:paraId="2A6EB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1E43FD91">
                  <w:pPr>
                    <w:pStyle w:val="287"/>
                    <w:framePr w:hSpace="0" w:wrap="auto" w:vAnchor="margin" w:hAnchor="text" w:xAlign="left" w:yAlign="inline"/>
                    <w:rPr>
                      <w:color w:val="auto"/>
                    </w:rPr>
                  </w:pPr>
                  <w:r>
                    <w:rPr>
                      <w:color w:val="auto"/>
                    </w:rPr>
                    <w:t>9</w:t>
                  </w:r>
                </w:p>
              </w:tc>
              <w:tc>
                <w:tcPr>
                  <w:tcW w:w="1849" w:type="dxa"/>
                  <w:vAlign w:val="center"/>
                </w:tcPr>
                <w:p w14:paraId="751C1888">
                  <w:pPr>
                    <w:pStyle w:val="287"/>
                    <w:framePr w:hSpace="0" w:wrap="auto" w:vAnchor="margin" w:hAnchor="text" w:xAlign="left" w:yAlign="inline"/>
                    <w:rPr>
                      <w:color w:val="auto"/>
                    </w:rPr>
                  </w:pPr>
                  <w:r>
                    <w:rPr>
                      <w:color w:val="auto"/>
                    </w:rPr>
                    <w:t>事故应急救援关闭程序和恢复</w:t>
                  </w:r>
                  <w:r>
                    <w:rPr>
                      <w:rFonts w:hint="eastAsia"/>
                      <w:color w:val="auto"/>
                      <w:lang w:eastAsia="zh-CN"/>
                    </w:rPr>
                    <w:t>措施</w:t>
                  </w:r>
                </w:p>
                <w:p w14:paraId="4AEF637D">
                  <w:pPr>
                    <w:pStyle w:val="287"/>
                    <w:framePr w:hSpace="0" w:wrap="auto" w:vAnchor="margin" w:hAnchor="text" w:xAlign="left" w:yAlign="inline"/>
                    <w:rPr>
                      <w:color w:val="auto"/>
                    </w:rPr>
                  </w:pPr>
                  <w:r>
                    <w:rPr>
                      <w:color w:val="auto"/>
                    </w:rPr>
                    <w:t>施</w:t>
                  </w:r>
                </w:p>
              </w:tc>
              <w:tc>
                <w:tcPr>
                  <w:tcW w:w="5776" w:type="dxa"/>
                  <w:vAlign w:val="center"/>
                </w:tcPr>
                <w:p w14:paraId="2D147E5F">
                  <w:pPr>
                    <w:pStyle w:val="287"/>
                    <w:framePr w:hSpace="0" w:wrap="auto" w:vAnchor="margin" w:hAnchor="text" w:xAlign="left" w:yAlign="inline"/>
                    <w:rPr>
                      <w:color w:val="auto"/>
                    </w:rPr>
                  </w:pPr>
                  <w:r>
                    <w:rPr>
                      <w:color w:val="auto"/>
                    </w:rPr>
                    <w:t>事故发生后，采取相应的应急处理，在环境监测部门对周围环境进行监测合格后，方可关闭应急程序，同时做好善后工作。</w:t>
                  </w:r>
                </w:p>
              </w:tc>
            </w:tr>
            <w:tr w14:paraId="7944D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56CC1CD1">
                  <w:pPr>
                    <w:pStyle w:val="287"/>
                    <w:framePr w:hSpace="0" w:wrap="auto" w:vAnchor="margin" w:hAnchor="text" w:xAlign="left" w:yAlign="inline"/>
                    <w:rPr>
                      <w:color w:val="auto"/>
                    </w:rPr>
                  </w:pPr>
                  <w:r>
                    <w:rPr>
                      <w:color w:val="auto"/>
                    </w:rPr>
                    <w:t>10</w:t>
                  </w:r>
                </w:p>
              </w:tc>
              <w:tc>
                <w:tcPr>
                  <w:tcW w:w="1849" w:type="dxa"/>
                  <w:vAlign w:val="center"/>
                </w:tcPr>
                <w:p w14:paraId="41A3CD76">
                  <w:pPr>
                    <w:pStyle w:val="287"/>
                    <w:framePr w:hSpace="0" w:wrap="auto" w:vAnchor="margin" w:hAnchor="text" w:xAlign="left" w:yAlign="inline"/>
                    <w:rPr>
                      <w:color w:val="auto"/>
                    </w:rPr>
                  </w:pPr>
                  <w:r>
                    <w:rPr>
                      <w:color w:val="auto"/>
                    </w:rPr>
                    <w:t>应急培训计划</w:t>
                  </w:r>
                </w:p>
              </w:tc>
              <w:tc>
                <w:tcPr>
                  <w:tcW w:w="5776" w:type="dxa"/>
                  <w:vAlign w:val="center"/>
                </w:tcPr>
                <w:p w14:paraId="2B0CEDDA">
                  <w:pPr>
                    <w:pStyle w:val="287"/>
                    <w:framePr w:hSpace="0" w:wrap="auto" w:vAnchor="margin" w:hAnchor="text" w:xAlign="left" w:yAlign="inline"/>
                    <w:rPr>
                      <w:color w:val="auto"/>
                    </w:rPr>
                  </w:pPr>
                  <w:r>
                    <w:rPr>
                      <w:color w:val="auto"/>
                    </w:rPr>
                    <w:t>企业要注意</w:t>
                  </w:r>
                  <w:r>
                    <w:rPr>
                      <w:rFonts w:hint="eastAsia"/>
                      <w:color w:val="auto"/>
                      <w:lang w:eastAsia="zh-CN"/>
                    </w:rPr>
                    <w:t>日常</w:t>
                  </w:r>
                  <w:r>
                    <w:rPr>
                      <w:color w:val="auto"/>
                    </w:rPr>
                    <w:t>工作中对事故应急处理的培训，以提高职工的安全防范意识。</w:t>
                  </w:r>
                </w:p>
              </w:tc>
            </w:tr>
            <w:tr w14:paraId="2688F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691" w:type="dxa"/>
                  <w:vAlign w:val="center"/>
                </w:tcPr>
                <w:p w14:paraId="1898A40D">
                  <w:pPr>
                    <w:pStyle w:val="287"/>
                    <w:framePr w:hSpace="0" w:wrap="auto" w:vAnchor="margin" w:hAnchor="text" w:xAlign="left" w:yAlign="inline"/>
                    <w:rPr>
                      <w:color w:val="auto"/>
                    </w:rPr>
                  </w:pPr>
                  <w:r>
                    <w:rPr>
                      <w:color w:val="auto"/>
                    </w:rPr>
                    <w:t>11</w:t>
                  </w:r>
                </w:p>
              </w:tc>
              <w:tc>
                <w:tcPr>
                  <w:tcW w:w="1849" w:type="dxa"/>
                  <w:vAlign w:val="center"/>
                </w:tcPr>
                <w:p w14:paraId="7B1F3DF3">
                  <w:pPr>
                    <w:pStyle w:val="287"/>
                    <w:framePr w:hSpace="0" w:wrap="auto" w:vAnchor="margin" w:hAnchor="text" w:xAlign="left" w:yAlign="inline"/>
                    <w:rPr>
                      <w:color w:val="auto"/>
                    </w:rPr>
                  </w:pPr>
                  <w:r>
                    <w:rPr>
                      <w:color w:val="auto"/>
                    </w:rPr>
                    <w:t>公众教育和信息</w:t>
                  </w:r>
                </w:p>
              </w:tc>
              <w:tc>
                <w:tcPr>
                  <w:tcW w:w="5776" w:type="dxa"/>
                  <w:vAlign w:val="center"/>
                </w:tcPr>
                <w:p w14:paraId="44EC9738">
                  <w:pPr>
                    <w:pStyle w:val="287"/>
                    <w:framePr w:hSpace="0" w:wrap="auto" w:vAnchor="margin" w:hAnchor="text" w:xAlign="left" w:yAlign="inline"/>
                    <w:rPr>
                      <w:color w:val="auto"/>
                    </w:rPr>
                  </w:pPr>
                  <w:r>
                    <w:rPr>
                      <w:color w:val="auto"/>
                    </w:rPr>
                    <w:t>通过各种方式，对周围居民等进行事故防范宣传。</w:t>
                  </w:r>
                </w:p>
              </w:tc>
            </w:tr>
          </w:tbl>
          <w:p w14:paraId="654C75CA">
            <w:pPr>
              <w:pStyle w:val="771"/>
              <w:bidi w:val="0"/>
              <w:ind w:left="0" w:leftChars="0" w:firstLine="0" w:firstLineChars="0"/>
              <w:rPr>
                <w:b/>
                <w:bCs/>
                <w:color w:val="auto"/>
              </w:rPr>
            </w:pPr>
            <w:r>
              <w:rPr>
                <w:b/>
                <w:bCs/>
                <w:color w:val="auto"/>
              </w:rPr>
              <w:t>4.</w:t>
            </w:r>
            <w:r>
              <w:rPr>
                <w:rFonts w:hint="eastAsia"/>
                <w:b/>
                <w:bCs/>
                <w:color w:val="auto"/>
                <w:lang w:val="en-US" w:eastAsia="zh-CN"/>
              </w:rPr>
              <w:t>10</w:t>
            </w:r>
            <w:r>
              <w:rPr>
                <w:b/>
                <w:bCs/>
                <w:color w:val="auto"/>
              </w:rPr>
              <w:t xml:space="preserve"> </w:t>
            </w:r>
            <w:r>
              <w:rPr>
                <w:rFonts w:hint="eastAsia"/>
                <w:b/>
                <w:bCs/>
                <w:color w:val="auto"/>
              </w:rPr>
              <w:t>电磁辐射环境影响分析</w:t>
            </w:r>
          </w:p>
          <w:p w14:paraId="0C04B13D">
            <w:pPr>
              <w:pStyle w:val="771"/>
              <w:bidi w:val="0"/>
              <w:rPr>
                <w:color w:val="auto"/>
              </w:rPr>
            </w:pPr>
            <w:r>
              <w:rPr>
                <w:rFonts w:hint="eastAsia"/>
                <w:color w:val="auto"/>
              </w:rPr>
              <w:t>本项目不属于电磁辐射类项目，无电磁辐射污染，因此无需进行电磁辐射环境影响分析。</w:t>
            </w:r>
          </w:p>
          <w:p w14:paraId="6A0E6A7F">
            <w:pPr>
              <w:pStyle w:val="771"/>
              <w:bidi w:val="0"/>
              <w:ind w:left="0" w:leftChars="0" w:firstLine="0" w:firstLineChars="0"/>
              <w:rPr>
                <w:b/>
                <w:bCs/>
                <w:color w:val="auto"/>
              </w:rPr>
            </w:pPr>
            <w:r>
              <w:rPr>
                <w:rFonts w:hint="eastAsia"/>
                <w:b/>
                <w:bCs/>
                <w:color w:val="auto"/>
              </w:rPr>
              <w:t>4.1</w:t>
            </w:r>
            <w:r>
              <w:rPr>
                <w:rFonts w:hint="eastAsia"/>
                <w:b/>
                <w:bCs/>
                <w:color w:val="auto"/>
                <w:lang w:val="en-US" w:eastAsia="zh-CN"/>
              </w:rPr>
              <w:t>1</w:t>
            </w:r>
            <w:r>
              <w:rPr>
                <w:b/>
                <w:bCs/>
                <w:color w:val="auto"/>
              </w:rPr>
              <w:t xml:space="preserve"> </w:t>
            </w:r>
            <w:r>
              <w:rPr>
                <w:rFonts w:hint="eastAsia"/>
                <w:b/>
                <w:bCs/>
                <w:color w:val="auto"/>
              </w:rPr>
              <w:t>项目环保措施汇总及投资</w:t>
            </w:r>
          </w:p>
          <w:p w14:paraId="32C3AF84">
            <w:pPr>
              <w:pStyle w:val="771"/>
              <w:keepNext w:val="0"/>
              <w:keepLines w:val="0"/>
              <w:pageBreakBefore w:val="0"/>
              <w:widowControl w:val="0"/>
              <w:kinsoku/>
              <w:wordWrap/>
              <w:overflowPunct/>
              <w:topLinePunct w:val="0"/>
              <w:autoSpaceDE/>
              <w:autoSpaceDN/>
              <w:bidi w:val="0"/>
              <w:adjustRightInd w:val="0"/>
              <w:snapToGrid w:val="0"/>
              <w:textAlignment w:val="auto"/>
              <w:rPr>
                <w:bCs/>
                <w:color w:val="auto"/>
              </w:rPr>
            </w:pPr>
            <w:r>
              <w:rPr>
                <w:rFonts w:hint="eastAsia"/>
                <w:color w:val="auto"/>
              </w:rPr>
              <w:t>本</w:t>
            </w:r>
            <w:r>
              <w:rPr>
                <w:color w:val="auto"/>
              </w:rPr>
              <w:t>项目</w:t>
            </w:r>
            <w:r>
              <w:rPr>
                <w:rFonts w:hint="eastAsia"/>
                <w:color w:val="auto"/>
                <w:lang w:eastAsia="zh-CN"/>
              </w:rPr>
              <w:t>总投资</w:t>
            </w:r>
            <w:r>
              <w:rPr>
                <w:rFonts w:hint="eastAsia"/>
                <w:color w:val="auto"/>
                <w:lang w:val="en-US" w:eastAsia="zh-CN"/>
              </w:rPr>
              <w:t>3000万元，</w:t>
            </w:r>
            <w:r>
              <w:rPr>
                <w:color w:val="auto"/>
              </w:rPr>
              <w:t>环保投资为</w:t>
            </w:r>
            <w:r>
              <w:rPr>
                <w:rFonts w:hint="eastAsia"/>
                <w:color w:val="auto"/>
                <w:lang w:val="en-US" w:eastAsia="zh-CN"/>
              </w:rPr>
              <w:t>46</w:t>
            </w:r>
            <w:r>
              <w:rPr>
                <w:color w:val="auto"/>
              </w:rPr>
              <w:t>万元，占总投资的</w:t>
            </w:r>
            <w:r>
              <w:rPr>
                <w:rFonts w:hint="eastAsia"/>
                <w:color w:val="auto"/>
                <w:lang w:val="en-US" w:eastAsia="zh-CN"/>
              </w:rPr>
              <w:t>1.53</w:t>
            </w:r>
            <w:r>
              <w:rPr>
                <w:color w:val="auto"/>
              </w:rPr>
              <w:t>%，环保投资估算详见下表：</w:t>
            </w:r>
          </w:p>
          <w:p w14:paraId="0F50A91A">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表 </w:t>
            </w:r>
            <w:r>
              <w:rPr>
                <w:rFonts w:hint="eastAsia"/>
                <w:color w:val="auto"/>
                <w:lang w:val="en-US" w:eastAsia="zh-CN"/>
              </w:rPr>
              <w:t>4</w:t>
            </w:r>
            <w:r>
              <w:rPr>
                <w:rFonts w:hint="eastAsia"/>
                <w:color w:val="auto"/>
                <w:lang w:eastAsia="zh-CN"/>
              </w:rPr>
              <w:t>-</w:t>
            </w:r>
            <w:r>
              <w:rPr>
                <w:rFonts w:hint="eastAsia"/>
                <w:color w:val="auto"/>
                <w:lang w:val="en-US" w:eastAsia="zh-CN"/>
              </w:rPr>
              <w:t xml:space="preserve">15 </w:t>
            </w:r>
            <w:r>
              <w:rPr>
                <w:color w:val="auto"/>
              </w:rPr>
              <w:t>环保投资一览表</w:t>
            </w:r>
          </w:p>
          <w:tbl>
            <w:tblPr>
              <w:tblStyle w:val="24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83"/>
              <w:gridCol w:w="1960"/>
              <w:gridCol w:w="3692"/>
              <w:gridCol w:w="1583"/>
            </w:tblGrid>
            <w:tr w14:paraId="6CA2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83" w:type="dxa"/>
                  <w:vAlign w:val="center"/>
                </w:tcPr>
                <w:p w14:paraId="26EC3A19">
                  <w:pPr>
                    <w:pStyle w:val="287"/>
                    <w:framePr w:hSpace="0" w:wrap="auto" w:vAnchor="margin" w:hAnchor="text" w:xAlign="left" w:yAlign="inline"/>
                    <w:rPr>
                      <w:color w:val="auto"/>
                    </w:rPr>
                  </w:pPr>
                  <w:r>
                    <w:rPr>
                      <w:color w:val="auto"/>
                    </w:rPr>
                    <w:t>类别</w:t>
                  </w:r>
                </w:p>
              </w:tc>
              <w:tc>
                <w:tcPr>
                  <w:tcW w:w="1960" w:type="dxa"/>
                  <w:vAlign w:val="center"/>
                </w:tcPr>
                <w:p w14:paraId="4861A865">
                  <w:pPr>
                    <w:pStyle w:val="287"/>
                    <w:framePr w:hSpace="0" w:wrap="auto" w:vAnchor="margin" w:hAnchor="text" w:xAlign="left" w:yAlign="inline"/>
                    <w:rPr>
                      <w:rFonts w:hint="eastAsia" w:eastAsia="宋体"/>
                      <w:color w:val="auto"/>
                      <w:lang w:eastAsia="zh-CN"/>
                    </w:rPr>
                  </w:pPr>
                  <w:r>
                    <w:rPr>
                      <w:rFonts w:hint="eastAsia"/>
                      <w:color w:val="auto"/>
                      <w:lang w:eastAsia="zh-CN"/>
                    </w:rPr>
                    <w:t>污染物</w:t>
                  </w:r>
                </w:p>
              </w:tc>
              <w:tc>
                <w:tcPr>
                  <w:tcW w:w="3692" w:type="dxa"/>
                  <w:vAlign w:val="center"/>
                </w:tcPr>
                <w:p w14:paraId="70E2A033">
                  <w:pPr>
                    <w:pStyle w:val="287"/>
                    <w:framePr w:hSpace="0" w:wrap="auto" w:vAnchor="margin" w:hAnchor="text" w:xAlign="left" w:yAlign="inline"/>
                    <w:rPr>
                      <w:color w:val="auto"/>
                    </w:rPr>
                  </w:pPr>
                  <w:r>
                    <w:rPr>
                      <w:color w:val="auto"/>
                    </w:rPr>
                    <w:t>环保投资内容</w:t>
                  </w:r>
                </w:p>
              </w:tc>
              <w:tc>
                <w:tcPr>
                  <w:tcW w:w="1583" w:type="dxa"/>
                  <w:vAlign w:val="center"/>
                </w:tcPr>
                <w:p w14:paraId="5AE478F2">
                  <w:pPr>
                    <w:pStyle w:val="287"/>
                    <w:framePr w:hSpace="0" w:wrap="auto" w:vAnchor="margin" w:hAnchor="text" w:xAlign="left" w:yAlign="inline"/>
                    <w:rPr>
                      <w:color w:val="auto"/>
                    </w:rPr>
                  </w:pPr>
                  <w:r>
                    <w:rPr>
                      <w:color w:val="auto"/>
                    </w:rPr>
                    <w:t>投资额（万元）</w:t>
                  </w:r>
                </w:p>
              </w:tc>
            </w:tr>
            <w:tr w14:paraId="536DD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83" w:type="dxa"/>
                  <w:vAlign w:val="center"/>
                </w:tcPr>
                <w:p w14:paraId="6410E4F3">
                  <w:pPr>
                    <w:pStyle w:val="287"/>
                    <w:framePr w:hSpace="0" w:wrap="auto" w:vAnchor="margin" w:hAnchor="text" w:xAlign="left" w:yAlign="inline"/>
                    <w:rPr>
                      <w:color w:val="auto"/>
                    </w:rPr>
                  </w:pPr>
                  <w:r>
                    <w:rPr>
                      <w:color w:val="auto"/>
                    </w:rPr>
                    <w:t>废气治理</w:t>
                  </w:r>
                </w:p>
              </w:tc>
              <w:tc>
                <w:tcPr>
                  <w:tcW w:w="1960" w:type="dxa"/>
                  <w:vAlign w:val="center"/>
                </w:tcPr>
                <w:p w14:paraId="07150031">
                  <w:pPr>
                    <w:pStyle w:val="287"/>
                    <w:framePr w:hSpace="0" w:wrap="auto" w:vAnchor="margin" w:hAnchor="text" w:xAlign="left" w:yAlign="inline"/>
                    <w:rPr>
                      <w:rFonts w:hint="eastAsia" w:eastAsia="宋体"/>
                      <w:color w:val="auto"/>
                      <w:lang w:eastAsia="zh-CN"/>
                    </w:rPr>
                  </w:pPr>
                  <w:r>
                    <w:rPr>
                      <w:rFonts w:hint="default" w:ascii="Times New Roman" w:hAnsi="Times New Roman" w:eastAsia="宋体" w:cs="Times New Roman"/>
                      <w:color w:val="auto"/>
                      <w:sz w:val="18"/>
                      <w:szCs w:val="18"/>
                      <w:highlight w:val="none"/>
                    </w:rPr>
                    <w:t>物料及成品</w:t>
                  </w:r>
                  <w:r>
                    <w:rPr>
                      <w:rFonts w:hint="default" w:ascii="Times New Roman" w:hAnsi="Times New Roman" w:eastAsia="宋体" w:cs="Times New Roman"/>
                      <w:color w:val="auto"/>
                      <w:sz w:val="18"/>
                      <w:szCs w:val="18"/>
                      <w:highlight w:val="none"/>
                      <w:lang w:val="en-US" w:eastAsia="zh-CN"/>
                    </w:rPr>
                    <w:t>堆存、</w:t>
                  </w:r>
                  <w:r>
                    <w:rPr>
                      <w:rFonts w:hint="default" w:ascii="Times New Roman" w:hAnsi="Times New Roman" w:eastAsia="宋体" w:cs="Times New Roman"/>
                      <w:color w:val="auto"/>
                      <w:sz w:val="18"/>
                      <w:szCs w:val="18"/>
                      <w:highlight w:val="none"/>
                    </w:rPr>
                    <w:t>输送、交通运输起尘</w:t>
                  </w:r>
                </w:p>
              </w:tc>
              <w:tc>
                <w:tcPr>
                  <w:tcW w:w="3692" w:type="dxa"/>
                  <w:vAlign w:val="center"/>
                </w:tcPr>
                <w:p w14:paraId="4791E48B">
                  <w:pPr>
                    <w:keepNext w:val="0"/>
                    <w:keepLines w:val="0"/>
                    <w:pageBreakBefore w:val="0"/>
                    <w:widowControl/>
                    <w:suppressLineNumbers w:val="0"/>
                    <w:kinsoku/>
                    <w:wordWrap/>
                    <w:overflowPunct/>
                    <w:topLinePunct w:val="0"/>
                    <w:autoSpaceDE/>
                    <w:autoSpaceDN/>
                    <w:bidi w:val="0"/>
                    <w:adjustRightInd w:val="0"/>
                    <w:snapToGrid w:val="0"/>
                    <w:spacing w:after="0" w:line="240" w:lineRule="auto"/>
                    <w:jc w:val="left"/>
                    <w:textAlignment w:val="auto"/>
                    <w:rPr>
                      <w:color w:val="auto"/>
                    </w:rPr>
                  </w:pPr>
                  <w:r>
                    <w:rPr>
                      <w:rFonts w:hint="eastAsia" w:ascii="Times New Roman" w:hAnsi="Times New Roman" w:eastAsia="宋体" w:cs="Times New Roman"/>
                      <w:color w:val="auto"/>
                      <w:kern w:val="2"/>
                      <w:sz w:val="18"/>
                      <w:szCs w:val="18"/>
                      <w:highlight w:val="none"/>
                      <w:lang w:val="zh-CN" w:eastAsia="zh-CN" w:bidi="ar-SA"/>
                    </w:rPr>
                    <w:t>厂区地面、道路全部硬化，运输道路定时洒水；运输车辆采用篷布苫盖；当路面出现损坏及时修复。</w:t>
                  </w:r>
                </w:p>
              </w:tc>
              <w:tc>
                <w:tcPr>
                  <w:tcW w:w="1583" w:type="dxa"/>
                  <w:vAlign w:val="center"/>
                </w:tcPr>
                <w:p w14:paraId="5A5E89C6">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10</w:t>
                  </w:r>
                </w:p>
              </w:tc>
            </w:tr>
            <w:tr w14:paraId="2E349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83" w:type="dxa"/>
                  <w:vMerge w:val="restart"/>
                  <w:vAlign w:val="center"/>
                </w:tcPr>
                <w:p w14:paraId="4CA406AE">
                  <w:pPr>
                    <w:pStyle w:val="287"/>
                    <w:framePr w:hSpace="0" w:wrap="auto" w:vAnchor="margin" w:hAnchor="text" w:xAlign="left" w:yAlign="inline"/>
                    <w:rPr>
                      <w:color w:val="auto"/>
                    </w:rPr>
                  </w:pPr>
                  <w:r>
                    <w:rPr>
                      <w:color w:val="auto"/>
                    </w:rPr>
                    <w:t>废水治理</w:t>
                  </w:r>
                </w:p>
              </w:tc>
              <w:tc>
                <w:tcPr>
                  <w:tcW w:w="1960" w:type="dxa"/>
                  <w:vAlign w:val="center"/>
                </w:tcPr>
                <w:p w14:paraId="101DEF1A">
                  <w:pPr>
                    <w:pStyle w:val="287"/>
                    <w:framePr w:hSpace="0" w:wrap="auto" w:vAnchor="margin" w:hAnchor="text" w:xAlign="left" w:yAlign="inline"/>
                    <w:rPr>
                      <w:color w:val="auto"/>
                    </w:rPr>
                  </w:pPr>
                  <w:r>
                    <w:rPr>
                      <w:color w:val="auto"/>
                    </w:rPr>
                    <w:t>生活污水</w:t>
                  </w:r>
                </w:p>
              </w:tc>
              <w:tc>
                <w:tcPr>
                  <w:tcW w:w="3692" w:type="dxa"/>
                  <w:vAlign w:val="center"/>
                </w:tcPr>
                <w:p w14:paraId="6EEE83D0">
                  <w:pPr>
                    <w:pStyle w:val="287"/>
                    <w:framePr w:hSpace="0" w:wrap="auto" w:vAnchor="margin" w:hAnchor="text" w:xAlign="left" w:yAlign="inline"/>
                    <w:rPr>
                      <w:rFonts w:hint="eastAsia" w:eastAsia="宋体"/>
                      <w:color w:val="auto"/>
                      <w:lang w:eastAsia="zh-CN"/>
                    </w:rPr>
                  </w:pPr>
                  <w:r>
                    <w:rPr>
                      <w:rFonts w:hint="eastAsia"/>
                      <w:color w:val="auto"/>
                      <w:lang w:eastAsia="zh-CN"/>
                    </w:rPr>
                    <w:t>不在本项目占地范围内产生，依托淮南市八公山区淮南舜岳水泥有限责任公司化粪池处理</w:t>
                  </w:r>
                </w:p>
              </w:tc>
              <w:tc>
                <w:tcPr>
                  <w:tcW w:w="1583" w:type="dxa"/>
                  <w:vAlign w:val="center"/>
                </w:tcPr>
                <w:p w14:paraId="3C599816">
                  <w:pPr>
                    <w:pStyle w:val="287"/>
                    <w:framePr w:hSpace="0" w:wrap="auto" w:vAnchor="margin" w:hAnchor="text" w:xAlign="left" w:yAlign="inline"/>
                    <w:rPr>
                      <w:rFonts w:hint="eastAsia" w:eastAsia="宋体"/>
                      <w:color w:val="auto"/>
                      <w:lang w:val="en-US" w:eastAsia="zh-CN"/>
                    </w:rPr>
                  </w:pPr>
                  <w:r>
                    <w:rPr>
                      <w:rFonts w:hint="eastAsia"/>
                      <w:color w:val="auto"/>
                      <w:lang w:val="en-US" w:eastAsia="zh-CN"/>
                    </w:rPr>
                    <w:t>0</w:t>
                  </w:r>
                </w:p>
              </w:tc>
            </w:tr>
            <w:tr w14:paraId="75B9B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83" w:type="dxa"/>
                  <w:vMerge w:val="continue"/>
                  <w:vAlign w:val="center"/>
                </w:tcPr>
                <w:p w14:paraId="5305CF4C">
                  <w:pPr>
                    <w:pStyle w:val="287"/>
                    <w:framePr w:hSpace="0" w:wrap="auto" w:vAnchor="margin" w:hAnchor="text" w:xAlign="left" w:yAlign="inline"/>
                    <w:rPr>
                      <w:color w:val="auto"/>
                    </w:rPr>
                  </w:pPr>
                </w:p>
              </w:tc>
              <w:tc>
                <w:tcPr>
                  <w:tcW w:w="1960" w:type="dxa"/>
                  <w:vAlign w:val="center"/>
                </w:tcPr>
                <w:p w14:paraId="1CC36430">
                  <w:pPr>
                    <w:pStyle w:val="287"/>
                    <w:framePr w:hSpace="0" w:wrap="auto" w:vAnchor="margin" w:hAnchor="text" w:xAlign="left" w:yAlign="inline"/>
                    <w:rPr>
                      <w:rFonts w:hint="eastAsia" w:eastAsia="宋体"/>
                      <w:color w:val="auto"/>
                      <w:lang w:eastAsia="zh-CN"/>
                    </w:rPr>
                  </w:pPr>
                  <w:r>
                    <w:rPr>
                      <w:color w:val="auto"/>
                    </w:rPr>
                    <w:t>生产废水</w:t>
                  </w:r>
                </w:p>
              </w:tc>
              <w:tc>
                <w:tcPr>
                  <w:tcW w:w="3692" w:type="dxa"/>
                  <w:vAlign w:val="center"/>
                </w:tcPr>
                <w:p w14:paraId="6162D0D0">
                  <w:pPr>
                    <w:pStyle w:val="287"/>
                    <w:framePr w:hSpace="0" w:wrap="auto" w:vAnchor="margin" w:hAnchor="text" w:xAlign="left" w:yAlign="inline"/>
                    <w:rPr>
                      <w:rFonts w:hint="eastAsia" w:eastAsia="宋体"/>
                      <w:color w:val="auto"/>
                      <w:lang w:eastAsia="zh-CN"/>
                    </w:rPr>
                  </w:pPr>
                  <w:r>
                    <w:rPr>
                      <w:rFonts w:hint="default" w:ascii="Times New Roman" w:hAnsi="Times New Roman" w:eastAsia="宋体" w:cs="Times New Roman"/>
                      <w:color w:val="auto"/>
                      <w:sz w:val="18"/>
                      <w:szCs w:val="18"/>
                      <w:highlight w:val="none"/>
                    </w:rPr>
                    <w:t>煤泥水闭路循环，设置</w:t>
                  </w:r>
                  <w:r>
                    <w:rPr>
                      <w:rFonts w:hint="eastAsia" w:ascii="Times New Roman" w:hAnsi="Times New Roman" w:eastAsia="宋体" w:cs="Times New Roman"/>
                      <w:color w:val="auto"/>
                      <w:sz w:val="18"/>
                      <w:szCs w:val="18"/>
                      <w:highlight w:val="none"/>
                      <w:lang w:val="en-US" w:eastAsia="zh-CN"/>
                    </w:rPr>
                    <w:t>循环水池、事故水</w:t>
                  </w:r>
                  <w:r>
                    <w:rPr>
                      <w:rFonts w:hint="default" w:ascii="Times New Roman" w:hAnsi="Times New Roman" w:eastAsia="宋体" w:cs="Times New Roman"/>
                      <w:color w:val="auto"/>
                      <w:sz w:val="18"/>
                      <w:szCs w:val="18"/>
                      <w:highlight w:val="none"/>
                      <w:lang w:val="en-US" w:eastAsia="zh-CN"/>
                    </w:rPr>
                    <w:t>池等</w:t>
                  </w:r>
                </w:p>
              </w:tc>
              <w:tc>
                <w:tcPr>
                  <w:tcW w:w="1583" w:type="dxa"/>
                  <w:vAlign w:val="center"/>
                </w:tcPr>
                <w:p w14:paraId="42B10430">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20</w:t>
                  </w:r>
                </w:p>
              </w:tc>
            </w:tr>
            <w:tr w14:paraId="5F327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83" w:type="dxa"/>
                  <w:vMerge w:val="continue"/>
                  <w:vAlign w:val="center"/>
                </w:tcPr>
                <w:p w14:paraId="3AE78F8E">
                  <w:pPr>
                    <w:pStyle w:val="287"/>
                    <w:framePr w:hSpace="0" w:wrap="auto" w:vAnchor="margin" w:hAnchor="text" w:xAlign="left" w:yAlign="inline"/>
                    <w:rPr>
                      <w:color w:val="auto"/>
                    </w:rPr>
                  </w:pPr>
                </w:p>
              </w:tc>
              <w:tc>
                <w:tcPr>
                  <w:tcW w:w="1960" w:type="dxa"/>
                  <w:vAlign w:val="center"/>
                </w:tcPr>
                <w:p w14:paraId="0A64A2D6">
                  <w:pPr>
                    <w:pStyle w:val="287"/>
                    <w:framePr w:hSpace="0" w:wrap="auto" w:vAnchor="margin" w:hAnchor="text" w:xAlign="left" w:yAlign="inline"/>
                    <w:rPr>
                      <w:rFonts w:hint="eastAsia" w:eastAsia="宋体"/>
                      <w:color w:val="auto"/>
                      <w:lang w:eastAsia="zh-CN"/>
                    </w:rPr>
                  </w:pPr>
                  <w:r>
                    <w:rPr>
                      <w:rFonts w:hint="eastAsia"/>
                      <w:color w:val="auto"/>
                      <w:lang w:eastAsia="zh-CN"/>
                    </w:rPr>
                    <w:t>初期雨水</w:t>
                  </w:r>
                </w:p>
              </w:tc>
              <w:tc>
                <w:tcPr>
                  <w:tcW w:w="3692" w:type="dxa"/>
                  <w:vAlign w:val="center"/>
                </w:tcPr>
                <w:p w14:paraId="2C128FA3">
                  <w:pPr>
                    <w:pStyle w:val="287"/>
                    <w:framePr w:hSpace="0" w:wrap="auto" w:vAnchor="margin" w:hAnchor="text" w:xAlign="left" w:yAlign="inline"/>
                    <w:rPr>
                      <w:rFonts w:hint="default" w:ascii="Times New Roman" w:hAnsi="Times New Roman" w:eastAsia="宋体" w:cs="Times New Roman"/>
                      <w:color w:val="auto"/>
                      <w:sz w:val="18"/>
                      <w:szCs w:val="18"/>
                      <w:highlight w:val="none"/>
                    </w:rPr>
                  </w:pPr>
                  <w:r>
                    <w:rPr>
                      <w:rFonts w:hint="eastAsia"/>
                      <w:color w:val="auto"/>
                      <w:lang w:eastAsia="zh-CN"/>
                    </w:rPr>
                    <w:t>初期雨水收集池</w:t>
                  </w:r>
                </w:p>
              </w:tc>
              <w:tc>
                <w:tcPr>
                  <w:tcW w:w="1583" w:type="dxa"/>
                  <w:vAlign w:val="center"/>
                </w:tcPr>
                <w:p w14:paraId="2B64B604">
                  <w:pPr>
                    <w:pStyle w:val="287"/>
                    <w:framePr w:hSpace="0" w:wrap="auto" w:vAnchor="margin" w:hAnchor="text" w:xAlign="left" w:yAlign="inline"/>
                    <w:rPr>
                      <w:rFonts w:hint="default"/>
                      <w:color w:val="auto"/>
                      <w:lang w:val="en-US" w:eastAsia="zh-CN"/>
                    </w:rPr>
                  </w:pPr>
                  <w:r>
                    <w:rPr>
                      <w:rFonts w:hint="eastAsia"/>
                      <w:color w:val="auto"/>
                      <w:lang w:val="en-US" w:eastAsia="zh-CN"/>
                    </w:rPr>
                    <w:t>3</w:t>
                  </w:r>
                </w:p>
              </w:tc>
            </w:tr>
            <w:tr w14:paraId="43D8E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83" w:type="dxa"/>
                  <w:vAlign w:val="center"/>
                </w:tcPr>
                <w:p w14:paraId="141CE649">
                  <w:pPr>
                    <w:pStyle w:val="287"/>
                    <w:framePr w:hSpace="0" w:wrap="auto" w:vAnchor="margin" w:hAnchor="text" w:xAlign="left" w:yAlign="inline"/>
                    <w:rPr>
                      <w:color w:val="auto"/>
                    </w:rPr>
                  </w:pPr>
                  <w:r>
                    <w:rPr>
                      <w:color w:val="auto"/>
                    </w:rPr>
                    <w:t>噪声治理</w:t>
                  </w:r>
                </w:p>
              </w:tc>
              <w:tc>
                <w:tcPr>
                  <w:tcW w:w="1960" w:type="dxa"/>
                  <w:vAlign w:val="center"/>
                </w:tcPr>
                <w:p w14:paraId="6CA0BBD4">
                  <w:pPr>
                    <w:pStyle w:val="287"/>
                    <w:framePr w:hSpace="0" w:wrap="auto" w:vAnchor="margin" w:hAnchor="text" w:xAlign="left" w:yAlign="inline"/>
                    <w:rPr>
                      <w:color w:val="auto"/>
                    </w:rPr>
                  </w:pPr>
                  <w:r>
                    <w:rPr>
                      <w:color w:val="auto"/>
                    </w:rPr>
                    <w:t>噪声</w:t>
                  </w:r>
                </w:p>
              </w:tc>
              <w:tc>
                <w:tcPr>
                  <w:tcW w:w="3692" w:type="dxa"/>
                  <w:vAlign w:val="center"/>
                </w:tcPr>
                <w:p w14:paraId="004F3082">
                  <w:pPr>
                    <w:pStyle w:val="287"/>
                    <w:framePr w:hSpace="0" w:wrap="auto" w:vAnchor="margin" w:hAnchor="text" w:xAlign="left" w:yAlign="inline"/>
                    <w:rPr>
                      <w:color w:val="auto"/>
                    </w:rPr>
                  </w:pPr>
                  <w:r>
                    <w:rPr>
                      <w:color w:val="auto"/>
                    </w:rPr>
                    <w:t>降噪设施、隔振措施</w:t>
                  </w:r>
                </w:p>
              </w:tc>
              <w:tc>
                <w:tcPr>
                  <w:tcW w:w="1583" w:type="dxa"/>
                  <w:vAlign w:val="center"/>
                </w:tcPr>
                <w:p w14:paraId="795EDAAA">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10</w:t>
                  </w:r>
                </w:p>
              </w:tc>
            </w:tr>
            <w:tr w14:paraId="594EA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83" w:type="dxa"/>
                  <w:vMerge w:val="restart"/>
                  <w:vAlign w:val="center"/>
                </w:tcPr>
                <w:p w14:paraId="440D7A96">
                  <w:pPr>
                    <w:pStyle w:val="287"/>
                    <w:framePr w:hSpace="0" w:wrap="auto" w:vAnchor="margin" w:hAnchor="text" w:xAlign="left" w:yAlign="inline"/>
                    <w:rPr>
                      <w:color w:val="auto"/>
                    </w:rPr>
                  </w:pPr>
                  <w:r>
                    <w:rPr>
                      <w:color w:val="auto"/>
                    </w:rPr>
                    <w:t>固废</w:t>
                  </w:r>
                </w:p>
              </w:tc>
              <w:tc>
                <w:tcPr>
                  <w:tcW w:w="1960" w:type="dxa"/>
                  <w:vAlign w:val="center"/>
                </w:tcPr>
                <w:p w14:paraId="1D8BF302">
                  <w:pPr>
                    <w:pStyle w:val="287"/>
                    <w:framePr w:hSpace="0" w:wrap="auto" w:vAnchor="margin" w:hAnchor="text" w:xAlign="left" w:yAlign="inline"/>
                    <w:rPr>
                      <w:rFonts w:hint="eastAsia" w:eastAsia="宋体"/>
                      <w:color w:val="auto"/>
                      <w:lang w:eastAsia="zh-CN"/>
                    </w:rPr>
                  </w:pPr>
                  <w:r>
                    <w:rPr>
                      <w:rFonts w:hint="eastAsia"/>
                      <w:color w:val="auto"/>
                      <w:lang w:eastAsia="zh-CN"/>
                    </w:rPr>
                    <w:t>生活垃圾</w:t>
                  </w:r>
                </w:p>
              </w:tc>
              <w:tc>
                <w:tcPr>
                  <w:tcW w:w="3692" w:type="dxa"/>
                  <w:vAlign w:val="center"/>
                </w:tcPr>
                <w:p w14:paraId="113D9DA3">
                  <w:pPr>
                    <w:pStyle w:val="287"/>
                    <w:framePr w:hSpace="0" w:wrap="auto" w:vAnchor="margin" w:hAnchor="text" w:xAlign="left" w:yAlign="inline"/>
                    <w:rPr>
                      <w:rFonts w:hint="eastAsia" w:eastAsia="宋体"/>
                      <w:color w:val="auto"/>
                      <w:lang w:eastAsia="zh-CN"/>
                    </w:rPr>
                  </w:pPr>
                  <w:r>
                    <w:rPr>
                      <w:rFonts w:hint="eastAsia"/>
                      <w:color w:val="auto"/>
                      <w:lang w:eastAsia="zh-CN"/>
                    </w:rPr>
                    <w:t>由环卫部门统一清运</w:t>
                  </w:r>
                </w:p>
              </w:tc>
              <w:tc>
                <w:tcPr>
                  <w:tcW w:w="1583" w:type="dxa"/>
                  <w:vMerge w:val="restart"/>
                  <w:vAlign w:val="center"/>
                </w:tcPr>
                <w:p w14:paraId="3805290F">
                  <w:pPr>
                    <w:pStyle w:val="287"/>
                    <w:framePr w:hSpace="0" w:wrap="auto" w:vAnchor="margin" w:hAnchor="text" w:xAlign="left" w:yAlign="inline"/>
                    <w:rPr>
                      <w:rFonts w:hint="eastAsia" w:eastAsia="宋体"/>
                      <w:color w:val="auto"/>
                      <w:lang w:eastAsia="zh-CN"/>
                    </w:rPr>
                  </w:pPr>
                  <w:r>
                    <w:rPr>
                      <w:rFonts w:hint="eastAsia"/>
                      <w:color w:val="auto"/>
                      <w:lang w:val="en-US" w:eastAsia="zh-CN"/>
                    </w:rPr>
                    <w:t>3</w:t>
                  </w:r>
                </w:p>
              </w:tc>
            </w:tr>
            <w:tr w14:paraId="4C317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283" w:type="dxa"/>
                  <w:vMerge w:val="continue"/>
                  <w:vAlign w:val="center"/>
                </w:tcPr>
                <w:p w14:paraId="5FDA4C3F">
                  <w:pPr>
                    <w:pStyle w:val="287"/>
                    <w:framePr w:hSpace="0" w:wrap="auto" w:vAnchor="margin" w:hAnchor="text" w:xAlign="left" w:yAlign="inline"/>
                    <w:rPr>
                      <w:color w:val="auto"/>
                    </w:rPr>
                  </w:pPr>
                </w:p>
              </w:tc>
              <w:tc>
                <w:tcPr>
                  <w:tcW w:w="1960" w:type="dxa"/>
                  <w:vAlign w:val="center"/>
                </w:tcPr>
                <w:p w14:paraId="4E8ECF14">
                  <w:pPr>
                    <w:pStyle w:val="287"/>
                    <w:framePr w:hSpace="0" w:wrap="auto" w:vAnchor="margin" w:hAnchor="text" w:xAlign="left" w:yAlign="inline"/>
                    <w:rPr>
                      <w:rFonts w:hint="eastAsia" w:eastAsia="宋体"/>
                      <w:color w:val="auto"/>
                      <w:lang w:eastAsia="zh-CN"/>
                    </w:rPr>
                  </w:pPr>
                  <w:r>
                    <w:rPr>
                      <w:rFonts w:hint="eastAsia"/>
                      <w:color w:val="auto"/>
                      <w:lang w:eastAsia="zh-CN"/>
                    </w:rPr>
                    <w:t>危险废物</w:t>
                  </w:r>
                </w:p>
              </w:tc>
              <w:tc>
                <w:tcPr>
                  <w:tcW w:w="3692" w:type="dxa"/>
                  <w:vAlign w:val="center"/>
                </w:tcPr>
                <w:p w14:paraId="7F96C089">
                  <w:pPr>
                    <w:pStyle w:val="287"/>
                    <w:framePr w:hSpace="0" w:wrap="auto" w:vAnchor="margin" w:hAnchor="text" w:xAlign="left" w:yAlign="inline"/>
                    <w:rPr>
                      <w:rFonts w:hint="eastAsia" w:eastAsia="宋体"/>
                      <w:color w:val="auto"/>
                      <w:lang w:eastAsia="zh-CN"/>
                    </w:rPr>
                  </w:pPr>
                  <w:r>
                    <w:rPr>
                      <w:rFonts w:hint="default" w:ascii="Times New Roman" w:hAnsi="Times New Roman" w:eastAsia="宋体" w:cs="Times New Roman"/>
                      <w:color w:val="auto"/>
                      <w:sz w:val="18"/>
                      <w:szCs w:val="18"/>
                      <w:highlight w:val="none"/>
                    </w:rPr>
                    <w:t>暂存</w:t>
                  </w:r>
                  <w:r>
                    <w:rPr>
                      <w:rFonts w:hint="default" w:ascii="Times New Roman" w:hAnsi="Times New Roman" w:eastAsia="宋体" w:cs="Times New Roman"/>
                      <w:color w:val="auto"/>
                      <w:sz w:val="18"/>
                      <w:szCs w:val="18"/>
                      <w:highlight w:val="none"/>
                      <w:lang w:val="en-US" w:eastAsia="zh-CN"/>
                    </w:rPr>
                    <w:t>危险</w:t>
                  </w:r>
                  <w:r>
                    <w:rPr>
                      <w:rFonts w:hint="eastAsia" w:ascii="Times New Roman" w:hAnsi="Times New Roman" w:eastAsia="宋体" w:cs="Times New Roman"/>
                      <w:color w:val="auto"/>
                      <w:sz w:val="18"/>
                      <w:szCs w:val="18"/>
                      <w:highlight w:val="none"/>
                      <w:lang w:val="en-US" w:eastAsia="zh-CN"/>
                    </w:rPr>
                    <w:t>暂存间</w:t>
                  </w:r>
                  <w:r>
                    <w:rPr>
                      <w:rFonts w:hint="default" w:ascii="Times New Roman" w:hAnsi="Times New Roman" w:eastAsia="宋体" w:cs="Times New Roman"/>
                      <w:color w:val="auto"/>
                      <w:sz w:val="18"/>
                      <w:szCs w:val="18"/>
                      <w:highlight w:val="none"/>
                    </w:rPr>
                    <w:t>，委托有资质单位处置</w:t>
                  </w:r>
                </w:p>
              </w:tc>
              <w:tc>
                <w:tcPr>
                  <w:tcW w:w="1583" w:type="dxa"/>
                  <w:vMerge w:val="continue"/>
                  <w:vAlign w:val="center"/>
                </w:tcPr>
                <w:p w14:paraId="0B59AD8C">
                  <w:pPr>
                    <w:pStyle w:val="287"/>
                    <w:framePr w:hSpace="0" w:wrap="auto" w:vAnchor="margin" w:hAnchor="text" w:xAlign="left" w:yAlign="inline"/>
                    <w:rPr>
                      <w:rFonts w:hint="eastAsia"/>
                      <w:color w:val="auto"/>
                      <w:lang w:val="en-US" w:eastAsia="zh-CN"/>
                    </w:rPr>
                  </w:pPr>
                </w:p>
              </w:tc>
            </w:tr>
            <w:tr w14:paraId="427C6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6935" w:type="dxa"/>
                  <w:gridSpan w:val="3"/>
                  <w:vAlign w:val="center"/>
                </w:tcPr>
                <w:p w14:paraId="47220E54">
                  <w:pPr>
                    <w:pStyle w:val="287"/>
                    <w:framePr w:hSpace="0" w:wrap="auto" w:vAnchor="margin" w:hAnchor="text" w:xAlign="left" w:yAlign="inline"/>
                    <w:rPr>
                      <w:color w:val="auto"/>
                    </w:rPr>
                  </w:pPr>
                  <w:r>
                    <w:rPr>
                      <w:color w:val="auto"/>
                    </w:rPr>
                    <w:t>合计</w:t>
                  </w:r>
                </w:p>
              </w:tc>
              <w:tc>
                <w:tcPr>
                  <w:tcW w:w="1583" w:type="dxa"/>
                  <w:vAlign w:val="center"/>
                </w:tcPr>
                <w:p w14:paraId="09E7ADED">
                  <w:pPr>
                    <w:pStyle w:val="287"/>
                    <w:framePr w:hSpace="0" w:wrap="auto" w:vAnchor="margin" w:hAnchor="text" w:xAlign="left" w:yAlign="inline"/>
                    <w:rPr>
                      <w:rFonts w:hint="default" w:eastAsia="宋体"/>
                      <w:color w:val="auto"/>
                      <w:lang w:val="en-US" w:eastAsia="zh-CN"/>
                    </w:rPr>
                  </w:pPr>
                  <w:r>
                    <w:rPr>
                      <w:rFonts w:hint="eastAsia"/>
                      <w:color w:val="auto"/>
                      <w:lang w:val="en-US" w:eastAsia="zh-CN"/>
                    </w:rPr>
                    <w:t>46</w:t>
                  </w:r>
                </w:p>
              </w:tc>
            </w:tr>
          </w:tbl>
          <w:p w14:paraId="1C24892A">
            <w:pPr>
              <w:pStyle w:val="771"/>
              <w:bidi w:val="0"/>
              <w:ind w:left="0" w:leftChars="0" w:firstLine="0" w:firstLineChars="0"/>
              <w:rPr>
                <w:rFonts w:hint="eastAsia"/>
                <w:b/>
                <w:bCs/>
                <w:color w:val="auto"/>
                <w:lang w:val="en-US" w:eastAsia="zh-CN"/>
              </w:rPr>
            </w:pPr>
            <w:r>
              <w:rPr>
                <w:rFonts w:hint="eastAsia"/>
                <w:b/>
                <w:bCs/>
                <w:color w:val="auto"/>
                <w:lang w:val="en-US" w:eastAsia="zh-CN"/>
              </w:rPr>
              <w:t>4.12 排污许可管理类别</w:t>
            </w:r>
          </w:p>
          <w:p w14:paraId="61F2CF16">
            <w:pPr>
              <w:pStyle w:val="771"/>
              <w:bidi w:val="0"/>
              <w:rPr>
                <w:color w:val="auto"/>
              </w:rPr>
            </w:pPr>
            <w:r>
              <w:rPr>
                <w:color w:val="auto"/>
              </w:rPr>
              <w:t>根据安徽省生态环境厅于2021年1月30日发布的《安徽省生态环境厅关于统筹做好固定污染源排污许可日常监管工作的通知》（皖环发〔2021〕7号），属于现行《固定污染源排污许可分类管理名录》内重点管理和简化管理的行业，在环评文件中应明确</w:t>
            </w:r>
            <w:r>
              <w:rPr>
                <w:rFonts w:hint="eastAsia"/>
                <w:color w:val="auto"/>
                <w:lang w:eastAsia="zh-CN"/>
              </w:rPr>
              <w:t>“</w:t>
            </w:r>
            <w:r>
              <w:rPr>
                <w:color w:val="auto"/>
              </w:rPr>
              <w:t>建设项目环境影响评价与排污许可联动内容</w:t>
            </w:r>
            <w:r>
              <w:rPr>
                <w:rFonts w:hint="eastAsia"/>
                <w:color w:val="auto"/>
                <w:lang w:eastAsia="zh-CN"/>
              </w:rPr>
              <w:t>”</w:t>
            </w:r>
            <w:r>
              <w:rPr>
                <w:color w:val="auto"/>
              </w:rPr>
              <w:t>。</w:t>
            </w:r>
          </w:p>
          <w:p w14:paraId="5FBC9522">
            <w:pPr>
              <w:pStyle w:val="771"/>
              <w:bidi w:val="0"/>
              <w:rPr>
                <w:color w:val="auto"/>
              </w:rPr>
            </w:pPr>
            <w:r>
              <w:rPr>
                <w:color w:val="auto"/>
              </w:rPr>
              <w:t>根据《国民经济行业分类》（GB4754-2017），本项目行业类别为：</w:t>
            </w:r>
            <w:r>
              <w:rPr>
                <w:rFonts w:hint="eastAsia"/>
                <w:color w:val="auto"/>
                <w:lang w:val="en-US" w:eastAsia="zh-CN"/>
              </w:rPr>
              <w:t>B0690其他煤炭采选</w:t>
            </w:r>
            <w:r>
              <w:rPr>
                <w:color w:val="auto"/>
              </w:rPr>
              <w:t>；对照《固定污染源排污许可分类管理名录》（2019年版），本项目属于《名录》中：</w:t>
            </w:r>
            <w:r>
              <w:rPr>
                <w:rFonts w:hint="eastAsia"/>
                <w:color w:val="auto"/>
                <w:lang w:eastAsia="zh-CN"/>
              </w:rPr>
              <w:t>二</w:t>
            </w:r>
            <w:r>
              <w:rPr>
                <w:rFonts w:hint="eastAsia"/>
                <w:color w:val="auto"/>
              </w:rPr>
              <w:t>、</w:t>
            </w:r>
            <w:r>
              <w:rPr>
                <w:rFonts w:hint="eastAsia"/>
                <w:color w:val="auto"/>
                <w:lang w:eastAsia="zh-CN"/>
              </w:rPr>
              <w:t>煤炭开采和洗选业</w:t>
            </w:r>
            <w:r>
              <w:rPr>
                <w:rFonts w:hint="eastAsia"/>
                <w:color w:val="auto"/>
                <w:lang w:val="en-US" w:eastAsia="zh-CN"/>
              </w:rPr>
              <w:t>06、其他煤炭洗选069</w:t>
            </w:r>
            <w:r>
              <w:rPr>
                <w:rFonts w:hint="eastAsia"/>
                <w:color w:val="auto"/>
              </w:rPr>
              <w:t>中</w:t>
            </w:r>
            <w:r>
              <w:rPr>
                <w:rFonts w:hint="eastAsia"/>
                <w:color w:val="auto"/>
                <w:lang w:eastAsia="zh-CN"/>
              </w:rPr>
              <w:t>“其他”</w:t>
            </w:r>
            <w:r>
              <w:rPr>
                <w:rFonts w:hint="eastAsia"/>
                <w:color w:val="auto"/>
              </w:rPr>
              <w:t>，</w:t>
            </w:r>
            <w:r>
              <w:rPr>
                <w:rFonts w:hint="eastAsia"/>
                <w:color w:val="auto"/>
                <w:lang w:eastAsia="zh-CN"/>
              </w:rPr>
              <w:t>属于登记</w:t>
            </w:r>
            <w:r>
              <w:rPr>
                <w:rFonts w:hint="eastAsia"/>
                <w:color w:val="auto"/>
              </w:rPr>
              <w:t>管理。</w:t>
            </w:r>
          </w:p>
          <w:p w14:paraId="0ED08BC7">
            <w:pPr>
              <w:pStyle w:val="15"/>
              <w:keepNext w:val="0"/>
              <w:keepLines w:val="0"/>
              <w:pageBreakBefore w:val="0"/>
              <w:kinsoku/>
              <w:wordWrap/>
              <w:overflowPunct/>
              <w:topLinePunct w:val="0"/>
              <w:autoSpaceDE/>
              <w:autoSpaceDN/>
              <w:bidi w:val="0"/>
              <w:adjustRightInd w:val="0"/>
              <w:snapToGrid w:val="0"/>
              <w:spacing w:after="0" w:line="240" w:lineRule="auto"/>
              <w:textAlignment w:val="auto"/>
              <w:rPr>
                <w:rFonts w:hint="eastAsia" w:eastAsia="宋体"/>
                <w:color w:val="auto"/>
                <w:lang w:val="en-US" w:eastAsia="zh-CN"/>
              </w:rPr>
            </w:pPr>
            <w:r>
              <w:rPr>
                <w:color w:val="auto"/>
              </w:rPr>
              <w:t xml:space="preserve">表 </w:t>
            </w:r>
            <w:r>
              <w:rPr>
                <w:rFonts w:hint="eastAsia"/>
                <w:color w:val="auto"/>
                <w:lang w:val="en-US" w:eastAsia="zh-CN"/>
              </w:rPr>
              <w:t>4</w:t>
            </w:r>
            <w:r>
              <w:rPr>
                <w:rFonts w:hint="eastAsia"/>
                <w:color w:val="auto"/>
                <w:lang w:eastAsia="zh-CN"/>
              </w:rPr>
              <w:t>-</w:t>
            </w:r>
            <w:r>
              <w:rPr>
                <w:rFonts w:hint="eastAsia"/>
                <w:color w:val="auto"/>
                <w:lang w:val="en-US" w:eastAsia="zh-CN"/>
              </w:rPr>
              <w:t xml:space="preserve">12 </w:t>
            </w:r>
            <w:r>
              <w:rPr>
                <w:color w:val="auto"/>
              </w:rPr>
              <w:t>《固定污染源排污许可分类管理名录》（2019年版）</w:t>
            </w:r>
          </w:p>
          <w:tbl>
            <w:tblPr>
              <w:tblStyle w:val="5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1"/>
              <w:gridCol w:w="2873"/>
              <w:gridCol w:w="1738"/>
              <w:gridCol w:w="1750"/>
              <w:gridCol w:w="1476"/>
            </w:tblGrid>
            <w:tr w14:paraId="0F3B7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81" w:type="dxa"/>
                  <w:vAlign w:val="center"/>
                </w:tcPr>
                <w:p w14:paraId="569CCA50">
                  <w:pPr>
                    <w:pStyle w:val="77"/>
                    <w:ind w:left="0" w:leftChars="0" w:right="0" w:rightChars="0" w:firstLine="0" w:firstLineChars="0"/>
                    <w:jc w:val="center"/>
                    <w:rPr>
                      <w:color w:val="auto"/>
                      <w:sz w:val="18"/>
                      <w:szCs w:val="18"/>
                    </w:rPr>
                  </w:pPr>
                  <w:r>
                    <w:rPr>
                      <w:rFonts w:hint="eastAsia"/>
                      <w:color w:val="auto"/>
                      <w:sz w:val="18"/>
                      <w:szCs w:val="18"/>
                    </w:rPr>
                    <w:t>序号</w:t>
                  </w:r>
                </w:p>
              </w:tc>
              <w:tc>
                <w:tcPr>
                  <w:tcW w:w="2873" w:type="dxa"/>
                  <w:vAlign w:val="center"/>
                </w:tcPr>
                <w:p w14:paraId="34F19ACB">
                  <w:pPr>
                    <w:pStyle w:val="77"/>
                    <w:ind w:left="0" w:leftChars="0" w:right="0" w:rightChars="0" w:firstLine="0" w:firstLineChars="0"/>
                    <w:jc w:val="center"/>
                    <w:rPr>
                      <w:color w:val="auto"/>
                      <w:sz w:val="18"/>
                      <w:szCs w:val="18"/>
                    </w:rPr>
                  </w:pPr>
                  <w:r>
                    <w:rPr>
                      <w:rFonts w:hint="eastAsia"/>
                      <w:color w:val="auto"/>
                      <w:sz w:val="18"/>
                      <w:szCs w:val="18"/>
                    </w:rPr>
                    <w:t>行业类别</w:t>
                  </w:r>
                </w:p>
              </w:tc>
              <w:tc>
                <w:tcPr>
                  <w:tcW w:w="1738" w:type="dxa"/>
                  <w:vAlign w:val="center"/>
                </w:tcPr>
                <w:p w14:paraId="6A58A301">
                  <w:pPr>
                    <w:pStyle w:val="77"/>
                    <w:ind w:left="0" w:leftChars="0" w:right="0" w:rightChars="0" w:firstLine="0" w:firstLineChars="0"/>
                    <w:jc w:val="center"/>
                    <w:rPr>
                      <w:color w:val="auto"/>
                      <w:sz w:val="18"/>
                      <w:szCs w:val="18"/>
                    </w:rPr>
                  </w:pPr>
                  <w:r>
                    <w:rPr>
                      <w:rFonts w:hint="eastAsia"/>
                      <w:color w:val="auto"/>
                      <w:sz w:val="18"/>
                      <w:szCs w:val="18"/>
                    </w:rPr>
                    <w:t>重点管理</w:t>
                  </w:r>
                </w:p>
              </w:tc>
              <w:tc>
                <w:tcPr>
                  <w:tcW w:w="1750" w:type="dxa"/>
                  <w:vAlign w:val="center"/>
                </w:tcPr>
                <w:p w14:paraId="35F302FC">
                  <w:pPr>
                    <w:pStyle w:val="77"/>
                    <w:ind w:left="0" w:leftChars="0" w:right="0" w:rightChars="0" w:firstLine="0" w:firstLineChars="0"/>
                    <w:jc w:val="center"/>
                    <w:rPr>
                      <w:color w:val="auto"/>
                      <w:sz w:val="18"/>
                      <w:szCs w:val="18"/>
                    </w:rPr>
                  </w:pPr>
                  <w:r>
                    <w:rPr>
                      <w:rFonts w:hint="eastAsia"/>
                      <w:color w:val="auto"/>
                      <w:sz w:val="18"/>
                      <w:szCs w:val="18"/>
                    </w:rPr>
                    <w:t>简化管理</w:t>
                  </w:r>
                </w:p>
              </w:tc>
              <w:tc>
                <w:tcPr>
                  <w:tcW w:w="1476" w:type="dxa"/>
                  <w:vAlign w:val="center"/>
                </w:tcPr>
                <w:p w14:paraId="43343ECF">
                  <w:pPr>
                    <w:pStyle w:val="77"/>
                    <w:ind w:left="0" w:leftChars="0" w:right="0" w:rightChars="0" w:firstLine="0" w:firstLineChars="0"/>
                    <w:jc w:val="center"/>
                    <w:rPr>
                      <w:color w:val="auto"/>
                      <w:sz w:val="18"/>
                      <w:szCs w:val="18"/>
                    </w:rPr>
                  </w:pPr>
                  <w:r>
                    <w:rPr>
                      <w:rFonts w:hint="eastAsia"/>
                      <w:color w:val="auto"/>
                      <w:sz w:val="18"/>
                      <w:szCs w:val="18"/>
                    </w:rPr>
                    <w:t>登记管理</w:t>
                  </w:r>
                </w:p>
              </w:tc>
            </w:tr>
            <w:tr w14:paraId="41DAA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8518" w:type="dxa"/>
                  <w:gridSpan w:val="5"/>
                  <w:vAlign w:val="center"/>
                </w:tcPr>
                <w:p w14:paraId="70FE85D3">
                  <w:pPr>
                    <w:pStyle w:val="77"/>
                    <w:ind w:left="0" w:leftChars="0" w:right="0" w:rightChars="0" w:firstLine="0" w:firstLineChars="0"/>
                    <w:jc w:val="both"/>
                    <w:rPr>
                      <w:color w:val="auto"/>
                      <w:sz w:val="18"/>
                      <w:szCs w:val="18"/>
                    </w:rPr>
                  </w:pPr>
                  <w:r>
                    <w:rPr>
                      <w:rFonts w:hint="eastAsia"/>
                      <w:color w:val="auto"/>
                      <w:sz w:val="18"/>
                      <w:szCs w:val="18"/>
                      <w:lang w:eastAsia="zh-CN"/>
                    </w:rPr>
                    <w:t>二、煤炭开采和洗选业 06</w:t>
                  </w:r>
                </w:p>
              </w:tc>
            </w:tr>
            <w:tr w14:paraId="19F49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81" w:type="dxa"/>
                  <w:vAlign w:val="center"/>
                </w:tcPr>
                <w:p w14:paraId="1AE3B58F">
                  <w:pPr>
                    <w:pStyle w:val="77"/>
                    <w:ind w:left="0" w:leftChars="0" w:right="0" w:rightChars="0" w:firstLine="0" w:firstLineChars="0"/>
                    <w:jc w:val="center"/>
                    <w:rPr>
                      <w:rFonts w:hint="default" w:eastAsia="宋体"/>
                      <w:color w:val="auto"/>
                      <w:sz w:val="18"/>
                      <w:szCs w:val="18"/>
                      <w:lang w:val="en-US" w:eastAsia="zh-CN"/>
                    </w:rPr>
                  </w:pPr>
                  <w:r>
                    <w:rPr>
                      <w:rFonts w:hint="eastAsia"/>
                      <w:color w:val="auto"/>
                      <w:sz w:val="18"/>
                      <w:szCs w:val="18"/>
                      <w:lang w:val="en-US" w:eastAsia="zh-CN"/>
                    </w:rPr>
                    <w:t>3</w:t>
                  </w:r>
                </w:p>
              </w:tc>
              <w:tc>
                <w:tcPr>
                  <w:tcW w:w="2873" w:type="dxa"/>
                  <w:vAlign w:val="center"/>
                </w:tcPr>
                <w:p w14:paraId="644C9AD4">
                  <w:pPr>
                    <w:keepNext w:val="0"/>
                    <w:keepLines w:val="0"/>
                    <w:pageBreakBefore w:val="0"/>
                    <w:widowControl/>
                    <w:suppressLineNumbers w:val="0"/>
                    <w:kinsoku/>
                    <w:wordWrap/>
                    <w:overflowPunct/>
                    <w:topLinePunct w:val="0"/>
                    <w:autoSpaceDE/>
                    <w:autoSpaceDN/>
                    <w:bidi w:val="0"/>
                    <w:adjustRightInd/>
                    <w:snapToGrid w:val="0"/>
                    <w:spacing w:after="0" w:line="240" w:lineRule="auto"/>
                    <w:ind w:left="0" w:leftChars="0" w:right="0" w:rightChars="0" w:firstLine="0" w:firstLineChars="0"/>
                    <w:jc w:val="center"/>
                    <w:textAlignment w:val="auto"/>
                    <w:rPr>
                      <w:color w:val="auto"/>
                      <w:sz w:val="18"/>
                      <w:szCs w:val="18"/>
                    </w:rPr>
                  </w:pPr>
                  <w:r>
                    <w:rPr>
                      <w:rFonts w:hint="eastAsia" w:ascii="宋体" w:hAnsi="宋体" w:eastAsia="宋体" w:cs="宋体"/>
                      <w:color w:val="auto"/>
                      <w:kern w:val="0"/>
                      <w:sz w:val="18"/>
                      <w:szCs w:val="18"/>
                      <w:lang w:val="en-US" w:eastAsia="zh-CN" w:bidi="ar"/>
                    </w:rPr>
                    <w:t>烟煤和无烟煤开采洗选061，褐煤开采洗选062，其他煤炭洗选069</w:t>
                  </w:r>
                </w:p>
              </w:tc>
              <w:tc>
                <w:tcPr>
                  <w:tcW w:w="1738" w:type="dxa"/>
                  <w:vAlign w:val="center"/>
                </w:tcPr>
                <w:p w14:paraId="34063BFF">
                  <w:pPr>
                    <w:pStyle w:val="77"/>
                    <w:ind w:left="0" w:leftChars="0" w:right="0" w:rightChars="0" w:firstLine="0" w:firstLineChars="0"/>
                    <w:jc w:val="center"/>
                    <w:rPr>
                      <w:color w:val="auto"/>
                      <w:sz w:val="18"/>
                      <w:szCs w:val="18"/>
                    </w:rPr>
                  </w:pPr>
                  <w:r>
                    <w:rPr>
                      <w:rFonts w:hint="eastAsia"/>
                      <w:color w:val="auto"/>
                      <w:sz w:val="18"/>
                      <w:szCs w:val="18"/>
                    </w:rPr>
                    <w:t>涉及通用工序重点管理的</w:t>
                  </w:r>
                </w:p>
              </w:tc>
              <w:tc>
                <w:tcPr>
                  <w:tcW w:w="1750" w:type="dxa"/>
                  <w:vAlign w:val="center"/>
                </w:tcPr>
                <w:p w14:paraId="52A237FB">
                  <w:pPr>
                    <w:keepNext w:val="0"/>
                    <w:keepLines w:val="0"/>
                    <w:pageBreakBefore w:val="0"/>
                    <w:widowControl/>
                    <w:suppressLineNumbers w:val="0"/>
                    <w:kinsoku/>
                    <w:wordWrap/>
                    <w:overflowPunct/>
                    <w:topLinePunct w:val="0"/>
                    <w:autoSpaceDE/>
                    <w:autoSpaceDN/>
                    <w:bidi w:val="0"/>
                    <w:adjustRightInd/>
                    <w:snapToGrid w:val="0"/>
                    <w:spacing w:after="0" w:line="240" w:lineRule="auto"/>
                    <w:ind w:left="0" w:leftChars="0" w:right="0" w:rightChars="0" w:firstLine="0" w:firstLineChars="0"/>
                    <w:jc w:val="center"/>
                    <w:textAlignment w:val="auto"/>
                    <w:rPr>
                      <w:color w:val="auto"/>
                      <w:sz w:val="18"/>
                      <w:szCs w:val="18"/>
                    </w:rPr>
                  </w:pPr>
                  <w:r>
                    <w:rPr>
                      <w:rFonts w:hint="eastAsia" w:ascii="宋体" w:hAnsi="宋体" w:eastAsia="宋体" w:cs="宋体"/>
                      <w:color w:val="auto"/>
                      <w:kern w:val="0"/>
                      <w:sz w:val="18"/>
                      <w:szCs w:val="18"/>
                      <w:lang w:val="en-US" w:eastAsia="zh-CN" w:bidi="ar"/>
                    </w:rPr>
                    <w:t>涉及通用工序简化管理的</w:t>
                  </w:r>
                </w:p>
              </w:tc>
              <w:tc>
                <w:tcPr>
                  <w:tcW w:w="1476" w:type="dxa"/>
                  <w:vAlign w:val="center"/>
                </w:tcPr>
                <w:p w14:paraId="43AB6B11">
                  <w:pPr>
                    <w:pStyle w:val="77"/>
                    <w:ind w:left="0" w:leftChars="0" w:right="0" w:rightChars="0" w:firstLine="0" w:firstLineChars="0"/>
                    <w:jc w:val="center"/>
                    <w:rPr>
                      <w:color w:val="auto"/>
                      <w:sz w:val="18"/>
                      <w:szCs w:val="18"/>
                    </w:rPr>
                  </w:pPr>
                  <w:r>
                    <w:rPr>
                      <w:rFonts w:hint="eastAsia"/>
                      <w:color w:val="auto"/>
                      <w:sz w:val="18"/>
                      <w:szCs w:val="18"/>
                    </w:rPr>
                    <w:t>其他</w:t>
                  </w:r>
                </w:p>
              </w:tc>
            </w:tr>
          </w:tbl>
          <w:p w14:paraId="1D30AAA9">
            <w:pPr>
              <w:pStyle w:val="771"/>
              <w:bidi w:val="0"/>
              <w:ind w:left="0" w:leftChars="0" w:firstLine="0" w:firstLineChars="0"/>
              <w:rPr>
                <w:rFonts w:hint="eastAsia"/>
                <w:b/>
                <w:bCs/>
                <w:color w:val="auto"/>
                <w:lang w:val="en-US" w:eastAsia="zh-CN"/>
              </w:rPr>
            </w:pPr>
          </w:p>
          <w:p w14:paraId="589296EF">
            <w:pPr>
              <w:pStyle w:val="771"/>
              <w:bidi w:val="0"/>
              <w:ind w:left="0" w:leftChars="0" w:firstLine="0" w:firstLineChars="0"/>
              <w:rPr>
                <w:rFonts w:hint="eastAsia"/>
                <w:b/>
                <w:bCs/>
                <w:color w:val="auto"/>
                <w:lang w:eastAsia="zh-CN"/>
              </w:rPr>
            </w:pPr>
            <w:r>
              <w:rPr>
                <w:rFonts w:hint="eastAsia"/>
                <w:b/>
                <w:bCs/>
                <w:color w:val="auto"/>
                <w:lang w:val="en-US" w:eastAsia="zh-CN"/>
              </w:rPr>
              <w:t xml:space="preserve">4.13 </w:t>
            </w:r>
            <w:r>
              <w:rPr>
                <w:rFonts w:hint="eastAsia"/>
                <w:b/>
                <w:bCs/>
                <w:color w:val="auto"/>
                <w:lang w:eastAsia="zh-CN"/>
              </w:rPr>
              <w:t>三同时验收</w:t>
            </w:r>
          </w:p>
          <w:p w14:paraId="783E2DB3">
            <w:pPr>
              <w:pStyle w:val="771"/>
              <w:bidi w:val="0"/>
              <w:rPr>
                <w:rFonts w:hint="eastAsia"/>
                <w:color w:val="auto"/>
              </w:rPr>
            </w:pPr>
            <w:r>
              <w:rPr>
                <w:rFonts w:hint="eastAsia"/>
                <w:color w:val="auto"/>
              </w:rPr>
              <w:t>根据《建设项目环境保护管理条例》（2017年7月16日修订），建设项目设计和施工中应严格落实</w:t>
            </w:r>
            <w:r>
              <w:rPr>
                <w:rFonts w:hint="eastAsia"/>
                <w:color w:val="auto"/>
                <w:lang w:eastAsia="zh-CN"/>
              </w:rPr>
              <w:t>“</w:t>
            </w:r>
            <w:r>
              <w:rPr>
                <w:rFonts w:hint="eastAsia"/>
                <w:color w:val="auto"/>
              </w:rPr>
              <w:t>三同时</w:t>
            </w:r>
            <w:r>
              <w:rPr>
                <w:rFonts w:hint="eastAsia"/>
                <w:color w:val="auto"/>
                <w:lang w:eastAsia="zh-CN"/>
              </w:rPr>
              <w:t>”</w:t>
            </w:r>
            <w:r>
              <w:rPr>
                <w:rFonts w:hint="eastAsia"/>
                <w:color w:val="auto"/>
              </w:rPr>
              <w:t>制度，建设单位应按照国家及本市有关法律法规、建设项目竣工环境保护验收技术规范、建设项目环境影响报告书（表）和审批决定等要求，自主开展相关验收工作。建设项目配套建设的环境保护设施经验收合格，方可投入生产或者使用；未经验收或者验收不合格的，不得投入生产或者使用。</w:t>
            </w:r>
          </w:p>
          <w:p w14:paraId="10446266">
            <w:pPr>
              <w:pStyle w:val="771"/>
              <w:bidi w:val="0"/>
              <w:rPr>
                <w:rFonts w:hint="eastAsia"/>
                <w:color w:val="auto"/>
              </w:rPr>
            </w:pPr>
            <w:r>
              <w:rPr>
                <w:rFonts w:hint="eastAsia"/>
                <w:color w:val="auto"/>
              </w:rPr>
              <w:t>建设单位是建设项目竣工环境保护验收的责任主体，应当按照《建设项目竣工环境保护验收暂行办法》（国环规环评〔2017〕4号）、《建设项目竣工环境保护验收技术指南污染影响类》（生态环境部办公厅2018年5月16日印发）规定的程序和标准，组织对配套建设的环境保护设施进行验收，编制验收报告，公开相关信息，接受社会监督，确保建设项目需要配套建设的环境保护设施与主体工程同时投产或者使用，并对验收内容、结论和所公开信息的真实性、准确性和完整性负责，不得在验收中弄虚作假。</w:t>
            </w:r>
          </w:p>
          <w:p w14:paraId="34075291">
            <w:pPr>
              <w:pStyle w:val="771"/>
              <w:bidi w:val="0"/>
              <w:rPr>
                <w:rFonts w:hint="default"/>
                <w:color w:val="auto"/>
                <w:lang w:val="en-US" w:eastAsia="zh-CN"/>
              </w:rPr>
            </w:pPr>
            <w:r>
              <w:rPr>
                <w:rFonts w:hint="eastAsia"/>
                <w:color w:val="auto"/>
              </w:rPr>
              <w:t>建设项目竣工后，除需要取得排污许可证的水和大气污染防治设施外，其他环境保护设施的验收期限一般不超过3个月，需要对该类环境保护设施进行调试或者调整的，验收期限可以适当延期，但最长不超过12个月。根据《排污许可证管理暂行规定》，建设单位属于排污许可管理范围内，应持证排污，禁止无证排污或不按证排污。</w:t>
            </w:r>
          </w:p>
        </w:tc>
      </w:tr>
      <w:bookmarkEnd w:id="22"/>
    </w:tbl>
    <w:p w14:paraId="6450DB81">
      <w:pPr>
        <w:pStyle w:val="772"/>
        <w:bidi w:val="0"/>
        <w:rPr>
          <w:color w:val="auto"/>
        </w:rPr>
      </w:pPr>
      <w:bookmarkStart w:id="28" w:name="_Toc69030997"/>
      <w:bookmarkStart w:id="29" w:name="_Hlk174970178"/>
    </w:p>
    <w:p w14:paraId="44CA52ED">
      <w:pPr>
        <w:pStyle w:val="772"/>
        <w:bidi w:val="0"/>
        <w:rPr>
          <w:color w:val="auto"/>
        </w:rPr>
        <w:sectPr>
          <w:pgSz w:w="11906" w:h="16838"/>
          <w:pgMar w:top="1440" w:right="1418" w:bottom="1440" w:left="1418" w:header="851" w:footer="851" w:gutter="0"/>
          <w:pgNumType w:fmt="decimal"/>
          <w:cols w:space="720" w:num="1"/>
          <w:docGrid w:linePitch="312" w:charSpace="0"/>
        </w:sectPr>
      </w:pPr>
    </w:p>
    <w:p w14:paraId="4B140F14">
      <w:pPr>
        <w:pStyle w:val="772"/>
        <w:bidi w:val="0"/>
        <w:rPr>
          <w:color w:val="auto"/>
        </w:rPr>
      </w:pPr>
      <w:r>
        <w:rPr>
          <w:color w:val="auto"/>
        </w:rPr>
        <w:t>五、</w:t>
      </w:r>
      <w:bookmarkStart w:id="30" w:name="_Hlk54167917"/>
      <w:r>
        <w:rPr>
          <w:color w:val="auto"/>
        </w:rPr>
        <w:t>环境保护措施监督检查清单</w:t>
      </w:r>
      <w:bookmarkEnd w:id="28"/>
      <w:bookmarkEnd w:id="30"/>
    </w:p>
    <w:tbl>
      <w:tblPr>
        <w:tblStyle w:val="53"/>
        <w:tblpPr w:vertAnchor="text" w:tblpXSpec="center" w:tblpY="1"/>
        <w:tblOverlap w:val="never"/>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57" w:type="dxa"/>
          <w:bottom w:w="0" w:type="dxa"/>
          <w:right w:w="57" w:type="dxa"/>
        </w:tblCellMar>
      </w:tblPr>
      <w:tblGrid>
        <w:gridCol w:w="1532"/>
        <w:gridCol w:w="1486"/>
        <w:gridCol w:w="1250"/>
        <w:gridCol w:w="2688"/>
        <w:gridCol w:w="2228"/>
      </w:tblGrid>
      <w:tr w14:paraId="1046F1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80" w:hRule="atLeast"/>
        </w:trPr>
        <w:tc>
          <w:tcPr>
            <w:tcW w:w="1532" w:type="dxa"/>
            <w:tcBorders>
              <w:tl2br w:val="single" w:color="auto" w:sz="4" w:space="0"/>
            </w:tcBorders>
            <w:vAlign w:val="center"/>
          </w:tcPr>
          <w:p w14:paraId="5B7A5B44">
            <w:pPr>
              <w:adjustRightInd w:val="0"/>
              <w:snapToGrid w:val="0"/>
              <w:spacing w:after="0" w:line="240" w:lineRule="auto"/>
              <w:jc w:val="right"/>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内容</w:t>
            </w:r>
          </w:p>
          <w:p w14:paraId="010D3643">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要素</w:t>
            </w:r>
          </w:p>
        </w:tc>
        <w:tc>
          <w:tcPr>
            <w:tcW w:w="1486" w:type="dxa"/>
            <w:vAlign w:val="center"/>
          </w:tcPr>
          <w:p w14:paraId="58F5D413">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排放口（编号、名称）/污染源</w:t>
            </w:r>
          </w:p>
        </w:tc>
        <w:tc>
          <w:tcPr>
            <w:tcW w:w="1250" w:type="dxa"/>
            <w:vAlign w:val="center"/>
          </w:tcPr>
          <w:p w14:paraId="67ACC696">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污染物项目</w:t>
            </w:r>
          </w:p>
        </w:tc>
        <w:tc>
          <w:tcPr>
            <w:tcW w:w="2688" w:type="dxa"/>
            <w:vAlign w:val="center"/>
          </w:tcPr>
          <w:p w14:paraId="734952D7">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环境保护措施</w:t>
            </w:r>
          </w:p>
        </w:tc>
        <w:tc>
          <w:tcPr>
            <w:tcW w:w="2228" w:type="dxa"/>
            <w:vAlign w:val="center"/>
          </w:tcPr>
          <w:p w14:paraId="6867FA7A">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执行标准</w:t>
            </w:r>
          </w:p>
        </w:tc>
      </w:tr>
      <w:tr w14:paraId="240CC1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80" w:hRule="atLeast"/>
        </w:trPr>
        <w:tc>
          <w:tcPr>
            <w:tcW w:w="1532" w:type="dxa"/>
            <w:vMerge w:val="restart"/>
            <w:vAlign w:val="center"/>
          </w:tcPr>
          <w:p w14:paraId="2C3E336F">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大气环境</w:t>
            </w:r>
          </w:p>
        </w:tc>
        <w:tc>
          <w:tcPr>
            <w:tcW w:w="1486" w:type="dxa"/>
            <w:vAlign w:val="center"/>
          </w:tcPr>
          <w:p w14:paraId="656958E4">
            <w:pPr>
              <w:adjustRightInd w:val="0"/>
              <w:snapToGrid w:val="0"/>
              <w:spacing w:after="0" w:line="240" w:lineRule="auto"/>
              <w:jc w:val="center"/>
              <w:rPr>
                <w:rFonts w:hint="default" w:ascii="Times New Roman" w:hAnsi="Times New Roman" w:eastAsia="宋体" w:cs="Times New Roman"/>
                <w:color w:val="auto"/>
                <w:sz w:val="21"/>
                <w:szCs w:val="21"/>
                <w:lang w:eastAsia="zh-CN"/>
              </w:rPr>
            </w:pPr>
            <w:r>
              <w:rPr>
                <w:rFonts w:hint="eastAsia" w:cs="Times New Roman"/>
                <w:color w:val="auto"/>
                <w:sz w:val="21"/>
                <w:szCs w:val="21"/>
                <w:lang w:eastAsia="zh-CN"/>
              </w:rPr>
              <w:t>产品堆存、装卸扬尘</w:t>
            </w:r>
          </w:p>
        </w:tc>
        <w:tc>
          <w:tcPr>
            <w:tcW w:w="1250" w:type="dxa"/>
            <w:vAlign w:val="center"/>
          </w:tcPr>
          <w:p w14:paraId="1896E253">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颗粒物</w:t>
            </w:r>
          </w:p>
        </w:tc>
        <w:tc>
          <w:tcPr>
            <w:tcW w:w="2688" w:type="dxa"/>
            <w:vAlign w:val="center"/>
          </w:tcPr>
          <w:p w14:paraId="3E57A362">
            <w:pPr>
              <w:adjustRightInd w:val="0"/>
              <w:snapToGrid w:val="0"/>
              <w:spacing w:after="0" w:line="240" w:lineRule="auto"/>
              <w:jc w:val="center"/>
              <w:rPr>
                <w:rFonts w:hint="default" w:ascii="Times New Roman" w:hAnsi="Times New Roman" w:eastAsia="宋体" w:cs="Times New Roman"/>
                <w:color w:val="auto"/>
                <w:sz w:val="21"/>
                <w:szCs w:val="21"/>
              </w:rPr>
            </w:pPr>
            <w:r>
              <w:rPr>
                <w:rFonts w:hint="eastAsia"/>
                <w:color w:val="auto"/>
                <w:sz w:val="21"/>
                <w:szCs w:val="21"/>
              </w:rPr>
              <w:t>中煤堆棚、</w:t>
            </w:r>
            <w:r>
              <w:rPr>
                <w:rFonts w:hint="eastAsia"/>
                <w:color w:val="auto"/>
                <w:sz w:val="21"/>
                <w:szCs w:val="21"/>
                <w:lang w:eastAsia="zh-CN"/>
              </w:rPr>
              <w:t>精煤堆棚、</w:t>
            </w:r>
            <w:r>
              <w:rPr>
                <w:rFonts w:hint="eastAsia"/>
                <w:color w:val="auto"/>
                <w:sz w:val="21"/>
                <w:szCs w:val="21"/>
              </w:rPr>
              <w:t>矸石堆</w:t>
            </w:r>
            <w:r>
              <w:rPr>
                <w:rFonts w:hint="eastAsia"/>
                <w:color w:val="auto"/>
                <w:sz w:val="21"/>
                <w:szCs w:val="21"/>
                <w:highlight w:val="none"/>
              </w:rPr>
              <w:t>棚</w:t>
            </w:r>
            <w:r>
              <w:rPr>
                <w:rFonts w:hint="default"/>
                <w:color w:val="auto"/>
                <w:sz w:val="21"/>
                <w:szCs w:val="21"/>
                <w:highlight w:val="none"/>
              </w:rPr>
              <w:t>采取</w:t>
            </w:r>
            <w:r>
              <w:rPr>
                <w:rFonts w:hint="eastAsia"/>
                <w:color w:val="auto"/>
                <w:sz w:val="21"/>
                <w:szCs w:val="21"/>
                <w:highlight w:val="none"/>
              </w:rPr>
              <w:t>全</w:t>
            </w:r>
            <w:r>
              <w:rPr>
                <w:rFonts w:hint="default"/>
                <w:color w:val="auto"/>
                <w:sz w:val="21"/>
                <w:szCs w:val="21"/>
                <w:highlight w:val="none"/>
              </w:rPr>
              <w:t>封闭式钢结构，地面硬化，堆场下部设置围堰、顶</w:t>
            </w:r>
            <w:r>
              <w:rPr>
                <w:rFonts w:hint="default"/>
                <w:color w:val="auto"/>
                <w:sz w:val="21"/>
                <w:szCs w:val="21"/>
              </w:rPr>
              <w:t>部搭棚密封，再采取洒水喷淋措施</w:t>
            </w:r>
            <w:r>
              <w:rPr>
                <w:rFonts w:hint="eastAsia"/>
                <w:color w:val="auto"/>
                <w:sz w:val="21"/>
                <w:szCs w:val="21"/>
                <w:lang w:eastAsia="zh-CN"/>
              </w:rPr>
              <w:t>。</w:t>
            </w:r>
          </w:p>
        </w:tc>
        <w:tc>
          <w:tcPr>
            <w:tcW w:w="2228" w:type="dxa"/>
            <w:vMerge w:val="restart"/>
            <w:vAlign w:val="center"/>
          </w:tcPr>
          <w:p w14:paraId="4CC226CB">
            <w:pPr>
              <w:adjustRightInd w:val="0"/>
              <w:snapToGrid w:val="0"/>
              <w:spacing w:after="0" w:line="240" w:lineRule="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highlight w:val="none"/>
              </w:rPr>
              <w:t>煤炭工业污染物排放标准》（GB20426-2006）中表5</w:t>
            </w:r>
            <w:r>
              <w:rPr>
                <w:rFonts w:hint="eastAsia" w:ascii="Times New Roman" w:hAnsi="Times New Roman" w:eastAsia="宋体" w:cs="Times New Roman"/>
                <w:color w:val="auto"/>
                <w:sz w:val="21"/>
                <w:szCs w:val="21"/>
                <w:highlight w:val="none"/>
                <w:lang w:eastAsia="zh-CN"/>
              </w:rPr>
              <w:t>排放限值</w:t>
            </w:r>
          </w:p>
        </w:tc>
      </w:tr>
      <w:tr w14:paraId="72EB41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80" w:hRule="atLeast"/>
        </w:trPr>
        <w:tc>
          <w:tcPr>
            <w:tcW w:w="1532" w:type="dxa"/>
            <w:vMerge w:val="continue"/>
            <w:vAlign w:val="center"/>
          </w:tcPr>
          <w:p w14:paraId="20484EF8">
            <w:pPr>
              <w:adjustRightInd w:val="0"/>
              <w:snapToGrid w:val="0"/>
              <w:spacing w:after="0" w:line="240" w:lineRule="auto"/>
              <w:jc w:val="center"/>
              <w:rPr>
                <w:rFonts w:hint="default" w:ascii="Times New Roman" w:hAnsi="Times New Roman" w:eastAsia="宋体" w:cs="Times New Roman"/>
                <w:color w:val="auto"/>
                <w:sz w:val="21"/>
                <w:szCs w:val="21"/>
              </w:rPr>
            </w:pPr>
          </w:p>
        </w:tc>
        <w:tc>
          <w:tcPr>
            <w:tcW w:w="1486" w:type="dxa"/>
            <w:vAlign w:val="center"/>
          </w:tcPr>
          <w:p w14:paraId="35A65D6E">
            <w:pPr>
              <w:adjustRightInd w:val="0"/>
              <w:snapToGrid w:val="0"/>
              <w:spacing w:after="0" w:line="240" w:lineRule="auto"/>
              <w:jc w:val="center"/>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rPr>
              <w:t>厂区物料输送转载点扬尘</w:t>
            </w:r>
          </w:p>
        </w:tc>
        <w:tc>
          <w:tcPr>
            <w:tcW w:w="1250" w:type="dxa"/>
            <w:vAlign w:val="center"/>
          </w:tcPr>
          <w:p w14:paraId="05DDF8CB">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颗粒物</w:t>
            </w:r>
          </w:p>
        </w:tc>
        <w:tc>
          <w:tcPr>
            <w:tcW w:w="2688" w:type="dxa"/>
            <w:vAlign w:val="center"/>
          </w:tcPr>
          <w:p w14:paraId="570C363F">
            <w:pPr>
              <w:adjustRightInd w:val="0"/>
              <w:snapToGrid w:val="0"/>
              <w:spacing w:after="0" w:line="240" w:lineRule="auto"/>
              <w:jc w:val="center"/>
              <w:rPr>
                <w:rFonts w:hint="eastAsia"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全封闭皮带输送廊道，在落料、输送转载点设置喷雾洒水装置</w:t>
            </w:r>
          </w:p>
        </w:tc>
        <w:tc>
          <w:tcPr>
            <w:tcW w:w="2228" w:type="dxa"/>
            <w:vMerge w:val="continue"/>
            <w:vAlign w:val="center"/>
          </w:tcPr>
          <w:p w14:paraId="48D0AD09">
            <w:pPr>
              <w:adjustRightInd w:val="0"/>
              <w:snapToGrid w:val="0"/>
              <w:spacing w:after="0" w:line="240" w:lineRule="auto"/>
              <w:rPr>
                <w:rFonts w:hint="eastAsia" w:ascii="Times New Roman" w:hAnsi="Times New Roman" w:eastAsia="宋体" w:cs="Times New Roman"/>
                <w:color w:val="auto"/>
                <w:sz w:val="21"/>
                <w:szCs w:val="21"/>
                <w:highlight w:val="none"/>
              </w:rPr>
            </w:pPr>
          </w:p>
        </w:tc>
      </w:tr>
      <w:tr w14:paraId="7A263C4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80" w:hRule="atLeast"/>
        </w:trPr>
        <w:tc>
          <w:tcPr>
            <w:tcW w:w="1532" w:type="dxa"/>
            <w:vMerge w:val="continue"/>
            <w:vAlign w:val="center"/>
          </w:tcPr>
          <w:p w14:paraId="2D11764C">
            <w:pPr>
              <w:adjustRightInd w:val="0"/>
              <w:snapToGrid w:val="0"/>
              <w:spacing w:after="0" w:line="240" w:lineRule="auto"/>
              <w:jc w:val="center"/>
              <w:rPr>
                <w:rFonts w:hint="default" w:ascii="Times New Roman" w:hAnsi="Times New Roman" w:eastAsia="宋体" w:cs="Times New Roman"/>
                <w:color w:val="auto"/>
                <w:sz w:val="21"/>
                <w:szCs w:val="21"/>
              </w:rPr>
            </w:pPr>
          </w:p>
        </w:tc>
        <w:tc>
          <w:tcPr>
            <w:tcW w:w="1486" w:type="dxa"/>
            <w:vAlign w:val="center"/>
          </w:tcPr>
          <w:p w14:paraId="5737DC9F">
            <w:pPr>
              <w:adjustRightInd w:val="0"/>
              <w:snapToGrid w:val="0"/>
              <w:spacing w:after="0" w:line="240" w:lineRule="auto"/>
              <w:jc w:val="center"/>
              <w:rPr>
                <w:rFonts w:hint="eastAsia" w:cs="Times New Roman"/>
                <w:color w:val="auto"/>
                <w:sz w:val="21"/>
                <w:szCs w:val="21"/>
                <w:lang w:eastAsia="zh-CN"/>
              </w:rPr>
            </w:pPr>
            <w:r>
              <w:rPr>
                <w:rFonts w:hint="default"/>
                <w:color w:val="auto"/>
                <w:sz w:val="21"/>
                <w:szCs w:val="21"/>
              </w:rPr>
              <w:t>道路运输扬尘</w:t>
            </w:r>
          </w:p>
        </w:tc>
        <w:tc>
          <w:tcPr>
            <w:tcW w:w="1250" w:type="dxa"/>
            <w:vAlign w:val="center"/>
          </w:tcPr>
          <w:p w14:paraId="44C2B3DC">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颗粒物</w:t>
            </w:r>
          </w:p>
        </w:tc>
        <w:tc>
          <w:tcPr>
            <w:tcW w:w="2688" w:type="dxa"/>
            <w:vAlign w:val="center"/>
          </w:tcPr>
          <w:p w14:paraId="75F01889">
            <w:pPr>
              <w:adjustRightInd w:val="0"/>
              <w:snapToGrid w:val="0"/>
              <w:spacing w:after="0" w:line="240" w:lineRule="auto"/>
              <w:jc w:val="center"/>
              <w:rPr>
                <w:rFonts w:hint="default" w:ascii="Times New Roman" w:hAnsi="Times New Roman" w:eastAsia="宋体" w:cs="Times New Roman"/>
                <w:color w:val="auto"/>
                <w:sz w:val="21"/>
                <w:szCs w:val="21"/>
                <w:lang w:val="en-US" w:eastAsia="zh-CN"/>
              </w:rPr>
            </w:pPr>
            <w:r>
              <w:rPr>
                <w:rFonts w:hint="default"/>
                <w:color w:val="auto"/>
                <w:sz w:val="21"/>
                <w:szCs w:val="21"/>
              </w:rPr>
              <w:t>加盖</w:t>
            </w:r>
            <w:r>
              <w:rPr>
                <w:rFonts w:hint="eastAsia"/>
                <w:color w:val="auto"/>
                <w:sz w:val="21"/>
                <w:szCs w:val="21"/>
                <w:lang w:eastAsia="zh-CN"/>
              </w:rPr>
              <w:t>苫布</w:t>
            </w:r>
            <w:r>
              <w:rPr>
                <w:rFonts w:hint="default"/>
                <w:color w:val="auto"/>
                <w:sz w:val="21"/>
                <w:szCs w:val="21"/>
              </w:rPr>
              <w:t>、洒水降尘、厂内道路全部硬化。</w:t>
            </w:r>
          </w:p>
        </w:tc>
        <w:tc>
          <w:tcPr>
            <w:tcW w:w="2228" w:type="dxa"/>
            <w:vMerge w:val="continue"/>
            <w:vAlign w:val="center"/>
          </w:tcPr>
          <w:p w14:paraId="38DBC15E">
            <w:pPr>
              <w:adjustRightInd w:val="0"/>
              <w:snapToGrid w:val="0"/>
              <w:spacing w:after="0" w:line="240" w:lineRule="auto"/>
              <w:rPr>
                <w:rFonts w:hint="default" w:ascii="Times New Roman" w:hAnsi="Times New Roman" w:eastAsia="宋体" w:cs="Times New Roman"/>
                <w:color w:val="auto"/>
                <w:sz w:val="21"/>
                <w:szCs w:val="21"/>
              </w:rPr>
            </w:pPr>
          </w:p>
        </w:tc>
      </w:tr>
      <w:tr w14:paraId="5CAA68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740" w:hRule="atLeast"/>
        </w:trPr>
        <w:tc>
          <w:tcPr>
            <w:tcW w:w="1532" w:type="dxa"/>
            <w:vMerge w:val="restart"/>
            <w:vAlign w:val="center"/>
          </w:tcPr>
          <w:p w14:paraId="3E13F0F3">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地表水环境</w:t>
            </w:r>
          </w:p>
        </w:tc>
        <w:tc>
          <w:tcPr>
            <w:tcW w:w="1486" w:type="dxa"/>
            <w:vAlign w:val="center"/>
          </w:tcPr>
          <w:p w14:paraId="3275C20F">
            <w:pPr>
              <w:adjustRightInd w:val="0"/>
              <w:snapToGrid w:val="0"/>
              <w:spacing w:after="0" w:line="240" w:lineRule="auto"/>
              <w:jc w:val="center"/>
              <w:rPr>
                <w:rFonts w:hint="eastAsia" w:ascii="Times New Roman" w:hAnsi="Times New Roman" w:eastAsia="宋体" w:cs="Times New Roman"/>
                <w:color w:val="auto"/>
                <w:sz w:val="21"/>
                <w:szCs w:val="21"/>
                <w:lang w:eastAsia="zh-CN"/>
              </w:rPr>
            </w:pPr>
            <w:r>
              <w:rPr>
                <w:rFonts w:hint="eastAsia" w:cs="Times New Roman"/>
                <w:color w:val="auto"/>
                <w:sz w:val="21"/>
                <w:szCs w:val="21"/>
                <w:lang w:eastAsia="zh-CN" w:bidi="ar"/>
              </w:rPr>
              <w:t>生活污水</w:t>
            </w:r>
          </w:p>
        </w:tc>
        <w:tc>
          <w:tcPr>
            <w:tcW w:w="1250" w:type="dxa"/>
            <w:vAlign w:val="center"/>
          </w:tcPr>
          <w:p w14:paraId="6312E77C">
            <w:pPr>
              <w:adjustRightInd w:val="0"/>
              <w:snapToGrid w:val="0"/>
              <w:spacing w:after="0" w:line="240" w:lineRule="auto"/>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highlight w:val="none"/>
              </w:rPr>
              <w:t>COD、BOD</w:t>
            </w:r>
            <w:r>
              <w:rPr>
                <w:rFonts w:hint="eastAsia" w:ascii="Times New Roman" w:hAnsi="Times New Roman" w:eastAsia="宋体" w:cs="Times New Roman"/>
                <w:color w:val="auto"/>
                <w:sz w:val="21"/>
                <w:szCs w:val="21"/>
                <w:highlight w:val="none"/>
                <w:vertAlign w:val="subscript"/>
              </w:rPr>
              <w:t>5</w:t>
            </w:r>
            <w:r>
              <w:rPr>
                <w:rFonts w:hint="default" w:ascii="Times New Roman" w:hAnsi="Times New Roman" w:eastAsia="宋体" w:cs="Times New Roman"/>
                <w:color w:val="auto"/>
                <w:sz w:val="21"/>
                <w:szCs w:val="21"/>
                <w:highlight w:val="none"/>
              </w:rPr>
              <w:t>、SS</w:t>
            </w:r>
            <w:r>
              <w:rPr>
                <w:rFonts w:hint="eastAsia"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rPr>
              <w:t>氨氮</w:t>
            </w:r>
          </w:p>
        </w:tc>
        <w:tc>
          <w:tcPr>
            <w:tcW w:w="2688" w:type="dxa"/>
            <w:vAlign w:val="center"/>
          </w:tcPr>
          <w:p w14:paraId="7A221BDB">
            <w:pPr>
              <w:adjustRightInd w:val="0"/>
              <w:snapToGrid w:val="0"/>
              <w:spacing w:after="0" w:line="240" w:lineRule="auto"/>
              <w:jc w:val="center"/>
              <w:rPr>
                <w:rFonts w:hint="eastAsia" w:ascii="Times New Roman" w:hAnsi="Times New Roman" w:eastAsia="宋体" w:cs="Times New Roman"/>
                <w:color w:val="auto"/>
                <w:sz w:val="21"/>
                <w:szCs w:val="21"/>
                <w:lang w:eastAsia="zh-CN"/>
              </w:rPr>
            </w:pPr>
            <w:r>
              <w:rPr>
                <w:rFonts w:hint="eastAsia" w:cs="Times New Roman"/>
                <w:color w:val="auto"/>
                <w:sz w:val="21"/>
                <w:szCs w:val="21"/>
                <w:lang w:eastAsia="zh-CN"/>
              </w:rPr>
              <w:t>不在厂区占地范围内产生，依托淮南市八公山区淮南舜岳水泥有限责任公司地埋式化粪池处理后接入市政污水管网排入八公山污水处理厂处理。</w:t>
            </w:r>
          </w:p>
        </w:tc>
        <w:tc>
          <w:tcPr>
            <w:tcW w:w="2228" w:type="dxa"/>
            <w:vAlign w:val="center"/>
          </w:tcPr>
          <w:p w14:paraId="1A3B2119">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《污水综合排放标准》（GB8978-1996）中三级标准和</w:t>
            </w:r>
            <w:r>
              <w:rPr>
                <w:rFonts w:hint="eastAsia" w:cs="Times New Roman"/>
                <w:color w:val="auto"/>
                <w:sz w:val="21"/>
                <w:szCs w:val="21"/>
                <w:lang w:eastAsia="zh-CN"/>
              </w:rPr>
              <w:t>八公山</w:t>
            </w:r>
            <w:r>
              <w:rPr>
                <w:rFonts w:hint="default" w:ascii="Times New Roman" w:hAnsi="Times New Roman" w:eastAsia="宋体" w:cs="Times New Roman"/>
                <w:color w:val="auto"/>
                <w:sz w:val="21"/>
                <w:szCs w:val="21"/>
              </w:rPr>
              <w:t>污水处理厂接管标准从严执行。</w:t>
            </w:r>
          </w:p>
        </w:tc>
      </w:tr>
      <w:tr w14:paraId="716ECF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33" w:hRule="atLeast"/>
        </w:trPr>
        <w:tc>
          <w:tcPr>
            <w:tcW w:w="1532" w:type="dxa"/>
            <w:vMerge w:val="continue"/>
            <w:vAlign w:val="center"/>
          </w:tcPr>
          <w:p w14:paraId="6A731172">
            <w:pPr>
              <w:adjustRightInd w:val="0"/>
              <w:snapToGrid w:val="0"/>
              <w:spacing w:after="0" w:line="240" w:lineRule="auto"/>
              <w:jc w:val="center"/>
              <w:rPr>
                <w:rFonts w:hint="default" w:ascii="Times New Roman" w:hAnsi="Times New Roman" w:eastAsia="宋体" w:cs="Times New Roman"/>
                <w:color w:val="auto"/>
                <w:sz w:val="21"/>
                <w:szCs w:val="21"/>
              </w:rPr>
            </w:pPr>
          </w:p>
        </w:tc>
        <w:tc>
          <w:tcPr>
            <w:tcW w:w="1486" w:type="dxa"/>
            <w:vAlign w:val="center"/>
          </w:tcPr>
          <w:p w14:paraId="30A12F75">
            <w:pPr>
              <w:adjustRightInd w:val="0"/>
              <w:snapToGrid w:val="0"/>
              <w:spacing w:after="0" w:line="240" w:lineRule="auto"/>
              <w:jc w:val="center"/>
              <w:rPr>
                <w:rFonts w:hint="default" w:ascii="Times New Roman" w:hAnsi="Times New Roman" w:eastAsia="宋体" w:cs="Times New Roman"/>
                <w:color w:val="auto"/>
                <w:sz w:val="21"/>
                <w:szCs w:val="21"/>
                <w:lang w:bidi="ar"/>
              </w:rPr>
            </w:pPr>
            <w:r>
              <w:rPr>
                <w:rFonts w:hint="eastAsia" w:ascii="Times New Roman" w:hAnsi="Times New Roman" w:eastAsia="宋体" w:cs="Times New Roman"/>
                <w:color w:val="auto"/>
                <w:sz w:val="21"/>
                <w:szCs w:val="21"/>
                <w:highlight w:val="none"/>
              </w:rPr>
              <w:t>洗煤废水</w:t>
            </w:r>
          </w:p>
        </w:tc>
        <w:tc>
          <w:tcPr>
            <w:tcW w:w="1250" w:type="dxa"/>
            <w:vAlign w:val="center"/>
          </w:tcPr>
          <w:p w14:paraId="5F071102">
            <w:pPr>
              <w:adjustRightInd w:val="0"/>
              <w:snapToGrid w:val="0"/>
              <w:spacing w:after="0" w:line="240" w:lineRule="auto"/>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SS</w:t>
            </w:r>
          </w:p>
        </w:tc>
        <w:tc>
          <w:tcPr>
            <w:tcW w:w="2688" w:type="dxa"/>
            <w:vAlign w:val="center"/>
          </w:tcPr>
          <w:p w14:paraId="1166525A">
            <w:pPr>
              <w:adjustRightInd w:val="0"/>
              <w:snapToGrid w:val="0"/>
              <w:spacing w:after="0" w:line="240" w:lineRule="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洗煤废水经处理后回用，洗煤废水一级闭路循环</w:t>
            </w:r>
          </w:p>
        </w:tc>
        <w:tc>
          <w:tcPr>
            <w:tcW w:w="2228" w:type="dxa"/>
            <w:vMerge w:val="restart"/>
            <w:vAlign w:val="center"/>
          </w:tcPr>
          <w:p w14:paraId="40815C21">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不外排</w:t>
            </w:r>
          </w:p>
        </w:tc>
      </w:tr>
      <w:tr w14:paraId="2F6469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33" w:hRule="atLeast"/>
        </w:trPr>
        <w:tc>
          <w:tcPr>
            <w:tcW w:w="1532" w:type="dxa"/>
            <w:vMerge w:val="continue"/>
            <w:vAlign w:val="center"/>
          </w:tcPr>
          <w:p w14:paraId="43E1A548">
            <w:pPr>
              <w:adjustRightInd w:val="0"/>
              <w:snapToGrid w:val="0"/>
              <w:spacing w:after="0" w:line="240" w:lineRule="auto"/>
              <w:jc w:val="center"/>
              <w:rPr>
                <w:rFonts w:hint="default" w:ascii="Times New Roman" w:hAnsi="Times New Roman" w:eastAsia="宋体" w:cs="Times New Roman"/>
                <w:color w:val="auto"/>
                <w:sz w:val="21"/>
                <w:szCs w:val="21"/>
              </w:rPr>
            </w:pPr>
          </w:p>
        </w:tc>
        <w:tc>
          <w:tcPr>
            <w:tcW w:w="1486" w:type="dxa"/>
            <w:vAlign w:val="center"/>
          </w:tcPr>
          <w:p w14:paraId="24E19BB8">
            <w:pPr>
              <w:adjustRightInd w:val="0"/>
              <w:snapToGrid w:val="0"/>
              <w:spacing w:after="0" w:line="240" w:lineRule="auto"/>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洒水抑尘废水</w:t>
            </w:r>
          </w:p>
        </w:tc>
        <w:tc>
          <w:tcPr>
            <w:tcW w:w="1250" w:type="dxa"/>
            <w:vAlign w:val="center"/>
          </w:tcPr>
          <w:p w14:paraId="0D55CE9C">
            <w:pPr>
              <w:adjustRightInd w:val="0"/>
              <w:snapToGrid w:val="0"/>
              <w:spacing w:after="0" w:line="240" w:lineRule="auto"/>
              <w:jc w:val="center"/>
              <w:rPr>
                <w:rFonts w:hint="default" w:cs="Times New Roman"/>
                <w:color w:val="auto"/>
                <w:sz w:val="21"/>
                <w:szCs w:val="21"/>
                <w:lang w:val="en-US" w:eastAsia="zh-CN"/>
              </w:rPr>
            </w:pPr>
            <w:r>
              <w:rPr>
                <w:rFonts w:hint="eastAsia" w:cs="Times New Roman"/>
                <w:color w:val="auto"/>
                <w:sz w:val="21"/>
                <w:szCs w:val="21"/>
                <w:lang w:val="en-US" w:eastAsia="zh-CN"/>
              </w:rPr>
              <w:t>--</w:t>
            </w:r>
          </w:p>
        </w:tc>
        <w:tc>
          <w:tcPr>
            <w:tcW w:w="2688" w:type="dxa"/>
            <w:vAlign w:val="center"/>
          </w:tcPr>
          <w:p w14:paraId="52B1CD8A">
            <w:pPr>
              <w:adjustRightInd w:val="0"/>
              <w:snapToGrid w:val="0"/>
              <w:spacing w:after="0" w:line="240" w:lineRule="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全部蒸发损耗</w:t>
            </w:r>
          </w:p>
        </w:tc>
        <w:tc>
          <w:tcPr>
            <w:tcW w:w="2228" w:type="dxa"/>
            <w:vMerge w:val="continue"/>
            <w:vAlign w:val="center"/>
          </w:tcPr>
          <w:p w14:paraId="150AA0E3">
            <w:pPr>
              <w:adjustRightInd w:val="0"/>
              <w:snapToGrid w:val="0"/>
              <w:spacing w:after="0" w:line="240" w:lineRule="auto"/>
              <w:rPr>
                <w:rFonts w:hint="default" w:ascii="Times New Roman" w:hAnsi="Times New Roman" w:eastAsia="宋体" w:cs="Times New Roman"/>
                <w:color w:val="auto"/>
                <w:sz w:val="21"/>
                <w:szCs w:val="21"/>
              </w:rPr>
            </w:pPr>
          </w:p>
        </w:tc>
      </w:tr>
      <w:tr w14:paraId="1C0E34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77" w:hRule="atLeast"/>
        </w:trPr>
        <w:tc>
          <w:tcPr>
            <w:tcW w:w="1532" w:type="dxa"/>
            <w:vMerge w:val="continue"/>
            <w:vAlign w:val="center"/>
          </w:tcPr>
          <w:p w14:paraId="3E3EE384">
            <w:pPr>
              <w:adjustRightInd w:val="0"/>
              <w:snapToGrid w:val="0"/>
              <w:spacing w:after="0" w:line="240" w:lineRule="auto"/>
              <w:jc w:val="center"/>
              <w:rPr>
                <w:rFonts w:hint="default" w:ascii="Times New Roman" w:hAnsi="Times New Roman" w:eastAsia="宋体" w:cs="Times New Roman"/>
                <w:color w:val="auto"/>
                <w:sz w:val="21"/>
                <w:szCs w:val="21"/>
              </w:rPr>
            </w:pPr>
          </w:p>
        </w:tc>
        <w:tc>
          <w:tcPr>
            <w:tcW w:w="1486" w:type="dxa"/>
            <w:vAlign w:val="center"/>
          </w:tcPr>
          <w:p w14:paraId="040C4EF4">
            <w:pPr>
              <w:adjustRightInd w:val="0"/>
              <w:snapToGrid w:val="0"/>
              <w:spacing w:after="0" w:line="240" w:lineRule="auto"/>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初期雨水</w:t>
            </w:r>
          </w:p>
        </w:tc>
        <w:tc>
          <w:tcPr>
            <w:tcW w:w="1250" w:type="dxa"/>
            <w:vAlign w:val="center"/>
          </w:tcPr>
          <w:p w14:paraId="79C61B95">
            <w:pPr>
              <w:adjustRightInd w:val="0"/>
              <w:snapToGrid w:val="0"/>
              <w:spacing w:after="0"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highlight w:val="none"/>
              </w:rPr>
              <w:t>COD、SS</w:t>
            </w:r>
            <w:r>
              <w:rPr>
                <w:rFonts w:hint="eastAsia"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rPr>
              <w:t>氨氮</w:t>
            </w:r>
          </w:p>
        </w:tc>
        <w:tc>
          <w:tcPr>
            <w:tcW w:w="2688" w:type="dxa"/>
            <w:vAlign w:val="center"/>
          </w:tcPr>
          <w:p w14:paraId="4420A6D4">
            <w:pPr>
              <w:adjustRightInd w:val="0"/>
              <w:snapToGrid w:val="0"/>
              <w:spacing w:after="0" w:line="240" w:lineRule="auto"/>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rPr>
              <w:t>经初期雨水收集池沉淀后用于厂区洒水抑尘</w:t>
            </w:r>
          </w:p>
        </w:tc>
        <w:tc>
          <w:tcPr>
            <w:tcW w:w="2228" w:type="dxa"/>
            <w:vMerge w:val="continue"/>
            <w:vAlign w:val="center"/>
          </w:tcPr>
          <w:p w14:paraId="19883D2E">
            <w:pPr>
              <w:adjustRightInd w:val="0"/>
              <w:snapToGrid w:val="0"/>
              <w:spacing w:after="0" w:line="240" w:lineRule="auto"/>
              <w:rPr>
                <w:rFonts w:hint="default" w:ascii="Times New Roman" w:hAnsi="Times New Roman" w:eastAsia="宋体" w:cs="Times New Roman"/>
                <w:color w:val="auto"/>
                <w:sz w:val="21"/>
                <w:szCs w:val="21"/>
              </w:rPr>
            </w:pPr>
          </w:p>
        </w:tc>
      </w:tr>
      <w:tr w14:paraId="2FFC1F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80" w:hRule="atLeast"/>
        </w:trPr>
        <w:tc>
          <w:tcPr>
            <w:tcW w:w="1532" w:type="dxa"/>
            <w:vAlign w:val="center"/>
          </w:tcPr>
          <w:p w14:paraId="4869E50D">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声环境</w:t>
            </w:r>
          </w:p>
        </w:tc>
        <w:tc>
          <w:tcPr>
            <w:tcW w:w="1486" w:type="dxa"/>
            <w:vAlign w:val="center"/>
          </w:tcPr>
          <w:p w14:paraId="7C5CB029">
            <w:pPr>
              <w:adjustRightInd w:val="0"/>
              <w:snapToGrid w:val="0"/>
              <w:spacing w:after="0" w:line="240" w:lineRule="auto"/>
              <w:jc w:val="center"/>
              <w:rPr>
                <w:rFonts w:hint="eastAsia" w:ascii="Times New Roman" w:hAnsi="Times New Roman" w:eastAsia="宋体" w:cs="Times New Roman"/>
                <w:color w:val="auto"/>
                <w:sz w:val="21"/>
                <w:szCs w:val="21"/>
                <w:lang w:eastAsia="zh-CN"/>
              </w:rPr>
            </w:pPr>
            <w:r>
              <w:rPr>
                <w:rFonts w:hint="eastAsia" w:cs="Times New Roman"/>
                <w:color w:val="auto"/>
                <w:sz w:val="21"/>
                <w:szCs w:val="21"/>
                <w:lang w:eastAsia="zh-CN"/>
              </w:rPr>
              <w:t>厂界</w:t>
            </w:r>
          </w:p>
        </w:tc>
        <w:tc>
          <w:tcPr>
            <w:tcW w:w="1250" w:type="dxa"/>
            <w:vAlign w:val="center"/>
          </w:tcPr>
          <w:p w14:paraId="1F0D0A94">
            <w:pPr>
              <w:adjustRightInd w:val="0"/>
              <w:snapToGrid w:val="0"/>
              <w:spacing w:after="0"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等效</w:t>
            </w:r>
            <w:r>
              <w:rPr>
                <w:rFonts w:hint="default" w:ascii="Times New Roman" w:hAnsi="Times New Roman" w:eastAsia="宋体" w:cs="Times New Roman"/>
                <w:color w:val="auto"/>
                <w:sz w:val="21"/>
                <w:szCs w:val="21"/>
                <w:lang w:val="en-US" w:eastAsia="zh-CN"/>
              </w:rPr>
              <w:t>A声级</w:t>
            </w:r>
          </w:p>
        </w:tc>
        <w:tc>
          <w:tcPr>
            <w:tcW w:w="2688" w:type="dxa"/>
            <w:vAlign w:val="center"/>
          </w:tcPr>
          <w:p w14:paraId="3C314618">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优先选用</w:t>
            </w:r>
            <w:r>
              <w:rPr>
                <w:rFonts w:hint="default" w:ascii="Times New Roman" w:hAnsi="Times New Roman" w:eastAsia="宋体" w:cs="Times New Roman"/>
                <w:color w:val="auto"/>
                <w:sz w:val="21"/>
                <w:szCs w:val="21"/>
                <w:lang w:eastAsia="zh-CN"/>
              </w:rPr>
              <w:t>高效</w:t>
            </w:r>
            <w:r>
              <w:rPr>
                <w:rFonts w:hint="default" w:ascii="Times New Roman" w:hAnsi="Times New Roman" w:eastAsia="宋体" w:cs="Times New Roman"/>
                <w:color w:val="auto"/>
                <w:sz w:val="21"/>
                <w:szCs w:val="21"/>
              </w:rPr>
              <w:t>低噪声设备，部分设备安装减振垫，加强设备养护</w:t>
            </w:r>
            <w:r>
              <w:rPr>
                <w:rFonts w:hint="default" w:ascii="Times New Roman" w:hAnsi="Times New Roman" w:eastAsia="宋体" w:cs="Times New Roman"/>
                <w:color w:val="auto"/>
                <w:sz w:val="21"/>
                <w:szCs w:val="21"/>
                <w:lang w:eastAsia="zh-CN"/>
              </w:rPr>
              <w:t>，墙体隔声等</w:t>
            </w:r>
            <w:r>
              <w:rPr>
                <w:rFonts w:hint="default" w:ascii="Times New Roman" w:hAnsi="Times New Roman" w:eastAsia="宋体" w:cs="Times New Roman"/>
                <w:color w:val="auto"/>
                <w:sz w:val="21"/>
                <w:szCs w:val="21"/>
              </w:rPr>
              <w:t>。</w:t>
            </w:r>
          </w:p>
        </w:tc>
        <w:tc>
          <w:tcPr>
            <w:tcW w:w="2228" w:type="dxa"/>
            <w:vAlign w:val="center"/>
          </w:tcPr>
          <w:p w14:paraId="617404E3">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《工业企业厂界环境噪声排放标准》</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GB12348-2008</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中3类标准。</w:t>
            </w:r>
          </w:p>
        </w:tc>
      </w:tr>
      <w:tr w14:paraId="0D411B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384" w:hRule="atLeast"/>
        </w:trPr>
        <w:tc>
          <w:tcPr>
            <w:tcW w:w="1532" w:type="dxa"/>
            <w:vAlign w:val="center"/>
          </w:tcPr>
          <w:p w14:paraId="777C7790">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电磁辐射</w:t>
            </w:r>
          </w:p>
        </w:tc>
        <w:tc>
          <w:tcPr>
            <w:tcW w:w="7652" w:type="dxa"/>
            <w:gridSpan w:val="4"/>
            <w:vAlign w:val="center"/>
          </w:tcPr>
          <w:p w14:paraId="3188AF45">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r>
      <w:tr w14:paraId="66A908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66" w:hRule="atLeast"/>
        </w:trPr>
        <w:tc>
          <w:tcPr>
            <w:tcW w:w="1532" w:type="dxa"/>
            <w:vAlign w:val="center"/>
          </w:tcPr>
          <w:p w14:paraId="375D4B3E">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固体废物</w:t>
            </w:r>
          </w:p>
        </w:tc>
        <w:tc>
          <w:tcPr>
            <w:tcW w:w="7652" w:type="dxa"/>
            <w:gridSpan w:val="4"/>
            <w:vAlign w:val="center"/>
          </w:tcPr>
          <w:p w14:paraId="47D89A82">
            <w:pPr>
              <w:keepNext w:val="0"/>
              <w:keepLines w:val="0"/>
              <w:suppressLineNumbers w:val="0"/>
              <w:adjustRightInd w:val="0"/>
              <w:snapToGrid w:val="0"/>
              <w:spacing w:before="0" w:beforeAutospacing="0" w:after="0" w:afterAutospacing="0"/>
              <w:ind w:left="0" w:right="0"/>
              <w:rPr>
                <w:rFonts w:hint="default" w:ascii="Times New Roman" w:hAnsi="Times New Roman" w:eastAsia="宋体" w:cs="Times New Roman"/>
                <w:color w:val="auto"/>
                <w:sz w:val="21"/>
                <w:szCs w:val="21"/>
              </w:rPr>
            </w:pPr>
            <w:r>
              <w:rPr>
                <w:rFonts w:hint="default"/>
                <w:color w:val="auto"/>
                <w:sz w:val="21"/>
                <w:szCs w:val="21"/>
                <w:highlight w:val="none"/>
              </w:rPr>
              <w:t>矸石</w:t>
            </w:r>
            <w:r>
              <w:rPr>
                <w:rFonts w:hint="eastAsia"/>
                <w:color w:val="auto"/>
                <w:sz w:val="21"/>
                <w:szCs w:val="21"/>
                <w:highlight w:val="none"/>
                <w:lang w:val="en-US" w:eastAsia="zh-CN"/>
              </w:rPr>
              <w:t>暂存于矸石堆棚</w:t>
            </w:r>
            <w:r>
              <w:rPr>
                <w:rFonts w:hint="eastAsia"/>
                <w:color w:val="auto"/>
                <w:sz w:val="21"/>
                <w:szCs w:val="21"/>
                <w:highlight w:val="none"/>
              </w:rPr>
              <w:t>，</w:t>
            </w:r>
            <w:r>
              <w:rPr>
                <w:rFonts w:hint="eastAsia"/>
                <w:color w:val="auto"/>
                <w:sz w:val="21"/>
                <w:szCs w:val="21"/>
                <w:highlight w:val="none"/>
                <w:lang w:eastAsia="zh-CN"/>
              </w:rPr>
              <w:t>作为胶凝材料原料交由淮南市八公山区淮南舜岳水泥有限责任公司使用</w:t>
            </w:r>
            <w:r>
              <w:rPr>
                <w:rFonts w:hint="eastAsia"/>
                <w:color w:val="auto"/>
                <w:sz w:val="21"/>
                <w:szCs w:val="21"/>
                <w:highlight w:val="none"/>
              </w:rPr>
              <w:t>；煤泥不在厂区内堆存，</w:t>
            </w:r>
            <w:r>
              <w:rPr>
                <w:rFonts w:hint="eastAsia"/>
                <w:color w:val="auto"/>
                <w:sz w:val="21"/>
                <w:szCs w:val="21"/>
                <w:highlight w:val="none"/>
                <w:lang w:eastAsia="zh-CN"/>
              </w:rPr>
              <w:t>交由淮南市八公山区淮南舜岳水泥有限责任公司</w:t>
            </w:r>
            <w:r>
              <w:rPr>
                <w:rFonts w:hint="eastAsia"/>
                <w:color w:val="auto"/>
                <w:sz w:val="21"/>
                <w:szCs w:val="21"/>
                <w:highlight w:val="none"/>
              </w:rPr>
              <w:t>综合利用；生活垃圾统一收集后定期由</w:t>
            </w:r>
            <w:r>
              <w:rPr>
                <w:rFonts w:hint="eastAsia"/>
                <w:color w:val="auto"/>
                <w:sz w:val="21"/>
                <w:szCs w:val="21"/>
                <w:highlight w:val="none"/>
                <w:lang w:eastAsia="zh-CN"/>
              </w:rPr>
              <w:t>环卫</w:t>
            </w:r>
            <w:r>
              <w:rPr>
                <w:rFonts w:hint="eastAsia"/>
                <w:color w:val="auto"/>
                <w:sz w:val="21"/>
                <w:szCs w:val="21"/>
                <w:highlight w:val="none"/>
              </w:rPr>
              <w:t>部门清运；</w:t>
            </w:r>
            <w:r>
              <w:rPr>
                <w:rFonts w:hint="eastAsia"/>
                <w:color w:val="auto"/>
                <w:sz w:val="21"/>
                <w:szCs w:val="21"/>
                <w:highlight w:val="none"/>
                <w:lang w:eastAsia="zh-CN"/>
              </w:rPr>
              <w:t>危险废物</w:t>
            </w:r>
            <w:r>
              <w:rPr>
                <w:rFonts w:hint="eastAsia"/>
                <w:color w:val="auto"/>
                <w:sz w:val="21"/>
                <w:szCs w:val="21"/>
                <w:highlight w:val="none"/>
              </w:rPr>
              <w:t>暂存于危废</w:t>
            </w:r>
            <w:r>
              <w:rPr>
                <w:rFonts w:hint="eastAsia"/>
                <w:color w:val="auto"/>
                <w:sz w:val="21"/>
                <w:szCs w:val="21"/>
                <w:highlight w:val="none"/>
                <w:lang w:eastAsia="zh-CN"/>
              </w:rPr>
              <w:t>暂存间</w:t>
            </w:r>
            <w:r>
              <w:rPr>
                <w:rFonts w:hint="eastAsia"/>
                <w:color w:val="auto"/>
                <w:sz w:val="21"/>
                <w:szCs w:val="21"/>
                <w:highlight w:val="none"/>
              </w:rPr>
              <w:t>，定期交由资质单位统一处置；</w:t>
            </w:r>
          </w:p>
        </w:tc>
      </w:tr>
      <w:tr w14:paraId="4C03B9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80" w:hRule="atLeast"/>
        </w:trPr>
        <w:tc>
          <w:tcPr>
            <w:tcW w:w="1532" w:type="dxa"/>
            <w:vAlign w:val="center"/>
          </w:tcPr>
          <w:p w14:paraId="438DACCE">
            <w:pPr>
              <w:adjustRightInd w:val="0"/>
              <w:snapToGrid w:val="0"/>
              <w:spacing w:after="0" w:line="240" w:lineRule="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土壤及地下水污染防治措施</w:t>
            </w:r>
          </w:p>
        </w:tc>
        <w:tc>
          <w:tcPr>
            <w:tcW w:w="7652" w:type="dxa"/>
            <w:gridSpan w:val="4"/>
            <w:vAlign w:val="center"/>
          </w:tcPr>
          <w:p w14:paraId="360879AA">
            <w:pPr>
              <w:keepNext w:val="0"/>
              <w:keepLines w:val="0"/>
              <w:pageBreakBefore w:val="0"/>
              <w:widowControl w:val="0"/>
              <w:suppressLineNumbers w:val="0"/>
              <w:kinsoku/>
              <w:wordWrap/>
              <w:overflowPunct w:val="0"/>
              <w:topLinePunct w:val="0"/>
              <w:autoSpaceDE/>
              <w:autoSpaceDN/>
              <w:bidi w:val="0"/>
              <w:adjustRightInd w:val="0"/>
              <w:snapToGrid w:val="0"/>
              <w:spacing w:before="0" w:beforeAutospacing="0" w:after="0" w:afterAutospacing="0"/>
              <w:ind w:right="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重点防渗区：</w:t>
            </w:r>
            <w:r>
              <w:rPr>
                <w:rFonts w:hint="eastAsia" w:ascii="Times New Roman" w:hAnsi="Times New Roman" w:eastAsia="宋体" w:cs="Times New Roman"/>
                <w:color w:val="auto"/>
                <w:sz w:val="21"/>
                <w:szCs w:val="21"/>
                <w:highlight w:val="none"/>
                <w:lang w:eastAsia="zh-CN"/>
              </w:rPr>
              <w:t>危废暂存间</w:t>
            </w:r>
            <w:r>
              <w:rPr>
                <w:rFonts w:hint="eastAsia" w:ascii="Times New Roman" w:hAnsi="Times New Roman" w:eastAsia="宋体" w:cs="Times New Roman"/>
                <w:color w:val="auto"/>
                <w:sz w:val="21"/>
                <w:szCs w:val="21"/>
                <w:highlight w:val="none"/>
              </w:rPr>
              <w:t>采取重点防渗措施。防渗层为水泥面硬化，铺设</w:t>
            </w:r>
            <w:r>
              <w:rPr>
                <w:rFonts w:hint="default" w:ascii="Times New Roman" w:hAnsi="Times New Roman" w:eastAsia="宋体" w:cs="Times New Roman"/>
                <w:color w:val="auto"/>
                <w:sz w:val="21"/>
                <w:szCs w:val="21"/>
                <w:highlight w:val="none"/>
              </w:rPr>
              <w:t>2mm厚高密度聚乙烯，或至少2mm厚的渗透系数</w:t>
            </w:r>
            <w:r>
              <w:rPr>
                <w:rFonts w:hint="eastAsia"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rPr>
              <w:t>10</w:t>
            </w:r>
            <w:r>
              <w:rPr>
                <w:rFonts w:hint="default" w:ascii="Times New Roman" w:hAnsi="Times New Roman" w:eastAsia="宋体" w:cs="Times New Roman"/>
                <w:color w:val="auto"/>
                <w:sz w:val="21"/>
                <w:szCs w:val="21"/>
                <w:highlight w:val="none"/>
                <w:vertAlign w:val="superscript"/>
              </w:rPr>
              <w:t>-10</w:t>
            </w:r>
            <w:r>
              <w:rPr>
                <w:rFonts w:hint="default" w:ascii="Times New Roman" w:hAnsi="Times New Roman" w:eastAsia="宋体" w:cs="Times New Roman"/>
                <w:color w:val="auto"/>
                <w:sz w:val="21"/>
                <w:szCs w:val="21"/>
                <w:highlight w:val="none"/>
              </w:rPr>
              <w:t>cm/s</w:t>
            </w:r>
            <w:r>
              <w:rPr>
                <w:rFonts w:hint="eastAsia" w:ascii="Times New Roman" w:hAnsi="Times New Roman" w:eastAsia="宋体" w:cs="Times New Roman"/>
                <w:color w:val="auto"/>
                <w:sz w:val="21"/>
                <w:szCs w:val="21"/>
                <w:highlight w:val="none"/>
              </w:rPr>
              <w:t>的</w:t>
            </w:r>
            <w:r>
              <w:rPr>
                <w:rFonts w:hint="default" w:ascii="Times New Roman" w:hAnsi="Times New Roman" w:eastAsia="宋体" w:cs="Times New Roman"/>
                <w:color w:val="auto"/>
                <w:sz w:val="21"/>
                <w:szCs w:val="21"/>
                <w:highlight w:val="none"/>
              </w:rPr>
              <w:t>其它人工材料，</w:t>
            </w:r>
            <w:r>
              <w:rPr>
                <w:rFonts w:hint="eastAsia" w:ascii="Times New Roman" w:hAnsi="Times New Roman" w:eastAsia="宋体" w:cs="Times New Roman"/>
                <w:color w:val="auto"/>
                <w:sz w:val="21"/>
                <w:szCs w:val="21"/>
                <w:highlight w:val="none"/>
              </w:rPr>
              <w:t>表面无裂隙。</w:t>
            </w:r>
          </w:p>
          <w:p w14:paraId="5F23F2F1">
            <w:pPr>
              <w:keepNext w:val="0"/>
              <w:keepLines w:val="0"/>
              <w:pageBreakBefore w:val="0"/>
              <w:widowControl w:val="0"/>
              <w:suppressLineNumbers w:val="0"/>
              <w:kinsoku w:val="0"/>
              <w:wordWrap/>
              <w:overflowPunct w:val="0"/>
              <w:topLinePunct w:val="0"/>
              <w:autoSpaceDE/>
              <w:autoSpaceDN/>
              <w:bidi w:val="0"/>
              <w:adjustRightInd w:val="0"/>
              <w:snapToGrid w:val="0"/>
              <w:spacing w:before="0" w:beforeAutospacing="0" w:after="0" w:afterAutospacing="0" w:line="279" w:lineRule="auto"/>
              <w:ind w:right="0"/>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一般防渗区：</w:t>
            </w:r>
            <w:r>
              <w:rPr>
                <w:rFonts w:hint="eastAsia" w:ascii="Times New Roman" w:hAnsi="Times New Roman" w:eastAsia="宋体" w:cs="Times New Roman"/>
                <w:color w:val="auto"/>
                <w:sz w:val="21"/>
                <w:szCs w:val="21"/>
                <w:highlight w:val="none"/>
                <w:lang w:val="en-US" w:eastAsia="zh-CN"/>
              </w:rPr>
              <w:t>生产车间、</w:t>
            </w:r>
            <w:r>
              <w:rPr>
                <w:rFonts w:hint="eastAsia" w:ascii="Times New Roman" w:hAnsi="Times New Roman" w:eastAsia="宋体" w:cs="Times New Roman"/>
                <w:color w:val="auto"/>
                <w:sz w:val="21"/>
                <w:szCs w:val="21"/>
                <w:highlight w:val="none"/>
                <w:lang w:eastAsia="zh-CN"/>
              </w:rPr>
              <w:t>精煤堆棚</w:t>
            </w:r>
            <w:r>
              <w:rPr>
                <w:rFonts w:hint="eastAsia" w:ascii="Times New Roman" w:hAnsi="Times New Roman" w:eastAsia="宋体" w:cs="Times New Roman"/>
                <w:color w:val="auto"/>
                <w:sz w:val="21"/>
                <w:szCs w:val="21"/>
                <w:highlight w:val="none"/>
              </w:rPr>
              <w:t>、中煤</w:t>
            </w:r>
            <w:r>
              <w:rPr>
                <w:rFonts w:hint="eastAsia" w:ascii="Times New Roman" w:hAnsi="Times New Roman" w:eastAsia="宋体" w:cs="Times New Roman"/>
                <w:color w:val="auto"/>
                <w:sz w:val="21"/>
                <w:szCs w:val="21"/>
                <w:highlight w:val="none"/>
                <w:lang w:eastAsia="zh-CN"/>
              </w:rPr>
              <w:t>堆棚</w:t>
            </w:r>
            <w:r>
              <w:rPr>
                <w:rFonts w:hint="eastAsia" w:ascii="Times New Roman" w:hAnsi="Times New Roman" w:eastAsia="宋体" w:cs="Times New Roman"/>
                <w:color w:val="auto"/>
                <w:sz w:val="21"/>
                <w:szCs w:val="21"/>
                <w:highlight w:val="none"/>
              </w:rPr>
              <w:t>、矸石</w:t>
            </w:r>
            <w:r>
              <w:rPr>
                <w:rFonts w:hint="eastAsia" w:ascii="Times New Roman" w:hAnsi="Times New Roman" w:eastAsia="宋体" w:cs="Times New Roman"/>
                <w:color w:val="auto"/>
                <w:sz w:val="21"/>
                <w:szCs w:val="21"/>
                <w:highlight w:val="none"/>
                <w:lang w:eastAsia="zh-CN"/>
              </w:rPr>
              <w:t>堆棚</w:t>
            </w:r>
            <w:r>
              <w:rPr>
                <w:rFonts w:hint="eastAsia" w:ascii="Times New Roman" w:hAnsi="Times New Roman" w:eastAsia="宋体" w:cs="Times New Roman"/>
                <w:color w:val="auto"/>
                <w:sz w:val="21"/>
                <w:szCs w:val="21"/>
                <w:highlight w:val="none"/>
              </w:rPr>
              <w:t>及各水池构筑物</w:t>
            </w:r>
            <w:r>
              <w:rPr>
                <w:rFonts w:hint="eastAsia" w:ascii="Times New Roman" w:hAnsi="Times New Roman" w:eastAsia="宋体" w:cs="Times New Roman"/>
                <w:color w:val="auto"/>
                <w:sz w:val="21"/>
                <w:szCs w:val="21"/>
                <w:highlight w:val="none"/>
                <w:lang w:eastAsia="zh-CN"/>
              </w:rPr>
              <w:t>等</w:t>
            </w:r>
            <w:r>
              <w:rPr>
                <w:rFonts w:hint="eastAsia" w:ascii="Times New Roman" w:hAnsi="Times New Roman" w:eastAsia="宋体" w:cs="Times New Roman"/>
                <w:color w:val="auto"/>
                <w:sz w:val="21"/>
                <w:szCs w:val="21"/>
                <w:highlight w:val="none"/>
              </w:rPr>
              <w:t>采取一般防渗措施。防渗能力达到等效黏土防渗层 Mb≥1.5m，渗透系数≤1×10</w:t>
            </w:r>
            <w:r>
              <w:rPr>
                <w:rFonts w:hint="eastAsia" w:ascii="Times New Roman" w:hAnsi="Times New Roman" w:eastAsia="宋体" w:cs="Times New Roman"/>
                <w:color w:val="auto"/>
                <w:sz w:val="21"/>
                <w:szCs w:val="21"/>
                <w:highlight w:val="none"/>
                <w:vertAlign w:val="superscript"/>
              </w:rPr>
              <w:t>-7</w:t>
            </w:r>
            <w:r>
              <w:rPr>
                <w:rFonts w:hint="eastAsia" w:ascii="Times New Roman" w:hAnsi="Times New Roman" w:eastAsia="宋体" w:cs="Times New Roman"/>
                <w:color w:val="auto"/>
                <w:sz w:val="21"/>
                <w:szCs w:val="21"/>
                <w:highlight w:val="none"/>
              </w:rPr>
              <w:t>cm/s。</w:t>
            </w:r>
          </w:p>
          <w:p w14:paraId="429AD525">
            <w:pPr>
              <w:keepNext w:val="0"/>
              <w:keepLines w:val="0"/>
              <w:pageBreakBefore w:val="0"/>
              <w:widowControl w:val="0"/>
              <w:kinsoku/>
              <w:wordWrap/>
              <w:overflowPunct w:val="0"/>
              <w:topLinePunct w:val="0"/>
              <w:autoSpaceDE/>
              <w:autoSpaceDN/>
              <w:bidi w:val="0"/>
              <w:adjustRightInd w:val="0"/>
              <w:snapToGrid w:val="0"/>
              <w:spacing w:after="0" w:line="240" w:lineRule="auto"/>
              <w:textAlignment w:val="auto"/>
              <w:rPr>
                <w:rFonts w:hint="default"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highlight w:val="none"/>
              </w:rPr>
              <w:t>简单防渗区：</w:t>
            </w:r>
            <w:r>
              <w:rPr>
                <w:rFonts w:hint="eastAsia" w:ascii="Times New Roman" w:hAnsi="Times New Roman" w:eastAsia="宋体" w:cs="Times New Roman"/>
                <w:color w:val="auto"/>
                <w:sz w:val="21"/>
                <w:szCs w:val="21"/>
                <w:highlight w:val="none"/>
                <w:lang w:eastAsia="zh-CN"/>
              </w:rPr>
              <w:t>除重点防渗区、一般防渗区以下的其他区域</w:t>
            </w:r>
            <w:r>
              <w:rPr>
                <w:rFonts w:hint="eastAsia" w:ascii="Times New Roman" w:hAnsi="Times New Roman" w:eastAsia="宋体" w:cs="Times New Roman"/>
                <w:color w:val="auto"/>
                <w:sz w:val="21"/>
                <w:szCs w:val="21"/>
                <w:highlight w:val="none"/>
              </w:rPr>
              <w:t>为简单防渗区，采取水泥地面硬化。</w:t>
            </w:r>
          </w:p>
        </w:tc>
      </w:tr>
      <w:tr w14:paraId="0D4AF1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07" w:hRule="atLeast"/>
        </w:trPr>
        <w:tc>
          <w:tcPr>
            <w:tcW w:w="1532" w:type="dxa"/>
            <w:vAlign w:val="center"/>
          </w:tcPr>
          <w:p w14:paraId="4D5A3573">
            <w:pPr>
              <w:adjustRightInd w:val="0"/>
              <w:snapToGrid w:val="0"/>
              <w:spacing w:after="0" w:line="240" w:lineRule="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生态保护措施</w:t>
            </w:r>
          </w:p>
        </w:tc>
        <w:tc>
          <w:tcPr>
            <w:tcW w:w="7652" w:type="dxa"/>
            <w:gridSpan w:val="4"/>
            <w:vAlign w:val="center"/>
          </w:tcPr>
          <w:p w14:paraId="17996D09">
            <w:pPr>
              <w:adjustRightInd w:val="0"/>
              <w:snapToGrid w:val="0"/>
              <w:spacing w:after="0" w:line="240" w:lineRule="auto"/>
              <w:rPr>
                <w:rFonts w:hint="default" w:ascii="Times New Roman" w:hAnsi="Times New Roman" w:eastAsia="宋体" w:cs="Times New Roman"/>
                <w:color w:val="auto"/>
                <w:sz w:val="21"/>
                <w:szCs w:val="21"/>
                <w:lang w:eastAsia="zh-CN"/>
              </w:rPr>
            </w:pPr>
            <w:r>
              <w:rPr>
                <w:rFonts w:hint="eastAsia" w:ascii="宋体" w:hAnsi="宋体" w:eastAsia="宋体" w:cs="宋体"/>
                <w:color w:val="auto"/>
                <w:kern w:val="0"/>
                <w:sz w:val="21"/>
                <w:szCs w:val="21"/>
                <w:highlight w:val="none"/>
              </w:rPr>
              <w:t>严格控制占地范围，不得对占地范围外的生态环境进行破坏，项目施工完成后种植适合当地自然条件生长的物种，增加植被覆盖面积。</w:t>
            </w:r>
          </w:p>
        </w:tc>
      </w:tr>
      <w:tr w14:paraId="0E5537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50" w:hRule="atLeast"/>
        </w:trPr>
        <w:tc>
          <w:tcPr>
            <w:tcW w:w="1532" w:type="dxa"/>
            <w:vAlign w:val="center"/>
          </w:tcPr>
          <w:p w14:paraId="2F7509F6">
            <w:pPr>
              <w:adjustRightInd w:val="0"/>
              <w:snapToGrid w:val="0"/>
              <w:spacing w:after="0" w:line="240" w:lineRule="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环境风险防范措施</w:t>
            </w:r>
          </w:p>
        </w:tc>
        <w:tc>
          <w:tcPr>
            <w:tcW w:w="7652" w:type="dxa"/>
            <w:gridSpan w:val="4"/>
            <w:vAlign w:val="center"/>
          </w:tcPr>
          <w:p w14:paraId="458E918B">
            <w:pPr>
              <w:adjustRightInd w:val="0"/>
              <w:snapToGrid w:val="0"/>
              <w:spacing w:after="0"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①车间及设施安排专人负责看管并</w:t>
            </w:r>
            <w:r>
              <w:rPr>
                <w:rFonts w:hint="eastAsia" w:cs="Times New Roman"/>
                <w:color w:val="auto"/>
                <w:sz w:val="21"/>
                <w:szCs w:val="21"/>
                <w:lang w:val="en-US" w:eastAsia="zh-CN"/>
              </w:rPr>
              <w:t>日常</w:t>
            </w:r>
            <w:r>
              <w:rPr>
                <w:rFonts w:hint="default" w:ascii="Times New Roman" w:hAnsi="Times New Roman" w:eastAsia="宋体" w:cs="Times New Roman"/>
                <w:color w:val="auto"/>
                <w:sz w:val="21"/>
                <w:szCs w:val="21"/>
                <w:lang w:val="en-US" w:eastAsia="zh-CN"/>
              </w:rPr>
              <w:t>巡查，巡查主要包括管道、阀门等工况是否正常，是否出现漏、滴等现象。</w:t>
            </w:r>
          </w:p>
          <w:p w14:paraId="1A6FECA3">
            <w:pPr>
              <w:adjustRightInd w:val="0"/>
              <w:snapToGrid w:val="0"/>
              <w:spacing w:after="0"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②废机油储存间疏散泄漏污染区人员至安全区，禁止无关人员进入污染区。第一时间停止生产，准备好消防器材及应急装备</w:t>
            </w:r>
            <w:r>
              <w:rPr>
                <w:rFonts w:hint="eastAsia" w:cs="Times New Roman"/>
                <w:color w:val="auto"/>
                <w:sz w:val="21"/>
                <w:szCs w:val="21"/>
                <w:lang w:val="en-US" w:eastAsia="zh-CN"/>
              </w:rPr>
              <w:t>。</w:t>
            </w:r>
          </w:p>
          <w:p w14:paraId="29CB0D6E">
            <w:pPr>
              <w:adjustRightInd w:val="0"/>
              <w:snapToGrid w:val="0"/>
              <w:spacing w:after="0"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③应针对带式输送机设置速度信号、输送带跑偏信号或报警装置和紧急拉绳开关安全防护设施，带式输送机的皮带应采用难燃胶带；</w:t>
            </w:r>
          </w:p>
          <w:p w14:paraId="555F1B46">
            <w:pPr>
              <w:adjustRightInd w:val="0"/>
              <w:snapToGrid w:val="0"/>
              <w:spacing w:after="0"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④厂区内应处置消火栓系统和火灾报警系统，并配备相应的灭火装置。</w:t>
            </w:r>
          </w:p>
          <w:p w14:paraId="5BE5F9F9">
            <w:pPr>
              <w:adjustRightInd w:val="0"/>
              <w:snapToGrid w:val="0"/>
              <w:spacing w:after="0"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⑤输送皮带应定期进行轮换、试验，及时清除输送皮带、辅助设备、电缆排架等各处的积煤和积粉，保证输送系统无积煤和积粉。</w:t>
            </w:r>
          </w:p>
          <w:p w14:paraId="705AF3C3">
            <w:pPr>
              <w:adjustRightInd w:val="0"/>
              <w:snapToGrid w:val="0"/>
              <w:spacing w:after="0"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⑥运行人员要按规定对运行和停用输送皮带进行全面巡视检查，当发现输送皮带上有带火种的原料时，应立即停止上料，并查明原因，及时消除。输送皮带停用时，要将皮带上的原料走完以后再停，确保皮带不存料。</w:t>
            </w:r>
          </w:p>
          <w:p w14:paraId="4C1CF0D4">
            <w:pPr>
              <w:adjustRightInd w:val="0"/>
              <w:snapToGrid w:val="0"/>
              <w:spacing w:after="0" w:line="240" w:lineRule="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val="en-US" w:eastAsia="zh-CN"/>
              </w:rPr>
              <w:t>⑦建设事故水池，用于浓缩机故障时收集事故废水，浓缩机故障时应停止洗选设备运行。</w:t>
            </w:r>
          </w:p>
        </w:tc>
      </w:tr>
      <w:tr w14:paraId="01FE93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80" w:hRule="atLeast"/>
        </w:trPr>
        <w:tc>
          <w:tcPr>
            <w:tcW w:w="1532" w:type="dxa"/>
            <w:vAlign w:val="center"/>
          </w:tcPr>
          <w:p w14:paraId="56394D87">
            <w:pPr>
              <w:adjustRightInd w:val="0"/>
              <w:snapToGrid w:val="0"/>
              <w:spacing w:after="0"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其他环境管理要求</w:t>
            </w:r>
          </w:p>
        </w:tc>
        <w:tc>
          <w:tcPr>
            <w:tcW w:w="7652" w:type="dxa"/>
            <w:gridSpan w:val="4"/>
            <w:vAlign w:val="center"/>
          </w:tcPr>
          <w:p w14:paraId="108F02C1">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洗煤厂设置环境管理和环境监测机构，日常监测工作委托有资质的监测机构进行。在本厂设置环境管理人员，负责本厂环保设施运转。</w:t>
            </w:r>
          </w:p>
          <w:p w14:paraId="64950E87">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项目的污染物排放水平与厂区环境管理水平密切相关，因此在采取环境保护工程措施的同时，必须加强环境管理。</w:t>
            </w:r>
          </w:p>
          <w:p w14:paraId="00F475D7">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①贯彻执行国家和地方各项环保政策和法规，将环境指标纳入生产计划指标，建立企业内部的环境保护机构、制定与其相适应的管理规章制度；</w:t>
            </w:r>
          </w:p>
          <w:p w14:paraId="7E4CE37F">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②项目已建成，在项目运营期做好环境管理，各项污染物必须达标排放，对各部门的环保工作进行监督与考核；</w:t>
            </w:r>
          </w:p>
          <w:p w14:paraId="1C6B016C">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③建立设备维护、维修制度，定期检查各设备运行情况，杜绝环境污染事件发生。</w:t>
            </w:r>
          </w:p>
          <w:p w14:paraId="2146FD64">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④建立环保宣传栏，加强环保知识普及，</w:t>
            </w:r>
            <w:r>
              <w:rPr>
                <w:rFonts w:hint="eastAsia" w:cs="Times New Roman"/>
                <w:color w:val="auto"/>
                <w:sz w:val="21"/>
                <w:szCs w:val="21"/>
                <w:lang w:eastAsia="zh-CN"/>
              </w:rPr>
              <w:t>增强</w:t>
            </w:r>
            <w:r>
              <w:rPr>
                <w:rFonts w:hint="default" w:ascii="Times New Roman" w:hAnsi="Times New Roman" w:eastAsia="宋体" w:cs="Times New Roman"/>
                <w:color w:val="auto"/>
                <w:sz w:val="21"/>
                <w:szCs w:val="21"/>
              </w:rPr>
              <w:t>环保意识。</w:t>
            </w:r>
          </w:p>
          <w:p w14:paraId="7EC8FFC6">
            <w:pPr>
              <w:adjustRightInd w:val="0"/>
              <w:snapToGrid w:val="0"/>
              <w:spacing w:after="0" w:line="240" w:lineRule="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编制突发环境事件应急预案；在全国排污许可证管理信息平台填报排污登记表；开展本项目的自行监测工作；完成竣工环境保护验收。</w:t>
            </w:r>
          </w:p>
        </w:tc>
      </w:tr>
      <w:bookmarkEnd w:id="29"/>
    </w:tbl>
    <w:p w14:paraId="3BF3D8BC">
      <w:pPr>
        <w:pStyle w:val="48"/>
        <w:spacing w:before="120" w:beforeLines="50" w:beforeAutospacing="0" w:after="0" w:afterAutospacing="0" w:line="360" w:lineRule="auto"/>
        <w:jc w:val="center"/>
        <w:rPr>
          <w:rFonts w:ascii="Times New Roman" w:hAnsi="Times New Roman"/>
          <w:snapToGrid w:val="0"/>
          <w:color w:val="auto"/>
        </w:rPr>
        <w:sectPr>
          <w:headerReference r:id="rId17" w:type="default"/>
          <w:pgSz w:w="11906" w:h="16838"/>
          <w:pgMar w:top="1440" w:right="1418" w:bottom="1440" w:left="1418" w:header="851" w:footer="851" w:gutter="0"/>
          <w:pgNumType w:fmt="decimal"/>
          <w:cols w:space="720" w:num="1"/>
          <w:docGrid w:linePitch="312" w:charSpace="0"/>
        </w:sectPr>
      </w:pPr>
    </w:p>
    <w:p w14:paraId="77F7F0EC">
      <w:pPr>
        <w:pStyle w:val="3"/>
        <w:bidi w:val="0"/>
        <w:spacing w:after="0" w:line="240" w:lineRule="auto"/>
        <w:rPr>
          <w:rFonts w:ascii="Times New Roman" w:hAnsi="Times New Roman"/>
          <w:snapToGrid w:val="0"/>
          <w:color w:val="auto"/>
          <w:szCs w:val="30"/>
        </w:rPr>
      </w:pPr>
      <w:bookmarkStart w:id="31" w:name="_Toc69030998"/>
      <w:r>
        <w:rPr>
          <w:color w:val="auto"/>
        </w:rPr>
        <w:t>六、结论</w:t>
      </w:r>
      <w:bookmarkEnd w:id="31"/>
    </w:p>
    <w:tbl>
      <w:tblPr>
        <w:tblStyle w:val="5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121E4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91" w:hRule="atLeast"/>
          <w:jc w:val="center"/>
        </w:trPr>
        <w:tc>
          <w:tcPr>
            <w:tcW w:w="8336" w:type="dxa"/>
          </w:tcPr>
          <w:p w14:paraId="1B093DC1">
            <w:pPr>
              <w:pStyle w:val="771"/>
              <w:bidi w:val="0"/>
              <w:rPr>
                <w:color w:val="auto"/>
              </w:rPr>
            </w:pPr>
          </w:p>
          <w:p w14:paraId="3C9D2E0A">
            <w:pPr>
              <w:pStyle w:val="771"/>
              <w:bidi w:val="0"/>
              <w:rPr>
                <w:color w:val="auto"/>
              </w:rPr>
            </w:pPr>
            <w:r>
              <w:rPr>
                <w:color w:val="auto"/>
              </w:rPr>
              <w:t>本项目为</w:t>
            </w:r>
            <w:r>
              <w:rPr>
                <w:rFonts w:hint="eastAsia"/>
                <w:color w:val="auto"/>
                <w:lang w:eastAsia="zh-CN"/>
              </w:rPr>
              <w:t>淮南市鹏骏新材料科技发展有限公司胶凝材料原料洗选及综合深加工开发利用项目</w:t>
            </w:r>
            <w:r>
              <w:rPr>
                <w:color w:val="auto"/>
              </w:rPr>
              <w:t>，选址于</w:t>
            </w:r>
            <w:r>
              <w:rPr>
                <w:rFonts w:hint="eastAsia"/>
                <w:color w:val="auto"/>
                <w:lang w:eastAsia="zh-CN"/>
              </w:rPr>
              <w:t>淮南市八公山区淮南舜岳水泥有限责任公司现有厂区内</w:t>
            </w:r>
            <w:r>
              <w:rPr>
                <w:color w:val="auto"/>
              </w:rPr>
              <w:t>，符合国家及地方产业政策，选址符合用地规划要求；项目生产过程中产生的污染在采取有效的治理措施之后，对周围环境影响较小，不会改变当地环境质量现状；同时本项目对周边环境产生的影响较小，事故风险水平可被接受。</w:t>
            </w:r>
          </w:p>
          <w:p w14:paraId="7037C8CA">
            <w:pPr>
              <w:pStyle w:val="771"/>
              <w:bidi w:val="0"/>
              <w:rPr>
                <w:color w:val="auto"/>
              </w:rPr>
            </w:pPr>
            <w:r>
              <w:rPr>
                <w:color w:val="auto"/>
              </w:rPr>
              <w:t>因此，</w:t>
            </w:r>
            <w:r>
              <w:rPr>
                <w:rFonts w:hint="eastAsia"/>
                <w:color w:val="auto"/>
              </w:rPr>
              <w:t>在认真执行三同时、设计方案及环评中提出的污染防治措施后，在方案不变的情况下，产生的污染物对环境的影响可接受，不会降低项目区域环境功能，从环境保护的角度分析，该项目的建设是可行的。</w:t>
            </w:r>
          </w:p>
        </w:tc>
      </w:tr>
    </w:tbl>
    <w:p w14:paraId="0B0E3AE6">
      <w:pPr>
        <w:spacing w:after="0"/>
        <w:rPr>
          <w:color w:val="auto"/>
        </w:rPr>
        <w:sectPr>
          <w:headerReference r:id="rId18" w:type="default"/>
          <w:pgSz w:w="11906" w:h="16838"/>
          <w:pgMar w:top="1440" w:right="1418" w:bottom="1440" w:left="1418" w:header="851" w:footer="851" w:gutter="0"/>
          <w:pgNumType w:fmt="decimal"/>
          <w:cols w:space="720" w:num="1"/>
          <w:docGrid w:linePitch="312" w:charSpace="0"/>
        </w:sectPr>
      </w:pPr>
    </w:p>
    <w:p w14:paraId="253C5111">
      <w:pPr>
        <w:pStyle w:val="48"/>
        <w:adjustRightInd w:val="0"/>
        <w:snapToGrid w:val="0"/>
        <w:spacing w:before="0" w:beforeAutospacing="0" w:after="0" w:afterAutospacing="0" w:line="460" w:lineRule="exact"/>
        <w:jc w:val="both"/>
        <w:outlineLvl w:val="0"/>
        <w:rPr>
          <w:rFonts w:ascii="Times New Roman" w:hAnsi="Times New Roman"/>
          <w:b/>
          <w:snapToGrid w:val="0"/>
          <w:color w:val="auto"/>
          <w:sz w:val="28"/>
          <w:szCs w:val="28"/>
        </w:rPr>
      </w:pPr>
      <w:bookmarkStart w:id="32" w:name="_Toc69030999"/>
      <w:bookmarkStart w:id="33" w:name="_Hlk174093839"/>
      <w:r>
        <w:rPr>
          <w:rFonts w:ascii="Times New Roman" w:hAnsi="Times New Roman"/>
          <w:b/>
          <w:snapToGrid w:val="0"/>
          <w:color w:val="auto"/>
          <w:sz w:val="28"/>
          <w:szCs w:val="28"/>
        </w:rPr>
        <w:t>附表</w:t>
      </w:r>
      <w:bookmarkEnd w:id="32"/>
      <w:bookmarkStart w:id="34" w:name="_Toc67775558"/>
      <w:bookmarkStart w:id="35" w:name="_Toc69031000"/>
    </w:p>
    <w:p w14:paraId="674CC3CC">
      <w:pPr>
        <w:pStyle w:val="48"/>
        <w:adjustRightInd w:val="0"/>
        <w:snapToGrid w:val="0"/>
        <w:spacing w:before="0" w:beforeAutospacing="0" w:after="0" w:afterAutospacing="0" w:line="360" w:lineRule="auto"/>
        <w:ind w:left="5280" w:leftChars="2200"/>
        <w:jc w:val="both"/>
        <w:outlineLvl w:val="0"/>
        <w:rPr>
          <w:rFonts w:ascii="Times New Roman" w:hAnsi="Times New Roman"/>
          <w:b/>
          <w:snapToGrid w:val="0"/>
          <w:color w:val="auto"/>
          <w:sz w:val="28"/>
          <w:szCs w:val="28"/>
        </w:rPr>
      </w:pPr>
      <w:bookmarkStart w:id="36" w:name="OLE_LINK2"/>
      <w:r>
        <w:rPr>
          <w:rFonts w:ascii="Times New Roman" w:hAnsi="Times New Roman"/>
          <w:b/>
          <w:snapToGrid w:val="0"/>
          <w:color w:val="auto"/>
          <w:sz w:val="32"/>
          <w:szCs w:val="32"/>
        </w:rPr>
        <w:t>建设项目污染物排放量汇总表</w:t>
      </w:r>
      <w:bookmarkEnd w:id="34"/>
      <w:bookmarkEnd w:id="35"/>
      <w:bookmarkEnd w:id="36"/>
    </w:p>
    <w:tbl>
      <w:tblPr>
        <w:tblStyle w:val="53"/>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301"/>
        <w:gridCol w:w="1690"/>
        <w:gridCol w:w="1442"/>
        <w:gridCol w:w="1202"/>
        <w:gridCol w:w="1601"/>
        <w:gridCol w:w="1469"/>
        <w:gridCol w:w="1539"/>
        <w:gridCol w:w="1817"/>
        <w:gridCol w:w="1426"/>
      </w:tblGrid>
      <w:tr w14:paraId="581790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2" w:type="pct"/>
            <w:tcBorders>
              <w:tl2br w:val="single" w:color="auto" w:sz="4" w:space="0"/>
            </w:tcBorders>
            <w:tcMar>
              <w:left w:w="28" w:type="dxa"/>
              <w:right w:w="28" w:type="dxa"/>
            </w:tcMar>
            <w:vAlign w:val="center"/>
          </w:tcPr>
          <w:p w14:paraId="68FDA663">
            <w:pPr>
              <w:adjustRightInd w:val="0"/>
              <w:snapToGrid w:val="0"/>
              <w:spacing w:after="0" w:line="240" w:lineRule="auto"/>
              <w:jc w:val="right"/>
              <w:rPr>
                <w:bCs/>
                <w:color w:val="auto"/>
                <w:kern w:val="2"/>
                <w:sz w:val="21"/>
                <w:szCs w:val="21"/>
              </w:rPr>
            </w:pPr>
            <w:r>
              <w:rPr>
                <w:bCs/>
                <w:color w:val="auto"/>
                <w:kern w:val="2"/>
                <w:sz w:val="21"/>
                <w:szCs w:val="21"/>
              </w:rPr>
              <w:t>项目</w:t>
            </w:r>
          </w:p>
          <w:p w14:paraId="6851650A">
            <w:pPr>
              <w:adjustRightInd w:val="0"/>
              <w:snapToGrid w:val="0"/>
              <w:spacing w:after="0" w:line="240" w:lineRule="auto"/>
              <w:jc w:val="left"/>
              <w:rPr>
                <w:bCs/>
                <w:color w:val="auto"/>
                <w:kern w:val="2"/>
                <w:sz w:val="21"/>
                <w:szCs w:val="21"/>
              </w:rPr>
            </w:pPr>
            <w:r>
              <w:rPr>
                <w:bCs/>
                <w:color w:val="auto"/>
                <w:kern w:val="2"/>
                <w:sz w:val="21"/>
                <w:szCs w:val="21"/>
              </w:rPr>
              <w:t>分类</w:t>
            </w:r>
          </w:p>
        </w:tc>
        <w:tc>
          <w:tcPr>
            <w:tcW w:w="626" w:type="pct"/>
            <w:tcMar>
              <w:left w:w="28" w:type="dxa"/>
              <w:right w:w="28" w:type="dxa"/>
            </w:tcMar>
            <w:vAlign w:val="center"/>
          </w:tcPr>
          <w:p w14:paraId="70FFACC8">
            <w:pPr>
              <w:adjustRightInd w:val="0"/>
              <w:snapToGrid w:val="0"/>
              <w:spacing w:after="0" w:line="240" w:lineRule="auto"/>
              <w:jc w:val="center"/>
              <w:rPr>
                <w:bCs/>
                <w:color w:val="auto"/>
                <w:kern w:val="2"/>
                <w:sz w:val="21"/>
                <w:szCs w:val="21"/>
              </w:rPr>
            </w:pPr>
            <w:r>
              <w:rPr>
                <w:bCs/>
                <w:color w:val="auto"/>
                <w:kern w:val="2"/>
                <w:sz w:val="21"/>
                <w:szCs w:val="21"/>
              </w:rPr>
              <w:t>污染物名称</w:t>
            </w:r>
          </w:p>
        </w:tc>
        <w:tc>
          <w:tcPr>
            <w:tcW w:w="534" w:type="pct"/>
            <w:tcMar>
              <w:left w:w="28" w:type="dxa"/>
              <w:right w:w="28" w:type="dxa"/>
            </w:tcMar>
            <w:vAlign w:val="center"/>
          </w:tcPr>
          <w:p w14:paraId="2A832815">
            <w:pPr>
              <w:adjustRightInd w:val="0"/>
              <w:snapToGrid w:val="0"/>
              <w:spacing w:after="0" w:line="240" w:lineRule="auto"/>
              <w:jc w:val="center"/>
              <w:rPr>
                <w:bCs/>
                <w:color w:val="auto"/>
                <w:kern w:val="2"/>
                <w:sz w:val="21"/>
                <w:szCs w:val="21"/>
              </w:rPr>
            </w:pPr>
            <w:r>
              <w:rPr>
                <w:bCs/>
                <w:color w:val="auto"/>
                <w:kern w:val="2"/>
                <w:sz w:val="21"/>
                <w:szCs w:val="21"/>
              </w:rPr>
              <w:t>现有工程排放量（固体废物产生量）</w:t>
            </w:r>
            <w:r>
              <w:rPr>
                <w:bCs/>
                <w:color w:val="auto"/>
                <w:kern w:val="2"/>
                <w:sz w:val="21"/>
                <w:szCs w:val="21"/>
              </w:rPr>
              <w:fldChar w:fldCharType="begin"/>
            </w:r>
            <w:r>
              <w:rPr>
                <w:bCs/>
                <w:color w:val="auto"/>
                <w:kern w:val="2"/>
                <w:sz w:val="21"/>
                <w:szCs w:val="21"/>
              </w:rPr>
              <w:instrText xml:space="preserve"> = 1 \* GB3 \* MERGEFORMAT </w:instrText>
            </w:r>
            <w:r>
              <w:rPr>
                <w:bCs/>
                <w:color w:val="auto"/>
                <w:kern w:val="2"/>
                <w:sz w:val="21"/>
                <w:szCs w:val="21"/>
              </w:rPr>
              <w:fldChar w:fldCharType="separate"/>
            </w:r>
            <w:r>
              <w:rPr>
                <w:rFonts w:hint="eastAsia" w:ascii="宋体" w:hAnsi="宋体" w:cs="宋体"/>
                <w:bCs/>
                <w:color w:val="auto"/>
                <w:kern w:val="2"/>
                <w:sz w:val="21"/>
                <w:szCs w:val="21"/>
              </w:rPr>
              <w:t>①</w:t>
            </w:r>
            <w:r>
              <w:rPr>
                <w:bCs/>
                <w:color w:val="auto"/>
                <w:kern w:val="2"/>
                <w:sz w:val="21"/>
                <w:szCs w:val="21"/>
              </w:rPr>
              <w:fldChar w:fldCharType="end"/>
            </w:r>
          </w:p>
        </w:tc>
        <w:tc>
          <w:tcPr>
            <w:tcW w:w="445" w:type="pct"/>
            <w:tcMar>
              <w:left w:w="28" w:type="dxa"/>
              <w:right w:w="28" w:type="dxa"/>
            </w:tcMar>
            <w:vAlign w:val="center"/>
          </w:tcPr>
          <w:p w14:paraId="4BCC5799">
            <w:pPr>
              <w:adjustRightInd w:val="0"/>
              <w:snapToGrid w:val="0"/>
              <w:spacing w:after="0" w:line="240" w:lineRule="auto"/>
              <w:jc w:val="center"/>
              <w:rPr>
                <w:bCs/>
                <w:color w:val="auto"/>
                <w:kern w:val="2"/>
                <w:sz w:val="21"/>
                <w:szCs w:val="21"/>
              </w:rPr>
            </w:pPr>
            <w:r>
              <w:rPr>
                <w:bCs/>
                <w:color w:val="auto"/>
                <w:kern w:val="2"/>
                <w:sz w:val="21"/>
                <w:szCs w:val="21"/>
              </w:rPr>
              <w:t>现有工程许可排放量</w:t>
            </w:r>
          </w:p>
          <w:p w14:paraId="0A232752">
            <w:pPr>
              <w:adjustRightInd w:val="0"/>
              <w:snapToGrid w:val="0"/>
              <w:spacing w:after="0" w:line="240" w:lineRule="auto"/>
              <w:jc w:val="center"/>
              <w:rPr>
                <w:bCs/>
                <w:color w:val="auto"/>
                <w:kern w:val="2"/>
                <w:sz w:val="21"/>
                <w:szCs w:val="21"/>
              </w:rPr>
            </w:pPr>
            <w:r>
              <w:rPr>
                <w:bCs/>
                <w:color w:val="auto"/>
                <w:kern w:val="2"/>
                <w:sz w:val="21"/>
                <w:szCs w:val="21"/>
              </w:rPr>
              <w:fldChar w:fldCharType="begin"/>
            </w:r>
            <w:r>
              <w:rPr>
                <w:bCs/>
                <w:color w:val="auto"/>
                <w:kern w:val="2"/>
                <w:sz w:val="21"/>
                <w:szCs w:val="21"/>
              </w:rPr>
              <w:instrText xml:space="preserve"> = 2 \* GB3 \* MERGEFORMAT </w:instrText>
            </w:r>
            <w:r>
              <w:rPr>
                <w:bCs/>
                <w:color w:val="auto"/>
                <w:kern w:val="2"/>
                <w:sz w:val="21"/>
                <w:szCs w:val="21"/>
              </w:rPr>
              <w:fldChar w:fldCharType="separate"/>
            </w:r>
            <w:r>
              <w:rPr>
                <w:rFonts w:hint="eastAsia" w:ascii="宋体" w:hAnsi="宋体" w:cs="宋体"/>
                <w:bCs/>
                <w:color w:val="auto"/>
                <w:kern w:val="2"/>
                <w:sz w:val="21"/>
                <w:szCs w:val="21"/>
              </w:rPr>
              <w:t>②</w:t>
            </w:r>
            <w:r>
              <w:rPr>
                <w:bCs/>
                <w:color w:val="auto"/>
                <w:kern w:val="2"/>
                <w:sz w:val="21"/>
                <w:szCs w:val="21"/>
              </w:rPr>
              <w:fldChar w:fldCharType="end"/>
            </w:r>
          </w:p>
        </w:tc>
        <w:tc>
          <w:tcPr>
            <w:tcW w:w="593" w:type="pct"/>
            <w:tcMar>
              <w:left w:w="28" w:type="dxa"/>
              <w:right w:w="28" w:type="dxa"/>
            </w:tcMar>
            <w:vAlign w:val="center"/>
          </w:tcPr>
          <w:p w14:paraId="47DD75EF">
            <w:pPr>
              <w:adjustRightInd w:val="0"/>
              <w:snapToGrid w:val="0"/>
              <w:spacing w:after="0" w:line="240" w:lineRule="auto"/>
              <w:jc w:val="center"/>
              <w:rPr>
                <w:bCs/>
                <w:color w:val="auto"/>
                <w:kern w:val="2"/>
                <w:sz w:val="21"/>
                <w:szCs w:val="21"/>
              </w:rPr>
            </w:pPr>
            <w:r>
              <w:rPr>
                <w:bCs/>
                <w:color w:val="auto"/>
                <w:kern w:val="2"/>
                <w:sz w:val="21"/>
                <w:szCs w:val="21"/>
              </w:rPr>
              <w:t>在建工程排放量（固体废物产生量）</w:t>
            </w:r>
            <w:r>
              <w:rPr>
                <w:bCs/>
                <w:color w:val="auto"/>
                <w:kern w:val="2"/>
                <w:sz w:val="21"/>
                <w:szCs w:val="21"/>
              </w:rPr>
              <w:fldChar w:fldCharType="begin"/>
            </w:r>
            <w:r>
              <w:rPr>
                <w:bCs/>
                <w:color w:val="auto"/>
                <w:kern w:val="2"/>
                <w:sz w:val="21"/>
                <w:szCs w:val="21"/>
              </w:rPr>
              <w:instrText xml:space="preserve"> = 3 \* GB3 \* MERGEFORMAT </w:instrText>
            </w:r>
            <w:r>
              <w:rPr>
                <w:bCs/>
                <w:color w:val="auto"/>
                <w:kern w:val="2"/>
                <w:sz w:val="21"/>
                <w:szCs w:val="21"/>
              </w:rPr>
              <w:fldChar w:fldCharType="separate"/>
            </w:r>
            <w:r>
              <w:rPr>
                <w:rFonts w:hint="eastAsia" w:ascii="宋体" w:hAnsi="宋体" w:cs="宋体"/>
                <w:bCs/>
                <w:color w:val="auto"/>
                <w:kern w:val="2"/>
                <w:sz w:val="21"/>
                <w:szCs w:val="21"/>
              </w:rPr>
              <w:t>③</w:t>
            </w:r>
            <w:r>
              <w:rPr>
                <w:bCs/>
                <w:color w:val="auto"/>
                <w:kern w:val="2"/>
                <w:sz w:val="21"/>
                <w:szCs w:val="21"/>
              </w:rPr>
              <w:fldChar w:fldCharType="end"/>
            </w:r>
          </w:p>
        </w:tc>
        <w:tc>
          <w:tcPr>
            <w:tcW w:w="544" w:type="pct"/>
            <w:tcMar>
              <w:left w:w="28" w:type="dxa"/>
              <w:right w:w="28" w:type="dxa"/>
            </w:tcMar>
            <w:vAlign w:val="center"/>
          </w:tcPr>
          <w:p w14:paraId="1C566E1C">
            <w:pPr>
              <w:adjustRightInd w:val="0"/>
              <w:snapToGrid w:val="0"/>
              <w:spacing w:after="0" w:line="240" w:lineRule="auto"/>
              <w:jc w:val="center"/>
              <w:rPr>
                <w:bCs/>
                <w:color w:val="auto"/>
                <w:kern w:val="2"/>
                <w:sz w:val="21"/>
                <w:szCs w:val="21"/>
              </w:rPr>
            </w:pPr>
            <w:r>
              <w:rPr>
                <w:bCs/>
                <w:color w:val="auto"/>
                <w:kern w:val="2"/>
                <w:sz w:val="21"/>
                <w:szCs w:val="21"/>
              </w:rPr>
              <w:t>本项目排放量（固体废物产生量）</w:t>
            </w:r>
            <w:r>
              <w:rPr>
                <w:bCs/>
                <w:color w:val="auto"/>
                <w:kern w:val="2"/>
                <w:sz w:val="21"/>
                <w:szCs w:val="21"/>
              </w:rPr>
              <w:fldChar w:fldCharType="begin"/>
            </w:r>
            <w:r>
              <w:rPr>
                <w:bCs/>
                <w:color w:val="auto"/>
                <w:kern w:val="2"/>
                <w:sz w:val="21"/>
                <w:szCs w:val="21"/>
              </w:rPr>
              <w:instrText xml:space="preserve"> = 4 \* GB3 \* MERGEFORMAT </w:instrText>
            </w:r>
            <w:r>
              <w:rPr>
                <w:bCs/>
                <w:color w:val="auto"/>
                <w:kern w:val="2"/>
                <w:sz w:val="21"/>
                <w:szCs w:val="21"/>
              </w:rPr>
              <w:fldChar w:fldCharType="separate"/>
            </w:r>
            <w:r>
              <w:rPr>
                <w:rFonts w:hint="eastAsia" w:ascii="宋体" w:hAnsi="宋体" w:cs="宋体"/>
                <w:bCs/>
                <w:color w:val="auto"/>
                <w:kern w:val="2"/>
                <w:sz w:val="21"/>
                <w:szCs w:val="21"/>
              </w:rPr>
              <w:t>④</w:t>
            </w:r>
            <w:r>
              <w:rPr>
                <w:bCs/>
                <w:color w:val="auto"/>
                <w:kern w:val="2"/>
                <w:sz w:val="21"/>
                <w:szCs w:val="21"/>
              </w:rPr>
              <w:fldChar w:fldCharType="end"/>
            </w:r>
          </w:p>
        </w:tc>
        <w:tc>
          <w:tcPr>
            <w:tcW w:w="570" w:type="pct"/>
            <w:tcMar>
              <w:left w:w="28" w:type="dxa"/>
              <w:right w:w="28" w:type="dxa"/>
            </w:tcMar>
            <w:vAlign w:val="center"/>
          </w:tcPr>
          <w:p w14:paraId="256ACAA8">
            <w:pPr>
              <w:adjustRightInd w:val="0"/>
              <w:snapToGrid w:val="0"/>
              <w:spacing w:after="0" w:line="240" w:lineRule="auto"/>
              <w:jc w:val="center"/>
              <w:rPr>
                <w:bCs/>
                <w:color w:val="auto"/>
                <w:kern w:val="2"/>
                <w:sz w:val="21"/>
                <w:szCs w:val="21"/>
              </w:rPr>
            </w:pPr>
            <w:r>
              <w:rPr>
                <w:bCs/>
                <w:color w:val="auto"/>
                <w:kern w:val="2"/>
                <w:sz w:val="21"/>
                <w:szCs w:val="21"/>
              </w:rPr>
              <w:t>以新带老削减量（新建项目不填）</w:t>
            </w:r>
            <w:r>
              <w:rPr>
                <w:bCs/>
                <w:color w:val="auto"/>
                <w:kern w:val="2"/>
                <w:sz w:val="21"/>
                <w:szCs w:val="21"/>
              </w:rPr>
              <w:fldChar w:fldCharType="begin"/>
            </w:r>
            <w:r>
              <w:rPr>
                <w:bCs/>
                <w:color w:val="auto"/>
                <w:kern w:val="2"/>
                <w:sz w:val="21"/>
                <w:szCs w:val="21"/>
              </w:rPr>
              <w:instrText xml:space="preserve"> = 5 \* GB3 \* MERGEFORMAT </w:instrText>
            </w:r>
            <w:r>
              <w:rPr>
                <w:bCs/>
                <w:color w:val="auto"/>
                <w:kern w:val="2"/>
                <w:sz w:val="21"/>
                <w:szCs w:val="21"/>
              </w:rPr>
              <w:fldChar w:fldCharType="separate"/>
            </w:r>
            <w:r>
              <w:rPr>
                <w:rFonts w:hint="eastAsia" w:ascii="宋体" w:hAnsi="宋体" w:cs="宋体"/>
                <w:bCs/>
                <w:color w:val="auto"/>
                <w:kern w:val="2"/>
                <w:sz w:val="21"/>
                <w:szCs w:val="21"/>
              </w:rPr>
              <w:t>⑤</w:t>
            </w:r>
            <w:r>
              <w:rPr>
                <w:bCs/>
                <w:color w:val="auto"/>
                <w:kern w:val="2"/>
                <w:sz w:val="21"/>
                <w:szCs w:val="21"/>
              </w:rPr>
              <w:fldChar w:fldCharType="end"/>
            </w:r>
          </w:p>
        </w:tc>
        <w:tc>
          <w:tcPr>
            <w:tcW w:w="673" w:type="pct"/>
            <w:tcMar>
              <w:left w:w="28" w:type="dxa"/>
              <w:right w:w="28" w:type="dxa"/>
            </w:tcMar>
            <w:vAlign w:val="center"/>
          </w:tcPr>
          <w:p w14:paraId="71DF481F">
            <w:pPr>
              <w:adjustRightInd w:val="0"/>
              <w:snapToGrid w:val="0"/>
              <w:spacing w:after="0" w:line="240" w:lineRule="auto"/>
              <w:jc w:val="center"/>
              <w:rPr>
                <w:bCs/>
                <w:color w:val="auto"/>
                <w:kern w:val="2"/>
                <w:sz w:val="21"/>
                <w:szCs w:val="21"/>
              </w:rPr>
            </w:pPr>
            <w:r>
              <w:rPr>
                <w:bCs/>
                <w:color w:val="auto"/>
                <w:kern w:val="2"/>
                <w:sz w:val="21"/>
                <w:szCs w:val="21"/>
              </w:rPr>
              <w:t>本项目建成后全厂排放量（固体废物产生量）</w:t>
            </w:r>
            <w:r>
              <w:rPr>
                <w:bCs/>
                <w:color w:val="auto"/>
                <w:kern w:val="2"/>
                <w:sz w:val="21"/>
                <w:szCs w:val="21"/>
              </w:rPr>
              <w:fldChar w:fldCharType="begin"/>
            </w:r>
            <w:r>
              <w:rPr>
                <w:bCs/>
                <w:color w:val="auto"/>
                <w:kern w:val="2"/>
                <w:sz w:val="21"/>
                <w:szCs w:val="21"/>
              </w:rPr>
              <w:instrText xml:space="preserve"> = 6 \* GB3 \* MERGEFORMAT </w:instrText>
            </w:r>
            <w:r>
              <w:rPr>
                <w:bCs/>
                <w:color w:val="auto"/>
                <w:kern w:val="2"/>
                <w:sz w:val="21"/>
                <w:szCs w:val="21"/>
              </w:rPr>
              <w:fldChar w:fldCharType="separate"/>
            </w:r>
            <w:r>
              <w:rPr>
                <w:rFonts w:hint="eastAsia" w:ascii="宋体" w:hAnsi="宋体" w:cs="宋体"/>
                <w:bCs/>
                <w:color w:val="auto"/>
                <w:kern w:val="2"/>
                <w:sz w:val="21"/>
                <w:szCs w:val="21"/>
              </w:rPr>
              <w:t>⑥</w:t>
            </w:r>
            <w:r>
              <w:rPr>
                <w:bCs/>
                <w:color w:val="auto"/>
                <w:kern w:val="2"/>
                <w:sz w:val="21"/>
                <w:szCs w:val="21"/>
              </w:rPr>
              <w:fldChar w:fldCharType="end"/>
            </w:r>
          </w:p>
        </w:tc>
        <w:tc>
          <w:tcPr>
            <w:tcW w:w="528" w:type="pct"/>
            <w:tcMar>
              <w:left w:w="28" w:type="dxa"/>
              <w:right w:w="28" w:type="dxa"/>
            </w:tcMar>
            <w:vAlign w:val="center"/>
          </w:tcPr>
          <w:p w14:paraId="66A6A077">
            <w:pPr>
              <w:adjustRightInd w:val="0"/>
              <w:snapToGrid w:val="0"/>
              <w:spacing w:after="0" w:line="240" w:lineRule="auto"/>
              <w:jc w:val="center"/>
              <w:rPr>
                <w:bCs/>
                <w:color w:val="auto"/>
                <w:kern w:val="2"/>
                <w:sz w:val="21"/>
                <w:szCs w:val="21"/>
              </w:rPr>
            </w:pPr>
            <w:r>
              <w:rPr>
                <w:bCs/>
                <w:color w:val="auto"/>
                <w:kern w:val="2"/>
                <w:sz w:val="21"/>
                <w:szCs w:val="21"/>
              </w:rPr>
              <w:t>变化量</w:t>
            </w:r>
            <w:r>
              <w:rPr>
                <w:bCs/>
                <w:color w:val="auto"/>
                <w:kern w:val="2"/>
                <w:sz w:val="21"/>
                <w:szCs w:val="21"/>
              </w:rPr>
              <w:fldChar w:fldCharType="begin"/>
            </w:r>
            <w:r>
              <w:rPr>
                <w:bCs/>
                <w:color w:val="auto"/>
                <w:kern w:val="2"/>
                <w:sz w:val="21"/>
                <w:szCs w:val="21"/>
              </w:rPr>
              <w:instrText xml:space="preserve"> = 7 \* GB3 \* MERGEFORMAT </w:instrText>
            </w:r>
            <w:r>
              <w:rPr>
                <w:bCs/>
                <w:color w:val="auto"/>
                <w:kern w:val="2"/>
                <w:sz w:val="21"/>
                <w:szCs w:val="21"/>
              </w:rPr>
              <w:fldChar w:fldCharType="separate"/>
            </w:r>
            <w:r>
              <w:rPr>
                <w:rFonts w:hint="eastAsia" w:ascii="宋体" w:hAnsi="宋体" w:cs="宋体"/>
                <w:bCs/>
                <w:color w:val="auto"/>
                <w:kern w:val="2"/>
                <w:sz w:val="21"/>
                <w:szCs w:val="21"/>
              </w:rPr>
              <w:t>⑦</w:t>
            </w:r>
            <w:r>
              <w:rPr>
                <w:bCs/>
                <w:color w:val="auto"/>
                <w:kern w:val="2"/>
                <w:sz w:val="21"/>
                <w:szCs w:val="21"/>
              </w:rPr>
              <w:fldChar w:fldCharType="end"/>
            </w:r>
          </w:p>
        </w:tc>
      </w:tr>
      <w:tr w14:paraId="30176E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2" w:type="pct"/>
            <w:vAlign w:val="center"/>
          </w:tcPr>
          <w:p w14:paraId="45BBD153">
            <w:pPr>
              <w:adjustRightInd w:val="0"/>
              <w:snapToGrid w:val="0"/>
              <w:spacing w:after="0" w:line="240" w:lineRule="auto"/>
              <w:jc w:val="center"/>
              <w:rPr>
                <w:color w:val="auto"/>
                <w:kern w:val="2"/>
                <w:sz w:val="21"/>
                <w:szCs w:val="21"/>
              </w:rPr>
            </w:pPr>
            <w:r>
              <w:rPr>
                <w:color w:val="auto"/>
                <w:kern w:val="2"/>
                <w:sz w:val="21"/>
                <w:szCs w:val="21"/>
              </w:rPr>
              <w:t>废气</w:t>
            </w:r>
          </w:p>
        </w:tc>
        <w:tc>
          <w:tcPr>
            <w:tcW w:w="626" w:type="pct"/>
            <w:vAlign w:val="center"/>
          </w:tcPr>
          <w:p w14:paraId="32556D42">
            <w:pPr>
              <w:adjustRightInd w:val="0"/>
              <w:snapToGrid w:val="0"/>
              <w:spacing w:after="0" w:line="240" w:lineRule="auto"/>
              <w:jc w:val="center"/>
              <w:rPr>
                <w:color w:val="auto"/>
                <w:kern w:val="2"/>
                <w:sz w:val="21"/>
                <w:szCs w:val="21"/>
              </w:rPr>
            </w:pPr>
            <w:r>
              <w:rPr>
                <w:color w:val="auto"/>
                <w:kern w:val="2"/>
                <w:sz w:val="21"/>
                <w:szCs w:val="21"/>
              </w:rPr>
              <w:t>颗粒物</w:t>
            </w:r>
          </w:p>
        </w:tc>
        <w:tc>
          <w:tcPr>
            <w:tcW w:w="534" w:type="pct"/>
            <w:vAlign w:val="center"/>
          </w:tcPr>
          <w:p w14:paraId="2A1DB1C2">
            <w:pPr>
              <w:adjustRightInd w:val="0"/>
              <w:snapToGrid w:val="0"/>
              <w:spacing w:after="0" w:line="240" w:lineRule="auto"/>
              <w:jc w:val="center"/>
              <w:rPr>
                <w:color w:val="auto"/>
                <w:kern w:val="2"/>
                <w:sz w:val="21"/>
                <w:szCs w:val="21"/>
              </w:rPr>
            </w:pPr>
          </w:p>
        </w:tc>
        <w:tc>
          <w:tcPr>
            <w:tcW w:w="445" w:type="pct"/>
            <w:vAlign w:val="center"/>
          </w:tcPr>
          <w:p w14:paraId="3990823E">
            <w:pPr>
              <w:adjustRightInd w:val="0"/>
              <w:snapToGrid w:val="0"/>
              <w:spacing w:after="0" w:line="240" w:lineRule="auto"/>
              <w:jc w:val="center"/>
              <w:rPr>
                <w:color w:val="auto"/>
                <w:kern w:val="2"/>
                <w:sz w:val="21"/>
                <w:szCs w:val="21"/>
              </w:rPr>
            </w:pPr>
          </w:p>
        </w:tc>
        <w:tc>
          <w:tcPr>
            <w:tcW w:w="593" w:type="pct"/>
            <w:vAlign w:val="center"/>
          </w:tcPr>
          <w:p w14:paraId="59ACB841">
            <w:pPr>
              <w:adjustRightInd w:val="0"/>
              <w:snapToGrid w:val="0"/>
              <w:spacing w:after="0" w:line="240" w:lineRule="auto"/>
              <w:jc w:val="center"/>
              <w:rPr>
                <w:color w:val="auto"/>
                <w:kern w:val="2"/>
                <w:sz w:val="21"/>
                <w:szCs w:val="21"/>
              </w:rPr>
            </w:pPr>
          </w:p>
        </w:tc>
        <w:tc>
          <w:tcPr>
            <w:tcW w:w="544" w:type="pct"/>
            <w:vAlign w:val="center"/>
          </w:tcPr>
          <w:p w14:paraId="24178730">
            <w:pPr>
              <w:pStyle w:val="287"/>
              <w:framePr w:hSpace="0" w:wrap="auto" w:vAnchor="margin" w:hAnchor="text" w:xAlign="left" w:yAlign="inline"/>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0.93</w:t>
            </w:r>
          </w:p>
        </w:tc>
        <w:tc>
          <w:tcPr>
            <w:tcW w:w="570" w:type="pct"/>
            <w:vAlign w:val="center"/>
          </w:tcPr>
          <w:p w14:paraId="330C9A90">
            <w:pPr>
              <w:pStyle w:val="287"/>
              <w:framePr w:hSpace="0" w:wrap="auto" w:vAnchor="margin" w:hAnchor="text" w:xAlign="left" w:yAlign="inline"/>
              <w:rPr>
                <w:rFonts w:hint="default" w:ascii="Times New Roman" w:hAnsi="Times New Roman" w:cs="Times New Roman"/>
                <w:color w:val="auto"/>
                <w:sz w:val="21"/>
                <w:szCs w:val="21"/>
                <w:lang w:val="en-US" w:eastAsia="zh-CN"/>
              </w:rPr>
            </w:pPr>
          </w:p>
        </w:tc>
        <w:tc>
          <w:tcPr>
            <w:tcW w:w="673" w:type="pct"/>
            <w:shd w:val="clear" w:color="auto" w:fill="auto"/>
            <w:vAlign w:val="center"/>
          </w:tcPr>
          <w:p w14:paraId="38398E5D">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0.93</w:t>
            </w:r>
          </w:p>
        </w:tc>
        <w:tc>
          <w:tcPr>
            <w:tcW w:w="528" w:type="pct"/>
            <w:vAlign w:val="center"/>
          </w:tcPr>
          <w:p w14:paraId="74B13877">
            <w:pPr>
              <w:pStyle w:val="287"/>
              <w:framePr w:hSpace="0" w:wrap="auto" w:vAnchor="margin" w:hAnchor="text" w:xAlign="left" w:yAlign="inline"/>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w:t>
            </w:r>
            <w:r>
              <w:rPr>
                <w:rFonts w:hint="eastAsia" w:cs="Times New Roman"/>
                <w:color w:val="auto"/>
                <w:sz w:val="21"/>
                <w:szCs w:val="21"/>
                <w:lang w:val="en-US" w:eastAsia="zh-CN"/>
              </w:rPr>
              <w:t>0.93</w:t>
            </w:r>
          </w:p>
        </w:tc>
      </w:tr>
      <w:tr w14:paraId="45B0E6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2" w:type="pct"/>
            <w:vMerge w:val="restart"/>
            <w:vAlign w:val="center"/>
          </w:tcPr>
          <w:p w14:paraId="1E875817">
            <w:pPr>
              <w:adjustRightInd w:val="0"/>
              <w:snapToGrid w:val="0"/>
              <w:spacing w:after="0" w:line="240" w:lineRule="auto"/>
              <w:jc w:val="center"/>
              <w:rPr>
                <w:color w:val="auto"/>
                <w:kern w:val="2"/>
                <w:sz w:val="21"/>
                <w:szCs w:val="21"/>
              </w:rPr>
            </w:pPr>
            <w:r>
              <w:rPr>
                <w:color w:val="auto"/>
                <w:kern w:val="2"/>
                <w:sz w:val="21"/>
                <w:szCs w:val="21"/>
              </w:rPr>
              <w:t>废水</w:t>
            </w:r>
          </w:p>
        </w:tc>
        <w:tc>
          <w:tcPr>
            <w:tcW w:w="626" w:type="pct"/>
            <w:tcBorders>
              <w:top w:val="single" w:color="auto" w:sz="4" w:space="0"/>
            </w:tcBorders>
            <w:vAlign w:val="center"/>
          </w:tcPr>
          <w:p w14:paraId="1B2E07A8">
            <w:pPr>
              <w:adjustRightInd w:val="0"/>
              <w:snapToGrid w:val="0"/>
              <w:spacing w:after="0" w:line="240" w:lineRule="auto"/>
              <w:jc w:val="center"/>
              <w:rPr>
                <w:color w:val="auto"/>
                <w:kern w:val="2"/>
                <w:sz w:val="21"/>
                <w:szCs w:val="21"/>
              </w:rPr>
            </w:pPr>
            <w:r>
              <w:rPr>
                <w:color w:val="auto"/>
                <w:kern w:val="2"/>
                <w:sz w:val="21"/>
                <w:szCs w:val="21"/>
              </w:rPr>
              <w:t>COD</w:t>
            </w:r>
          </w:p>
        </w:tc>
        <w:tc>
          <w:tcPr>
            <w:tcW w:w="534" w:type="pct"/>
            <w:vAlign w:val="center"/>
          </w:tcPr>
          <w:p w14:paraId="50EBF2B7">
            <w:pPr>
              <w:adjustRightInd w:val="0"/>
              <w:snapToGrid w:val="0"/>
              <w:spacing w:after="0" w:line="240" w:lineRule="auto"/>
              <w:jc w:val="center"/>
              <w:rPr>
                <w:color w:val="auto"/>
                <w:kern w:val="2"/>
                <w:sz w:val="21"/>
                <w:szCs w:val="21"/>
                <w:highlight w:val="yellow"/>
              </w:rPr>
            </w:pPr>
          </w:p>
        </w:tc>
        <w:tc>
          <w:tcPr>
            <w:tcW w:w="445" w:type="pct"/>
            <w:vAlign w:val="center"/>
          </w:tcPr>
          <w:p w14:paraId="55ED1ECD">
            <w:pPr>
              <w:adjustRightInd w:val="0"/>
              <w:snapToGrid w:val="0"/>
              <w:spacing w:after="0" w:line="240" w:lineRule="auto"/>
              <w:jc w:val="center"/>
              <w:rPr>
                <w:color w:val="auto"/>
                <w:kern w:val="2"/>
                <w:sz w:val="21"/>
                <w:szCs w:val="21"/>
                <w:highlight w:val="yellow"/>
              </w:rPr>
            </w:pPr>
          </w:p>
        </w:tc>
        <w:tc>
          <w:tcPr>
            <w:tcW w:w="593" w:type="pct"/>
            <w:vAlign w:val="center"/>
          </w:tcPr>
          <w:p w14:paraId="4339F77B">
            <w:pPr>
              <w:adjustRightInd w:val="0"/>
              <w:snapToGrid w:val="0"/>
              <w:spacing w:after="0" w:line="240" w:lineRule="auto"/>
              <w:jc w:val="center"/>
              <w:rPr>
                <w:color w:val="auto"/>
                <w:kern w:val="2"/>
                <w:sz w:val="21"/>
                <w:szCs w:val="21"/>
                <w:highlight w:val="yellow"/>
              </w:rPr>
            </w:pPr>
          </w:p>
        </w:tc>
        <w:tc>
          <w:tcPr>
            <w:tcW w:w="544" w:type="pct"/>
            <w:vAlign w:val="center"/>
          </w:tcPr>
          <w:p w14:paraId="563E0642">
            <w:pPr>
              <w:pStyle w:val="287"/>
              <w:framePr w:hSpace="0" w:wrap="auto" w:vAnchor="margin" w:hAnchor="text" w:xAlign="left" w:yAlign="inline"/>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0.08</w:t>
            </w:r>
          </w:p>
        </w:tc>
        <w:tc>
          <w:tcPr>
            <w:tcW w:w="570" w:type="pct"/>
            <w:vAlign w:val="center"/>
          </w:tcPr>
          <w:p w14:paraId="326A51F0">
            <w:pPr>
              <w:pStyle w:val="287"/>
              <w:framePr w:hSpace="0" w:wrap="auto" w:vAnchor="margin" w:hAnchor="text" w:xAlign="left" w:yAlign="inline"/>
              <w:rPr>
                <w:rFonts w:hint="default" w:ascii="Times New Roman" w:hAnsi="Times New Roman" w:cs="Times New Roman"/>
                <w:color w:val="auto"/>
                <w:sz w:val="21"/>
                <w:szCs w:val="21"/>
                <w:lang w:val="en-US" w:eastAsia="zh-CN"/>
              </w:rPr>
            </w:pPr>
          </w:p>
        </w:tc>
        <w:tc>
          <w:tcPr>
            <w:tcW w:w="673" w:type="pct"/>
            <w:shd w:val="clear" w:color="auto" w:fill="auto"/>
            <w:vAlign w:val="center"/>
          </w:tcPr>
          <w:p w14:paraId="17D65EF1">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0.08</w:t>
            </w:r>
          </w:p>
        </w:tc>
        <w:tc>
          <w:tcPr>
            <w:tcW w:w="528" w:type="pct"/>
            <w:shd w:val="clear" w:color="auto" w:fill="auto"/>
            <w:vAlign w:val="center"/>
          </w:tcPr>
          <w:p w14:paraId="7EE6BD41">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+0.08</w:t>
            </w:r>
          </w:p>
        </w:tc>
      </w:tr>
      <w:tr w14:paraId="0191C7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2" w:type="pct"/>
            <w:vMerge w:val="continue"/>
            <w:vAlign w:val="center"/>
          </w:tcPr>
          <w:p w14:paraId="4DB19EDA">
            <w:pPr>
              <w:adjustRightInd w:val="0"/>
              <w:snapToGrid w:val="0"/>
              <w:spacing w:after="0" w:line="240" w:lineRule="auto"/>
              <w:jc w:val="center"/>
              <w:rPr>
                <w:color w:val="auto"/>
                <w:kern w:val="2"/>
                <w:sz w:val="21"/>
                <w:szCs w:val="21"/>
              </w:rPr>
            </w:pPr>
          </w:p>
        </w:tc>
        <w:tc>
          <w:tcPr>
            <w:tcW w:w="626" w:type="pct"/>
            <w:tcBorders>
              <w:top w:val="single" w:color="auto" w:sz="4" w:space="0"/>
            </w:tcBorders>
            <w:vAlign w:val="center"/>
          </w:tcPr>
          <w:p w14:paraId="05373643">
            <w:pPr>
              <w:adjustRightInd w:val="0"/>
              <w:snapToGrid w:val="0"/>
              <w:spacing w:after="0" w:line="240" w:lineRule="auto"/>
              <w:jc w:val="center"/>
              <w:rPr>
                <w:rFonts w:hint="default" w:eastAsia="宋体"/>
                <w:color w:val="auto"/>
                <w:kern w:val="2"/>
                <w:sz w:val="21"/>
                <w:szCs w:val="21"/>
                <w:lang w:val="en-US" w:eastAsia="zh-CN"/>
              </w:rPr>
            </w:pPr>
            <w:r>
              <w:rPr>
                <w:rFonts w:hint="eastAsia"/>
                <w:color w:val="auto"/>
                <w:kern w:val="2"/>
                <w:sz w:val="21"/>
                <w:szCs w:val="21"/>
                <w:lang w:val="en-US" w:eastAsia="zh-CN"/>
              </w:rPr>
              <w:t>BOD</w:t>
            </w:r>
            <w:r>
              <w:rPr>
                <w:rFonts w:hint="eastAsia"/>
                <w:color w:val="auto"/>
                <w:kern w:val="2"/>
                <w:sz w:val="21"/>
                <w:szCs w:val="21"/>
                <w:vertAlign w:val="subscript"/>
                <w:lang w:val="en-US" w:eastAsia="zh-CN"/>
              </w:rPr>
              <w:t>5</w:t>
            </w:r>
          </w:p>
        </w:tc>
        <w:tc>
          <w:tcPr>
            <w:tcW w:w="534" w:type="pct"/>
            <w:vAlign w:val="center"/>
          </w:tcPr>
          <w:p w14:paraId="763822DE">
            <w:pPr>
              <w:adjustRightInd w:val="0"/>
              <w:snapToGrid w:val="0"/>
              <w:spacing w:after="0" w:line="240" w:lineRule="auto"/>
              <w:jc w:val="center"/>
              <w:rPr>
                <w:color w:val="auto"/>
                <w:kern w:val="2"/>
                <w:sz w:val="21"/>
                <w:szCs w:val="21"/>
                <w:highlight w:val="yellow"/>
              </w:rPr>
            </w:pPr>
          </w:p>
        </w:tc>
        <w:tc>
          <w:tcPr>
            <w:tcW w:w="445" w:type="pct"/>
            <w:vAlign w:val="center"/>
          </w:tcPr>
          <w:p w14:paraId="0805892E">
            <w:pPr>
              <w:adjustRightInd w:val="0"/>
              <w:snapToGrid w:val="0"/>
              <w:spacing w:after="0" w:line="240" w:lineRule="auto"/>
              <w:jc w:val="center"/>
              <w:rPr>
                <w:color w:val="auto"/>
                <w:kern w:val="2"/>
                <w:sz w:val="21"/>
                <w:szCs w:val="21"/>
                <w:highlight w:val="yellow"/>
              </w:rPr>
            </w:pPr>
          </w:p>
        </w:tc>
        <w:tc>
          <w:tcPr>
            <w:tcW w:w="593" w:type="pct"/>
            <w:vAlign w:val="center"/>
          </w:tcPr>
          <w:p w14:paraId="491183AC">
            <w:pPr>
              <w:adjustRightInd w:val="0"/>
              <w:snapToGrid w:val="0"/>
              <w:spacing w:after="0" w:line="240" w:lineRule="auto"/>
              <w:jc w:val="center"/>
              <w:rPr>
                <w:color w:val="auto"/>
                <w:kern w:val="2"/>
                <w:sz w:val="21"/>
                <w:szCs w:val="21"/>
                <w:highlight w:val="yellow"/>
              </w:rPr>
            </w:pPr>
          </w:p>
        </w:tc>
        <w:tc>
          <w:tcPr>
            <w:tcW w:w="544" w:type="pct"/>
            <w:vAlign w:val="center"/>
          </w:tcPr>
          <w:p w14:paraId="468E542D">
            <w:pPr>
              <w:pStyle w:val="287"/>
              <w:framePr w:hSpace="0" w:wrap="auto" w:vAnchor="margin" w:hAnchor="text" w:xAlign="left" w:yAlign="inline"/>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0.047</w:t>
            </w:r>
          </w:p>
        </w:tc>
        <w:tc>
          <w:tcPr>
            <w:tcW w:w="570" w:type="pct"/>
            <w:vAlign w:val="center"/>
          </w:tcPr>
          <w:p w14:paraId="2087E650">
            <w:pPr>
              <w:pStyle w:val="287"/>
              <w:framePr w:hSpace="0" w:wrap="auto" w:vAnchor="margin" w:hAnchor="text" w:xAlign="left" w:yAlign="inline"/>
              <w:rPr>
                <w:rFonts w:hint="default" w:ascii="Times New Roman" w:hAnsi="Times New Roman" w:cs="Times New Roman"/>
                <w:color w:val="auto"/>
                <w:sz w:val="21"/>
                <w:szCs w:val="21"/>
                <w:lang w:val="en-US" w:eastAsia="zh-CN"/>
              </w:rPr>
            </w:pPr>
          </w:p>
        </w:tc>
        <w:tc>
          <w:tcPr>
            <w:tcW w:w="673" w:type="pct"/>
            <w:shd w:val="clear" w:color="auto" w:fill="auto"/>
            <w:vAlign w:val="center"/>
          </w:tcPr>
          <w:p w14:paraId="10529378">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0.047</w:t>
            </w:r>
          </w:p>
        </w:tc>
        <w:tc>
          <w:tcPr>
            <w:tcW w:w="528" w:type="pct"/>
            <w:shd w:val="clear" w:color="auto" w:fill="auto"/>
            <w:vAlign w:val="center"/>
          </w:tcPr>
          <w:p w14:paraId="7372FC41">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+0.047</w:t>
            </w:r>
          </w:p>
        </w:tc>
      </w:tr>
      <w:tr w14:paraId="62E950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82" w:type="pct"/>
            <w:vMerge w:val="continue"/>
            <w:vAlign w:val="center"/>
          </w:tcPr>
          <w:p w14:paraId="4FF49247">
            <w:pPr>
              <w:adjustRightInd w:val="0"/>
              <w:snapToGrid w:val="0"/>
              <w:spacing w:after="0" w:line="240" w:lineRule="auto"/>
              <w:jc w:val="center"/>
              <w:rPr>
                <w:color w:val="auto"/>
                <w:kern w:val="2"/>
                <w:sz w:val="21"/>
                <w:szCs w:val="21"/>
              </w:rPr>
            </w:pPr>
          </w:p>
        </w:tc>
        <w:tc>
          <w:tcPr>
            <w:tcW w:w="626" w:type="pct"/>
            <w:tcBorders>
              <w:top w:val="single" w:color="auto" w:sz="4" w:space="0"/>
            </w:tcBorders>
            <w:shd w:val="clear" w:color="auto" w:fill="auto"/>
            <w:vAlign w:val="center"/>
          </w:tcPr>
          <w:p w14:paraId="02C75315">
            <w:pPr>
              <w:adjustRightInd w:val="0"/>
              <w:snapToGrid w:val="0"/>
              <w:spacing w:after="0" w:line="240" w:lineRule="auto"/>
              <w:jc w:val="center"/>
              <w:rPr>
                <w:rFonts w:ascii="Times New Roman" w:hAnsi="Times New Roman" w:eastAsia="宋体" w:cs="Times New Roman"/>
                <w:color w:val="auto"/>
                <w:kern w:val="2"/>
                <w:sz w:val="21"/>
                <w:szCs w:val="21"/>
                <w:lang w:val="en-US" w:eastAsia="zh-CN" w:bidi="ar-SA"/>
              </w:rPr>
            </w:pPr>
            <w:r>
              <w:rPr>
                <w:color w:val="auto"/>
                <w:kern w:val="2"/>
                <w:sz w:val="21"/>
                <w:szCs w:val="21"/>
              </w:rPr>
              <w:t>SS</w:t>
            </w:r>
          </w:p>
        </w:tc>
        <w:tc>
          <w:tcPr>
            <w:tcW w:w="534" w:type="pct"/>
            <w:vAlign w:val="center"/>
          </w:tcPr>
          <w:p w14:paraId="11F55E12">
            <w:pPr>
              <w:adjustRightInd w:val="0"/>
              <w:snapToGrid w:val="0"/>
              <w:spacing w:after="0" w:line="240" w:lineRule="auto"/>
              <w:jc w:val="center"/>
              <w:rPr>
                <w:color w:val="auto"/>
                <w:kern w:val="2"/>
                <w:sz w:val="21"/>
                <w:szCs w:val="21"/>
                <w:highlight w:val="yellow"/>
              </w:rPr>
            </w:pPr>
          </w:p>
        </w:tc>
        <w:tc>
          <w:tcPr>
            <w:tcW w:w="445" w:type="pct"/>
            <w:vAlign w:val="center"/>
          </w:tcPr>
          <w:p w14:paraId="2DA46E5B">
            <w:pPr>
              <w:adjustRightInd w:val="0"/>
              <w:snapToGrid w:val="0"/>
              <w:spacing w:after="0" w:line="240" w:lineRule="auto"/>
              <w:jc w:val="center"/>
              <w:rPr>
                <w:color w:val="auto"/>
                <w:kern w:val="2"/>
                <w:sz w:val="21"/>
                <w:szCs w:val="21"/>
                <w:highlight w:val="yellow"/>
              </w:rPr>
            </w:pPr>
          </w:p>
        </w:tc>
        <w:tc>
          <w:tcPr>
            <w:tcW w:w="593" w:type="pct"/>
            <w:vAlign w:val="center"/>
          </w:tcPr>
          <w:p w14:paraId="2A7CF244">
            <w:pPr>
              <w:adjustRightInd w:val="0"/>
              <w:snapToGrid w:val="0"/>
              <w:spacing w:after="0" w:line="240" w:lineRule="auto"/>
              <w:jc w:val="center"/>
              <w:rPr>
                <w:color w:val="auto"/>
                <w:kern w:val="2"/>
                <w:sz w:val="21"/>
                <w:szCs w:val="21"/>
                <w:highlight w:val="yellow"/>
              </w:rPr>
            </w:pPr>
          </w:p>
        </w:tc>
        <w:tc>
          <w:tcPr>
            <w:tcW w:w="544" w:type="pct"/>
            <w:vAlign w:val="center"/>
          </w:tcPr>
          <w:p w14:paraId="608B26F6">
            <w:pPr>
              <w:pStyle w:val="287"/>
              <w:framePr w:hSpace="0" w:wrap="auto" w:vAnchor="margin" w:hAnchor="text" w:xAlign="left" w:yAlign="inline"/>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0.023</w:t>
            </w:r>
          </w:p>
        </w:tc>
        <w:tc>
          <w:tcPr>
            <w:tcW w:w="570" w:type="pct"/>
            <w:vAlign w:val="center"/>
          </w:tcPr>
          <w:p w14:paraId="199E2A91">
            <w:pPr>
              <w:pStyle w:val="287"/>
              <w:framePr w:hSpace="0" w:wrap="auto" w:vAnchor="margin" w:hAnchor="text" w:xAlign="left" w:yAlign="inline"/>
              <w:rPr>
                <w:rFonts w:hint="default" w:ascii="Times New Roman" w:hAnsi="Times New Roman" w:cs="Times New Roman"/>
                <w:color w:val="auto"/>
                <w:sz w:val="21"/>
                <w:szCs w:val="21"/>
                <w:lang w:val="en-US" w:eastAsia="zh-CN"/>
              </w:rPr>
            </w:pPr>
          </w:p>
        </w:tc>
        <w:tc>
          <w:tcPr>
            <w:tcW w:w="673" w:type="pct"/>
            <w:shd w:val="clear" w:color="auto" w:fill="auto"/>
            <w:vAlign w:val="center"/>
          </w:tcPr>
          <w:p w14:paraId="1182660E">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0.023</w:t>
            </w:r>
          </w:p>
        </w:tc>
        <w:tc>
          <w:tcPr>
            <w:tcW w:w="528" w:type="pct"/>
            <w:shd w:val="clear" w:color="auto" w:fill="auto"/>
            <w:vAlign w:val="center"/>
          </w:tcPr>
          <w:p w14:paraId="6C28A321">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+0.023</w:t>
            </w:r>
          </w:p>
        </w:tc>
      </w:tr>
      <w:tr w14:paraId="14C658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2" w:type="pct"/>
            <w:vMerge w:val="continue"/>
            <w:vAlign w:val="center"/>
          </w:tcPr>
          <w:p w14:paraId="7F77CE48">
            <w:pPr>
              <w:adjustRightInd w:val="0"/>
              <w:snapToGrid w:val="0"/>
              <w:spacing w:after="0" w:line="240" w:lineRule="auto"/>
              <w:jc w:val="center"/>
              <w:rPr>
                <w:color w:val="auto"/>
                <w:kern w:val="2"/>
                <w:sz w:val="21"/>
                <w:szCs w:val="21"/>
              </w:rPr>
            </w:pPr>
          </w:p>
        </w:tc>
        <w:tc>
          <w:tcPr>
            <w:tcW w:w="626" w:type="pct"/>
            <w:tcBorders>
              <w:top w:val="single" w:color="auto" w:sz="4" w:space="0"/>
            </w:tcBorders>
            <w:shd w:val="clear" w:color="auto" w:fill="auto"/>
            <w:vAlign w:val="center"/>
          </w:tcPr>
          <w:p w14:paraId="41E786BF">
            <w:pPr>
              <w:adjustRightInd w:val="0"/>
              <w:snapToGrid w:val="0"/>
              <w:spacing w:after="0" w:line="240" w:lineRule="auto"/>
              <w:jc w:val="center"/>
              <w:rPr>
                <w:rFonts w:hint="eastAsia" w:ascii="Times New Roman" w:hAnsi="Times New Roman" w:eastAsia="宋体" w:cs="Times New Roman"/>
                <w:color w:val="auto"/>
                <w:kern w:val="2"/>
                <w:sz w:val="21"/>
                <w:szCs w:val="21"/>
                <w:lang w:val="en-US" w:eastAsia="zh-CN" w:bidi="ar-SA"/>
              </w:rPr>
            </w:pPr>
            <w:r>
              <w:rPr>
                <w:rFonts w:hint="eastAsia"/>
                <w:color w:val="auto"/>
                <w:kern w:val="2"/>
                <w:sz w:val="21"/>
                <w:szCs w:val="21"/>
              </w:rPr>
              <w:t>氨氮</w:t>
            </w:r>
          </w:p>
        </w:tc>
        <w:tc>
          <w:tcPr>
            <w:tcW w:w="534" w:type="pct"/>
            <w:vAlign w:val="center"/>
          </w:tcPr>
          <w:p w14:paraId="652197E0">
            <w:pPr>
              <w:adjustRightInd w:val="0"/>
              <w:snapToGrid w:val="0"/>
              <w:spacing w:after="0" w:line="240" w:lineRule="auto"/>
              <w:jc w:val="center"/>
              <w:rPr>
                <w:color w:val="auto"/>
                <w:kern w:val="2"/>
                <w:sz w:val="21"/>
                <w:szCs w:val="21"/>
                <w:highlight w:val="yellow"/>
              </w:rPr>
            </w:pPr>
          </w:p>
        </w:tc>
        <w:tc>
          <w:tcPr>
            <w:tcW w:w="445" w:type="pct"/>
            <w:vAlign w:val="center"/>
          </w:tcPr>
          <w:p w14:paraId="6BEE3A25">
            <w:pPr>
              <w:adjustRightInd w:val="0"/>
              <w:snapToGrid w:val="0"/>
              <w:spacing w:after="0" w:line="240" w:lineRule="auto"/>
              <w:jc w:val="center"/>
              <w:rPr>
                <w:color w:val="auto"/>
                <w:kern w:val="2"/>
                <w:sz w:val="21"/>
                <w:szCs w:val="21"/>
                <w:highlight w:val="yellow"/>
              </w:rPr>
            </w:pPr>
          </w:p>
        </w:tc>
        <w:tc>
          <w:tcPr>
            <w:tcW w:w="593" w:type="pct"/>
            <w:vAlign w:val="center"/>
          </w:tcPr>
          <w:p w14:paraId="7E0B9D40">
            <w:pPr>
              <w:adjustRightInd w:val="0"/>
              <w:snapToGrid w:val="0"/>
              <w:spacing w:after="0" w:line="240" w:lineRule="auto"/>
              <w:jc w:val="center"/>
              <w:rPr>
                <w:color w:val="auto"/>
                <w:kern w:val="2"/>
                <w:sz w:val="21"/>
                <w:szCs w:val="21"/>
                <w:highlight w:val="yellow"/>
              </w:rPr>
            </w:pPr>
          </w:p>
        </w:tc>
        <w:tc>
          <w:tcPr>
            <w:tcW w:w="544" w:type="pct"/>
            <w:vAlign w:val="center"/>
          </w:tcPr>
          <w:p w14:paraId="4F95C27D">
            <w:pPr>
              <w:pStyle w:val="287"/>
              <w:framePr w:hSpace="0" w:wrap="auto" w:vAnchor="margin" w:hAnchor="text" w:xAlign="left" w:yAlign="inline"/>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0.007</w:t>
            </w:r>
          </w:p>
        </w:tc>
        <w:tc>
          <w:tcPr>
            <w:tcW w:w="570" w:type="pct"/>
            <w:vAlign w:val="center"/>
          </w:tcPr>
          <w:p w14:paraId="1C71E402">
            <w:pPr>
              <w:pStyle w:val="287"/>
              <w:framePr w:hSpace="0" w:wrap="auto" w:vAnchor="margin" w:hAnchor="text" w:xAlign="left" w:yAlign="inline"/>
              <w:rPr>
                <w:rFonts w:hint="default" w:ascii="Times New Roman" w:hAnsi="Times New Roman" w:cs="Times New Roman"/>
                <w:color w:val="auto"/>
                <w:sz w:val="21"/>
                <w:szCs w:val="21"/>
                <w:lang w:val="en-US" w:eastAsia="zh-CN"/>
              </w:rPr>
            </w:pPr>
          </w:p>
        </w:tc>
        <w:tc>
          <w:tcPr>
            <w:tcW w:w="673" w:type="pct"/>
            <w:shd w:val="clear" w:color="auto" w:fill="auto"/>
            <w:vAlign w:val="center"/>
          </w:tcPr>
          <w:p w14:paraId="2786291F">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0.007</w:t>
            </w:r>
          </w:p>
        </w:tc>
        <w:tc>
          <w:tcPr>
            <w:tcW w:w="528" w:type="pct"/>
            <w:shd w:val="clear" w:color="auto" w:fill="auto"/>
            <w:vAlign w:val="center"/>
          </w:tcPr>
          <w:p w14:paraId="2529884E">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+0.007</w:t>
            </w:r>
          </w:p>
        </w:tc>
      </w:tr>
      <w:tr w14:paraId="43DFF4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2" w:type="pct"/>
            <w:vMerge w:val="restart"/>
            <w:vAlign w:val="center"/>
          </w:tcPr>
          <w:p w14:paraId="7D374853">
            <w:pPr>
              <w:adjustRightInd w:val="0"/>
              <w:snapToGrid w:val="0"/>
              <w:spacing w:after="0" w:line="240" w:lineRule="auto"/>
              <w:jc w:val="center"/>
              <w:rPr>
                <w:color w:val="auto"/>
                <w:kern w:val="2"/>
                <w:sz w:val="21"/>
                <w:szCs w:val="21"/>
              </w:rPr>
            </w:pPr>
            <w:r>
              <w:rPr>
                <w:color w:val="auto"/>
                <w:kern w:val="2"/>
                <w:sz w:val="21"/>
                <w:szCs w:val="21"/>
              </w:rPr>
              <w:t>一般工业固体废物</w:t>
            </w:r>
          </w:p>
        </w:tc>
        <w:tc>
          <w:tcPr>
            <w:tcW w:w="626" w:type="pct"/>
            <w:vAlign w:val="center"/>
          </w:tcPr>
          <w:p w14:paraId="49736463">
            <w:pPr>
              <w:adjustRightInd w:val="0"/>
              <w:snapToGrid w:val="0"/>
              <w:spacing w:after="0" w:line="240" w:lineRule="auto"/>
              <w:jc w:val="center"/>
              <w:rPr>
                <w:rFonts w:hint="eastAsia" w:eastAsia="宋体"/>
                <w:color w:val="auto"/>
                <w:kern w:val="2"/>
                <w:sz w:val="21"/>
                <w:szCs w:val="21"/>
                <w:lang w:val="en-US" w:eastAsia="zh-CN"/>
              </w:rPr>
            </w:pPr>
            <w:r>
              <w:rPr>
                <w:rFonts w:hint="eastAsia"/>
                <w:color w:val="auto"/>
                <w:kern w:val="2"/>
                <w:sz w:val="21"/>
                <w:szCs w:val="21"/>
                <w:lang w:val="en-US" w:eastAsia="zh-CN"/>
              </w:rPr>
              <w:t>矸石</w:t>
            </w:r>
          </w:p>
        </w:tc>
        <w:tc>
          <w:tcPr>
            <w:tcW w:w="534" w:type="pct"/>
            <w:vAlign w:val="center"/>
          </w:tcPr>
          <w:p w14:paraId="1F3EB64B">
            <w:pPr>
              <w:adjustRightInd w:val="0"/>
              <w:snapToGrid w:val="0"/>
              <w:spacing w:after="0" w:line="240" w:lineRule="auto"/>
              <w:jc w:val="center"/>
              <w:rPr>
                <w:color w:val="auto"/>
                <w:kern w:val="2"/>
                <w:sz w:val="21"/>
                <w:szCs w:val="21"/>
              </w:rPr>
            </w:pPr>
          </w:p>
        </w:tc>
        <w:tc>
          <w:tcPr>
            <w:tcW w:w="445" w:type="pct"/>
            <w:vAlign w:val="center"/>
          </w:tcPr>
          <w:p w14:paraId="63403711">
            <w:pPr>
              <w:adjustRightInd w:val="0"/>
              <w:snapToGrid w:val="0"/>
              <w:spacing w:after="0" w:line="240" w:lineRule="auto"/>
              <w:jc w:val="center"/>
              <w:rPr>
                <w:color w:val="auto"/>
                <w:kern w:val="2"/>
                <w:sz w:val="21"/>
                <w:szCs w:val="21"/>
              </w:rPr>
            </w:pPr>
          </w:p>
        </w:tc>
        <w:tc>
          <w:tcPr>
            <w:tcW w:w="593" w:type="pct"/>
            <w:vAlign w:val="center"/>
          </w:tcPr>
          <w:p w14:paraId="1FB22576">
            <w:pPr>
              <w:adjustRightInd w:val="0"/>
              <w:snapToGrid w:val="0"/>
              <w:spacing w:after="0" w:line="240" w:lineRule="auto"/>
              <w:jc w:val="center"/>
              <w:rPr>
                <w:color w:val="auto"/>
                <w:kern w:val="2"/>
                <w:sz w:val="21"/>
                <w:szCs w:val="21"/>
              </w:rPr>
            </w:pPr>
          </w:p>
        </w:tc>
        <w:tc>
          <w:tcPr>
            <w:tcW w:w="544" w:type="pct"/>
            <w:shd w:val="clear" w:color="auto" w:fill="auto"/>
            <w:vAlign w:val="center"/>
          </w:tcPr>
          <w:p w14:paraId="450E7FAA">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134万</w:t>
            </w:r>
          </w:p>
        </w:tc>
        <w:tc>
          <w:tcPr>
            <w:tcW w:w="570" w:type="pct"/>
            <w:vAlign w:val="center"/>
          </w:tcPr>
          <w:p w14:paraId="4BD50A6A">
            <w:pPr>
              <w:adjustRightInd w:val="0"/>
              <w:snapToGrid w:val="0"/>
              <w:spacing w:after="0" w:line="240" w:lineRule="auto"/>
              <w:jc w:val="center"/>
              <w:rPr>
                <w:rFonts w:hint="default" w:ascii="Times New Roman" w:hAnsi="Times New Roman" w:cs="Times New Roman"/>
                <w:color w:val="auto"/>
                <w:kern w:val="2"/>
                <w:sz w:val="21"/>
                <w:szCs w:val="21"/>
              </w:rPr>
            </w:pPr>
          </w:p>
        </w:tc>
        <w:tc>
          <w:tcPr>
            <w:tcW w:w="673" w:type="pct"/>
            <w:vAlign w:val="center"/>
          </w:tcPr>
          <w:p w14:paraId="3B1E59D3">
            <w:pPr>
              <w:pStyle w:val="287"/>
              <w:framePr w:hSpace="0" w:wrap="auto" w:vAnchor="margin" w:hAnchor="text" w:xAlign="left" w:yAlign="inline"/>
              <w:rPr>
                <w:rFonts w:hint="default" w:ascii="Times New Roman" w:hAnsi="Times New Roman" w:cs="Times New Roman"/>
                <w:color w:val="auto"/>
                <w:kern w:val="2"/>
                <w:sz w:val="21"/>
                <w:szCs w:val="21"/>
              </w:rPr>
            </w:pPr>
            <w:r>
              <w:rPr>
                <w:rFonts w:hint="eastAsia" w:cs="Times New Roman"/>
                <w:color w:val="auto"/>
                <w:sz w:val="21"/>
                <w:szCs w:val="21"/>
                <w:lang w:val="en-US" w:eastAsia="zh-CN"/>
              </w:rPr>
              <w:t>134万</w:t>
            </w:r>
          </w:p>
        </w:tc>
        <w:tc>
          <w:tcPr>
            <w:tcW w:w="528" w:type="pct"/>
            <w:vAlign w:val="center"/>
          </w:tcPr>
          <w:p w14:paraId="4E2D8CEA">
            <w:pPr>
              <w:pStyle w:val="287"/>
              <w:framePr w:hSpace="0" w:wrap="auto" w:vAnchor="margin" w:hAnchor="text" w:xAlign="left" w:yAlign="inline"/>
              <w:rPr>
                <w:rFonts w:hint="default" w:ascii="Times New Roman" w:hAnsi="Times New Roman" w:cs="Times New Roman"/>
                <w:color w:val="auto"/>
                <w:kern w:val="2"/>
                <w:sz w:val="21"/>
                <w:szCs w:val="21"/>
              </w:rPr>
            </w:pPr>
            <w:r>
              <w:rPr>
                <w:rFonts w:hint="eastAsia" w:cs="Times New Roman"/>
                <w:color w:val="auto"/>
                <w:sz w:val="21"/>
                <w:szCs w:val="21"/>
                <w:lang w:val="en-US" w:eastAsia="zh-CN"/>
              </w:rPr>
              <w:t>+134万</w:t>
            </w:r>
          </w:p>
        </w:tc>
      </w:tr>
      <w:tr w14:paraId="3E5541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2" w:type="pct"/>
            <w:vMerge w:val="continue"/>
            <w:vAlign w:val="center"/>
          </w:tcPr>
          <w:p w14:paraId="035D6950">
            <w:pPr>
              <w:adjustRightInd w:val="0"/>
              <w:snapToGrid w:val="0"/>
              <w:spacing w:after="0" w:line="240" w:lineRule="auto"/>
              <w:jc w:val="center"/>
              <w:rPr>
                <w:color w:val="auto"/>
                <w:kern w:val="2"/>
                <w:sz w:val="21"/>
                <w:szCs w:val="21"/>
              </w:rPr>
            </w:pPr>
          </w:p>
        </w:tc>
        <w:tc>
          <w:tcPr>
            <w:tcW w:w="626" w:type="pct"/>
            <w:vAlign w:val="center"/>
          </w:tcPr>
          <w:p w14:paraId="3BE2D707">
            <w:pPr>
              <w:adjustRightInd w:val="0"/>
              <w:snapToGrid w:val="0"/>
              <w:spacing w:after="0" w:line="240" w:lineRule="auto"/>
              <w:jc w:val="center"/>
              <w:rPr>
                <w:rFonts w:hint="eastAsia" w:eastAsia="宋体"/>
                <w:color w:val="auto"/>
                <w:kern w:val="2"/>
                <w:sz w:val="21"/>
                <w:szCs w:val="21"/>
                <w:lang w:eastAsia="zh-CN"/>
              </w:rPr>
            </w:pPr>
            <w:r>
              <w:rPr>
                <w:rFonts w:hint="eastAsia"/>
                <w:color w:val="auto"/>
                <w:kern w:val="2"/>
                <w:sz w:val="21"/>
                <w:szCs w:val="21"/>
                <w:lang w:eastAsia="zh-CN"/>
              </w:rPr>
              <w:t>煤泥</w:t>
            </w:r>
          </w:p>
        </w:tc>
        <w:tc>
          <w:tcPr>
            <w:tcW w:w="534" w:type="pct"/>
            <w:vAlign w:val="center"/>
          </w:tcPr>
          <w:p w14:paraId="78115BC3">
            <w:pPr>
              <w:adjustRightInd w:val="0"/>
              <w:snapToGrid w:val="0"/>
              <w:spacing w:after="0" w:line="240" w:lineRule="auto"/>
              <w:jc w:val="center"/>
              <w:rPr>
                <w:color w:val="auto"/>
                <w:kern w:val="2"/>
                <w:sz w:val="21"/>
                <w:szCs w:val="21"/>
              </w:rPr>
            </w:pPr>
          </w:p>
        </w:tc>
        <w:tc>
          <w:tcPr>
            <w:tcW w:w="445" w:type="pct"/>
            <w:vAlign w:val="center"/>
          </w:tcPr>
          <w:p w14:paraId="15F0B4DA">
            <w:pPr>
              <w:adjustRightInd w:val="0"/>
              <w:snapToGrid w:val="0"/>
              <w:spacing w:after="0" w:line="240" w:lineRule="auto"/>
              <w:jc w:val="center"/>
              <w:rPr>
                <w:color w:val="auto"/>
                <w:kern w:val="2"/>
                <w:sz w:val="21"/>
                <w:szCs w:val="21"/>
              </w:rPr>
            </w:pPr>
          </w:p>
        </w:tc>
        <w:tc>
          <w:tcPr>
            <w:tcW w:w="593" w:type="pct"/>
            <w:vAlign w:val="center"/>
          </w:tcPr>
          <w:p w14:paraId="492014CB">
            <w:pPr>
              <w:adjustRightInd w:val="0"/>
              <w:snapToGrid w:val="0"/>
              <w:spacing w:after="0" w:line="240" w:lineRule="auto"/>
              <w:jc w:val="center"/>
              <w:rPr>
                <w:color w:val="auto"/>
                <w:kern w:val="2"/>
                <w:sz w:val="21"/>
                <w:szCs w:val="21"/>
              </w:rPr>
            </w:pPr>
          </w:p>
        </w:tc>
        <w:tc>
          <w:tcPr>
            <w:tcW w:w="544" w:type="pct"/>
            <w:shd w:val="clear" w:color="auto" w:fill="auto"/>
            <w:vAlign w:val="center"/>
          </w:tcPr>
          <w:p w14:paraId="7D180438">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13万</w:t>
            </w:r>
          </w:p>
        </w:tc>
        <w:tc>
          <w:tcPr>
            <w:tcW w:w="570" w:type="pct"/>
            <w:vAlign w:val="center"/>
          </w:tcPr>
          <w:p w14:paraId="38658660">
            <w:pPr>
              <w:adjustRightInd w:val="0"/>
              <w:snapToGrid w:val="0"/>
              <w:spacing w:after="0" w:line="240" w:lineRule="auto"/>
              <w:jc w:val="center"/>
              <w:rPr>
                <w:rFonts w:hint="default" w:ascii="Times New Roman" w:hAnsi="Times New Roman" w:cs="Times New Roman"/>
                <w:color w:val="auto"/>
                <w:kern w:val="2"/>
                <w:sz w:val="21"/>
                <w:szCs w:val="21"/>
              </w:rPr>
            </w:pPr>
          </w:p>
        </w:tc>
        <w:tc>
          <w:tcPr>
            <w:tcW w:w="673" w:type="pct"/>
            <w:vAlign w:val="center"/>
          </w:tcPr>
          <w:p w14:paraId="4F8265BC">
            <w:pPr>
              <w:pStyle w:val="287"/>
              <w:framePr w:hSpace="0" w:wrap="auto" w:vAnchor="margin" w:hAnchor="text" w:xAlign="left" w:yAlign="inline"/>
              <w:rPr>
                <w:rFonts w:hint="default" w:ascii="Times New Roman" w:hAnsi="Times New Roman" w:cs="Times New Roman"/>
                <w:color w:val="auto"/>
                <w:kern w:val="2"/>
                <w:sz w:val="21"/>
                <w:szCs w:val="21"/>
              </w:rPr>
            </w:pPr>
            <w:r>
              <w:rPr>
                <w:rFonts w:hint="eastAsia" w:cs="Times New Roman"/>
                <w:color w:val="auto"/>
                <w:sz w:val="21"/>
                <w:szCs w:val="21"/>
                <w:lang w:val="en-US" w:eastAsia="zh-CN"/>
              </w:rPr>
              <w:t>13万</w:t>
            </w:r>
          </w:p>
        </w:tc>
        <w:tc>
          <w:tcPr>
            <w:tcW w:w="528" w:type="pct"/>
            <w:vAlign w:val="center"/>
          </w:tcPr>
          <w:p w14:paraId="2616B6CA">
            <w:pPr>
              <w:pStyle w:val="287"/>
              <w:framePr w:hSpace="0" w:wrap="auto" w:vAnchor="margin" w:hAnchor="text" w:xAlign="left" w:yAlign="inline"/>
              <w:rPr>
                <w:rFonts w:hint="default" w:ascii="Times New Roman" w:hAnsi="Times New Roman" w:cs="Times New Roman"/>
                <w:color w:val="auto"/>
                <w:kern w:val="2"/>
                <w:sz w:val="21"/>
                <w:szCs w:val="21"/>
              </w:rPr>
            </w:pPr>
            <w:r>
              <w:rPr>
                <w:rFonts w:hint="eastAsia" w:cs="Times New Roman"/>
                <w:color w:val="auto"/>
                <w:sz w:val="21"/>
                <w:szCs w:val="21"/>
                <w:lang w:val="en-US" w:eastAsia="zh-CN"/>
              </w:rPr>
              <w:t>+13万</w:t>
            </w:r>
          </w:p>
        </w:tc>
      </w:tr>
      <w:tr w14:paraId="5DA997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5" w:hRule="atLeast"/>
          <w:jc w:val="center"/>
        </w:trPr>
        <w:tc>
          <w:tcPr>
            <w:tcW w:w="482" w:type="pct"/>
            <w:vMerge w:val="restart"/>
            <w:vAlign w:val="center"/>
          </w:tcPr>
          <w:p w14:paraId="69F3C001">
            <w:pPr>
              <w:adjustRightInd w:val="0"/>
              <w:snapToGrid w:val="0"/>
              <w:spacing w:after="0" w:line="240" w:lineRule="auto"/>
              <w:jc w:val="center"/>
              <w:rPr>
                <w:rFonts w:hint="eastAsia" w:eastAsia="宋体"/>
                <w:color w:val="auto"/>
                <w:kern w:val="2"/>
                <w:sz w:val="21"/>
                <w:szCs w:val="21"/>
                <w:lang w:eastAsia="zh-CN"/>
              </w:rPr>
            </w:pPr>
            <w:r>
              <w:rPr>
                <w:rFonts w:hint="eastAsia"/>
                <w:color w:val="auto"/>
                <w:kern w:val="2"/>
                <w:sz w:val="21"/>
                <w:szCs w:val="21"/>
                <w:lang w:eastAsia="zh-CN"/>
              </w:rPr>
              <w:t>危险废物</w:t>
            </w:r>
          </w:p>
        </w:tc>
        <w:tc>
          <w:tcPr>
            <w:tcW w:w="626" w:type="pct"/>
            <w:vAlign w:val="center"/>
          </w:tcPr>
          <w:p w14:paraId="3C074B20">
            <w:pPr>
              <w:adjustRightInd w:val="0"/>
              <w:snapToGrid w:val="0"/>
              <w:spacing w:after="0" w:line="240" w:lineRule="auto"/>
              <w:jc w:val="center"/>
              <w:rPr>
                <w:rFonts w:hint="eastAsia"/>
                <w:color w:val="auto"/>
                <w:kern w:val="2"/>
                <w:sz w:val="21"/>
                <w:szCs w:val="21"/>
                <w:lang w:eastAsia="zh-CN"/>
              </w:rPr>
            </w:pPr>
            <w:r>
              <w:rPr>
                <w:rFonts w:hint="eastAsia"/>
                <w:color w:val="auto"/>
                <w:kern w:val="2"/>
                <w:sz w:val="21"/>
                <w:szCs w:val="21"/>
                <w:lang w:eastAsia="zh-CN"/>
              </w:rPr>
              <w:t>废机油</w:t>
            </w:r>
          </w:p>
        </w:tc>
        <w:tc>
          <w:tcPr>
            <w:tcW w:w="534" w:type="pct"/>
            <w:vAlign w:val="center"/>
          </w:tcPr>
          <w:p w14:paraId="350DCDFC">
            <w:pPr>
              <w:adjustRightInd w:val="0"/>
              <w:snapToGrid w:val="0"/>
              <w:spacing w:after="0" w:line="240" w:lineRule="auto"/>
              <w:jc w:val="center"/>
              <w:rPr>
                <w:color w:val="auto"/>
                <w:kern w:val="2"/>
                <w:sz w:val="21"/>
                <w:szCs w:val="21"/>
              </w:rPr>
            </w:pPr>
          </w:p>
        </w:tc>
        <w:tc>
          <w:tcPr>
            <w:tcW w:w="445" w:type="pct"/>
            <w:vAlign w:val="center"/>
          </w:tcPr>
          <w:p w14:paraId="078B0471">
            <w:pPr>
              <w:adjustRightInd w:val="0"/>
              <w:snapToGrid w:val="0"/>
              <w:spacing w:after="0" w:line="240" w:lineRule="auto"/>
              <w:jc w:val="center"/>
              <w:rPr>
                <w:color w:val="auto"/>
                <w:kern w:val="2"/>
                <w:sz w:val="21"/>
                <w:szCs w:val="21"/>
              </w:rPr>
            </w:pPr>
          </w:p>
        </w:tc>
        <w:tc>
          <w:tcPr>
            <w:tcW w:w="593" w:type="pct"/>
            <w:vAlign w:val="center"/>
          </w:tcPr>
          <w:p w14:paraId="12D856A3">
            <w:pPr>
              <w:adjustRightInd w:val="0"/>
              <w:snapToGrid w:val="0"/>
              <w:spacing w:after="0" w:line="240" w:lineRule="auto"/>
              <w:jc w:val="center"/>
              <w:rPr>
                <w:color w:val="auto"/>
                <w:kern w:val="2"/>
                <w:sz w:val="21"/>
                <w:szCs w:val="21"/>
              </w:rPr>
            </w:pPr>
          </w:p>
        </w:tc>
        <w:tc>
          <w:tcPr>
            <w:tcW w:w="544" w:type="pct"/>
            <w:shd w:val="clear" w:color="auto" w:fill="auto"/>
            <w:vAlign w:val="center"/>
          </w:tcPr>
          <w:p w14:paraId="34A43665">
            <w:pPr>
              <w:pStyle w:val="287"/>
              <w:framePr w:hSpace="0" w:wrap="auto" w:vAnchor="margin" w:hAnchor="text" w:xAlign="left" w:yAlign="inline"/>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0.2</w:t>
            </w:r>
          </w:p>
        </w:tc>
        <w:tc>
          <w:tcPr>
            <w:tcW w:w="570" w:type="pct"/>
            <w:vAlign w:val="center"/>
          </w:tcPr>
          <w:p w14:paraId="45149497">
            <w:pPr>
              <w:adjustRightInd w:val="0"/>
              <w:snapToGrid w:val="0"/>
              <w:spacing w:after="0" w:line="240" w:lineRule="auto"/>
              <w:jc w:val="center"/>
              <w:rPr>
                <w:rFonts w:hint="default" w:ascii="Times New Roman" w:hAnsi="Times New Roman" w:cs="Times New Roman"/>
                <w:color w:val="auto"/>
                <w:kern w:val="2"/>
                <w:sz w:val="21"/>
                <w:szCs w:val="21"/>
              </w:rPr>
            </w:pPr>
          </w:p>
        </w:tc>
        <w:tc>
          <w:tcPr>
            <w:tcW w:w="673" w:type="pct"/>
            <w:shd w:val="clear" w:color="auto" w:fill="auto"/>
            <w:vAlign w:val="center"/>
          </w:tcPr>
          <w:p w14:paraId="14ADDC97">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0.2</w:t>
            </w:r>
          </w:p>
        </w:tc>
        <w:tc>
          <w:tcPr>
            <w:tcW w:w="528" w:type="pct"/>
            <w:shd w:val="clear" w:color="auto" w:fill="auto"/>
            <w:vAlign w:val="center"/>
          </w:tcPr>
          <w:p w14:paraId="5F09FD6B">
            <w:pPr>
              <w:pStyle w:val="287"/>
              <w:framePr w:hSpace="0" w:wrap="auto" w:vAnchor="margin" w:hAnchor="text" w:xAlign="left" w:yAlign="inline"/>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+0.2</w:t>
            </w:r>
          </w:p>
        </w:tc>
      </w:tr>
      <w:tr w14:paraId="6240FF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6" w:hRule="atLeast"/>
          <w:jc w:val="center"/>
        </w:trPr>
        <w:tc>
          <w:tcPr>
            <w:tcW w:w="482" w:type="pct"/>
            <w:vMerge w:val="continue"/>
            <w:vAlign w:val="center"/>
          </w:tcPr>
          <w:p w14:paraId="69521326">
            <w:pPr>
              <w:adjustRightInd w:val="0"/>
              <w:snapToGrid w:val="0"/>
              <w:spacing w:after="0" w:line="240" w:lineRule="auto"/>
              <w:jc w:val="center"/>
              <w:rPr>
                <w:rFonts w:hint="eastAsia"/>
                <w:color w:val="auto"/>
                <w:kern w:val="2"/>
                <w:sz w:val="21"/>
                <w:szCs w:val="21"/>
                <w:lang w:eastAsia="zh-CN"/>
              </w:rPr>
            </w:pPr>
          </w:p>
        </w:tc>
        <w:tc>
          <w:tcPr>
            <w:tcW w:w="626" w:type="pct"/>
            <w:vAlign w:val="center"/>
          </w:tcPr>
          <w:p w14:paraId="6BBBA833">
            <w:pPr>
              <w:adjustRightInd w:val="0"/>
              <w:snapToGrid w:val="0"/>
              <w:spacing w:after="0" w:line="240" w:lineRule="auto"/>
              <w:jc w:val="center"/>
              <w:rPr>
                <w:rFonts w:hint="eastAsia"/>
                <w:color w:val="auto"/>
                <w:kern w:val="2"/>
                <w:sz w:val="21"/>
                <w:szCs w:val="21"/>
                <w:lang w:eastAsia="zh-CN"/>
              </w:rPr>
            </w:pPr>
            <w:r>
              <w:rPr>
                <w:rFonts w:hint="eastAsia"/>
                <w:color w:val="auto"/>
                <w:kern w:val="2"/>
                <w:sz w:val="21"/>
                <w:szCs w:val="21"/>
                <w:lang w:eastAsia="zh-CN"/>
              </w:rPr>
              <w:t>废机油桶</w:t>
            </w:r>
          </w:p>
        </w:tc>
        <w:tc>
          <w:tcPr>
            <w:tcW w:w="534" w:type="pct"/>
            <w:vAlign w:val="center"/>
          </w:tcPr>
          <w:p w14:paraId="578EA66D">
            <w:pPr>
              <w:adjustRightInd w:val="0"/>
              <w:snapToGrid w:val="0"/>
              <w:spacing w:after="0" w:line="240" w:lineRule="auto"/>
              <w:jc w:val="center"/>
              <w:rPr>
                <w:color w:val="auto"/>
                <w:kern w:val="2"/>
                <w:sz w:val="21"/>
                <w:szCs w:val="21"/>
              </w:rPr>
            </w:pPr>
          </w:p>
        </w:tc>
        <w:tc>
          <w:tcPr>
            <w:tcW w:w="445" w:type="pct"/>
            <w:vAlign w:val="center"/>
          </w:tcPr>
          <w:p w14:paraId="68ABE1C8">
            <w:pPr>
              <w:adjustRightInd w:val="0"/>
              <w:snapToGrid w:val="0"/>
              <w:spacing w:after="0" w:line="240" w:lineRule="auto"/>
              <w:jc w:val="center"/>
              <w:rPr>
                <w:color w:val="auto"/>
                <w:kern w:val="2"/>
                <w:sz w:val="21"/>
                <w:szCs w:val="21"/>
              </w:rPr>
            </w:pPr>
          </w:p>
        </w:tc>
        <w:tc>
          <w:tcPr>
            <w:tcW w:w="593" w:type="pct"/>
            <w:vAlign w:val="center"/>
          </w:tcPr>
          <w:p w14:paraId="7C44E40B">
            <w:pPr>
              <w:adjustRightInd w:val="0"/>
              <w:snapToGrid w:val="0"/>
              <w:spacing w:after="0" w:line="240" w:lineRule="auto"/>
              <w:jc w:val="center"/>
              <w:rPr>
                <w:color w:val="auto"/>
                <w:kern w:val="2"/>
                <w:sz w:val="21"/>
                <w:szCs w:val="21"/>
              </w:rPr>
            </w:pPr>
          </w:p>
        </w:tc>
        <w:tc>
          <w:tcPr>
            <w:tcW w:w="544" w:type="pct"/>
            <w:shd w:val="clear" w:color="auto" w:fill="auto"/>
            <w:vAlign w:val="center"/>
          </w:tcPr>
          <w:p w14:paraId="1D16D77F">
            <w:pPr>
              <w:pStyle w:val="287"/>
              <w:framePr w:hSpace="0" w:wrap="auto" w:vAnchor="margin" w:hAnchor="text" w:xAlign="left" w:yAlign="inline"/>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0.1</w:t>
            </w:r>
          </w:p>
        </w:tc>
        <w:tc>
          <w:tcPr>
            <w:tcW w:w="570" w:type="pct"/>
            <w:vAlign w:val="center"/>
          </w:tcPr>
          <w:p w14:paraId="4626182C">
            <w:pPr>
              <w:adjustRightInd w:val="0"/>
              <w:snapToGrid w:val="0"/>
              <w:spacing w:after="0" w:line="240" w:lineRule="auto"/>
              <w:jc w:val="center"/>
              <w:rPr>
                <w:rFonts w:hint="default" w:ascii="Times New Roman" w:hAnsi="Times New Roman" w:cs="Times New Roman"/>
                <w:color w:val="auto"/>
                <w:kern w:val="2"/>
                <w:sz w:val="21"/>
                <w:szCs w:val="21"/>
              </w:rPr>
            </w:pPr>
          </w:p>
        </w:tc>
        <w:tc>
          <w:tcPr>
            <w:tcW w:w="673" w:type="pct"/>
            <w:shd w:val="clear" w:color="auto" w:fill="auto"/>
            <w:vAlign w:val="center"/>
          </w:tcPr>
          <w:p w14:paraId="42D437AA">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0.1</w:t>
            </w:r>
          </w:p>
        </w:tc>
        <w:tc>
          <w:tcPr>
            <w:tcW w:w="528" w:type="pct"/>
            <w:shd w:val="clear" w:color="auto" w:fill="auto"/>
            <w:vAlign w:val="center"/>
          </w:tcPr>
          <w:p w14:paraId="17018D62">
            <w:pPr>
              <w:pStyle w:val="287"/>
              <w:framePr w:hSpace="0" w:wrap="auto" w:vAnchor="margin" w:hAnchor="text" w:xAlign="left" w:yAlign="inline"/>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+0.1</w:t>
            </w:r>
          </w:p>
        </w:tc>
      </w:tr>
      <w:tr w14:paraId="161356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2" w:hRule="atLeast"/>
          <w:jc w:val="center"/>
        </w:trPr>
        <w:tc>
          <w:tcPr>
            <w:tcW w:w="482" w:type="pct"/>
            <w:vMerge w:val="continue"/>
            <w:vAlign w:val="center"/>
          </w:tcPr>
          <w:p w14:paraId="5D8D8667">
            <w:pPr>
              <w:adjustRightInd w:val="0"/>
              <w:snapToGrid w:val="0"/>
              <w:spacing w:after="0" w:line="240" w:lineRule="auto"/>
              <w:jc w:val="center"/>
              <w:rPr>
                <w:rFonts w:hint="eastAsia"/>
                <w:color w:val="auto"/>
                <w:kern w:val="2"/>
                <w:sz w:val="21"/>
                <w:szCs w:val="21"/>
                <w:lang w:eastAsia="zh-CN"/>
              </w:rPr>
            </w:pPr>
          </w:p>
        </w:tc>
        <w:tc>
          <w:tcPr>
            <w:tcW w:w="626" w:type="pct"/>
            <w:vAlign w:val="center"/>
          </w:tcPr>
          <w:p w14:paraId="5323B470">
            <w:pPr>
              <w:adjustRightInd w:val="0"/>
              <w:snapToGrid w:val="0"/>
              <w:spacing w:after="0" w:line="240" w:lineRule="auto"/>
              <w:jc w:val="center"/>
              <w:rPr>
                <w:rFonts w:hint="eastAsia"/>
                <w:color w:val="auto"/>
                <w:kern w:val="2"/>
                <w:sz w:val="21"/>
                <w:szCs w:val="21"/>
                <w:lang w:eastAsia="zh-CN"/>
              </w:rPr>
            </w:pPr>
            <w:r>
              <w:rPr>
                <w:rFonts w:hint="eastAsia"/>
                <w:color w:val="auto"/>
                <w:kern w:val="2"/>
                <w:sz w:val="21"/>
                <w:szCs w:val="21"/>
                <w:lang w:eastAsia="zh-CN"/>
              </w:rPr>
              <w:t>废含油抹布手套</w:t>
            </w:r>
          </w:p>
        </w:tc>
        <w:tc>
          <w:tcPr>
            <w:tcW w:w="534" w:type="pct"/>
            <w:vAlign w:val="center"/>
          </w:tcPr>
          <w:p w14:paraId="65B5F7E1">
            <w:pPr>
              <w:adjustRightInd w:val="0"/>
              <w:snapToGrid w:val="0"/>
              <w:spacing w:after="0" w:line="240" w:lineRule="auto"/>
              <w:jc w:val="center"/>
              <w:rPr>
                <w:color w:val="auto"/>
                <w:kern w:val="2"/>
                <w:sz w:val="21"/>
                <w:szCs w:val="21"/>
              </w:rPr>
            </w:pPr>
          </w:p>
        </w:tc>
        <w:tc>
          <w:tcPr>
            <w:tcW w:w="445" w:type="pct"/>
            <w:vAlign w:val="center"/>
          </w:tcPr>
          <w:p w14:paraId="1A8FF220">
            <w:pPr>
              <w:adjustRightInd w:val="0"/>
              <w:snapToGrid w:val="0"/>
              <w:spacing w:after="0" w:line="240" w:lineRule="auto"/>
              <w:jc w:val="center"/>
              <w:rPr>
                <w:color w:val="auto"/>
                <w:kern w:val="2"/>
                <w:sz w:val="21"/>
                <w:szCs w:val="21"/>
              </w:rPr>
            </w:pPr>
          </w:p>
        </w:tc>
        <w:tc>
          <w:tcPr>
            <w:tcW w:w="593" w:type="pct"/>
            <w:vAlign w:val="center"/>
          </w:tcPr>
          <w:p w14:paraId="02ADFAE4">
            <w:pPr>
              <w:adjustRightInd w:val="0"/>
              <w:snapToGrid w:val="0"/>
              <w:spacing w:after="0" w:line="240" w:lineRule="auto"/>
              <w:jc w:val="center"/>
              <w:rPr>
                <w:color w:val="auto"/>
                <w:kern w:val="2"/>
                <w:sz w:val="21"/>
                <w:szCs w:val="21"/>
              </w:rPr>
            </w:pPr>
          </w:p>
        </w:tc>
        <w:tc>
          <w:tcPr>
            <w:tcW w:w="544" w:type="pct"/>
            <w:shd w:val="clear" w:color="auto" w:fill="auto"/>
            <w:vAlign w:val="center"/>
          </w:tcPr>
          <w:p w14:paraId="10750F87">
            <w:pPr>
              <w:pStyle w:val="287"/>
              <w:framePr w:hSpace="0" w:wrap="auto" w:vAnchor="margin" w:hAnchor="text" w:xAlign="left" w:yAlign="inline"/>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0.05</w:t>
            </w:r>
          </w:p>
        </w:tc>
        <w:tc>
          <w:tcPr>
            <w:tcW w:w="570" w:type="pct"/>
            <w:vAlign w:val="center"/>
          </w:tcPr>
          <w:p w14:paraId="3A097B81">
            <w:pPr>
              <w:adjustRightInd w:val="0"/>
              <w:snapToGrid w:val="0"/>
              <w:spacing w:after="0" w:line="240" w:lineRule="auto"/>
              <w:jc w:val="center"/>
              <w:rPr>
                <w:rFonts w:hint="default" w:ascii="Times New Roman" w:hAnsi="Times New Roman" w:cs="Times New Roman"/>
                <w:color w:val="auto"/>
                <w:kern w:val="2"/>
                <w:sz w:val="21"/>
                <w:szCs w:val="21"/>
              </w:rPr>
            </w:pPr>
          </w:p>
        </w:tc>
        <w:tc>
          <w:tcPr>
            <w:tcW w:w="673" w:type="pct"/>
            <w:shd w:val="clear" w:color="auto" w:fill="auto"/>
            <w:vAlign w:val="center"/>
          </w:tcPr>
          <w:p w14:paraId="7BA3D6D4">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0.05</w:t>
            </w:r>
          </w:p>
        </w:tc>
        <w:tc>
          <w:tcPr>
            <w:tcW w:w="528" w:type="pct"/>
            <w:shd w:val="clear" w:color="auto" w:fill="auto"/>
            <w:vAlign w:val="center"/>
          </w:tcPr>
          <w:p w14:paraId="6C785A23">
            <w:pPr>
              <w:pStyle w:val="287"/>
              <w:framePr w:hSpace="0" w:wrap="auto" w:vAnchor="margin" w:hAnchor="text" w:xAlign="left" w:yAlign="inline"/>
              <w:rPr>
                <w:rFonts w:hint="eastAsia"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+0.05</w:t>
            </w:r>
          </w:p>
        </w:tc>
      </w:tr>
      <w:tr w14:paraId="0DD2DB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2" w:type="pct"/>
            <w:vAlign w:val="center"/>
          </w:tcPr>
          <w:p w14:paraId="36099B35">
            <w:pPr>
              <w:adjustRightInd w:val="0"/>
              <w:snapToGrid w:val="0"/>
              <w:spacing w:after="0" w:line="240" w:lineRule="auto"/>
              <w:jc w:val="center"/>
              <w:rPr>
                <w:color w:val="auto"/>
                <w:kern w:val="2"/>
                <w:sz w:val="21"/>
                <w:szCs w:val="21"/>
              </w:rPr>
            </w:pPr>
            <w:r>
              <w:rPr>
                <w:rFonts w:hint="eastAsia"/>
                <w:color w:val="auto"/>
                <w:kern w:val="2"/>
                <w:sz w:val="21"/>
                <w:szCs w:val="21"/>
                <w:lang w:eastAsia="zh-CN"/>
              </w:rPr>
              <w:t>生活垃圾</w:t>
            </w:r>
          </w:p>
        </w:tc>
        <w:tc>
          <w:tcPr>
            <w:tcW w:w="626" w:type="pct"/>
            <w:vAlign w:val="center"/>
          </w:tcPr>
          <w:p w14:paraId="6F1DC652">
            <w:pPr>
              <w:adjustRightInd w:val="0"/>
              <w:snapToGrid w:val="0"/>
              <w:spacing w:after="0" w:line="240" w:lineRule="auto"/>
              <w:jc w:val="center"/>
              <w:rPr>
                <w:rFonts w:hint="eastAsia" w:eastAsia="宋体"/>
                <w:color w:val="auto"/>
                <w:kern w:val="2"/>
                <w:sz w:val="21"/>
                <w:szCs w:val="21"/>
                <w:lang w:eastAsia="zh-CN"/>
              </w:rPr>
            </w:pPr>
            <w:r>
              <w:rPr>
                <w:rFonts w:hint="eastAsia"/>
                <w:color w:val="auto"/>
                <w:kern w:val="2"/>
                <w:sz w:val="21"/>
                <w:szCs w:val="21"/>
                <w:lang w:eastAsia="zh-CN"/>
              </w:rPr>
              <w:t>生活垃圾</w:t>
            </w:r>
          </w:p>
        </w:tc>
        <w:tc>
          <w:tcPr>
            <w:tcW w:w="534" w:type="pct"/>
            <w:vAlign w:val="center"/>
          </w:tcPr>
          <w:p w14:paraId="5D43EE02">
            <w:pPr>
              <w:adjustRightInd w:val="0"/>
              <w:snapToGrid w:val="0"/>
              <w:spacing w:after="0" w:line="240" w:lineRule="auto"/>
              <w:jc w:val="center"/>
              <w:rPr>
                <w:color w:val="auto"/>
                <w:kern w:val="2"/>
                <w:sz w:val="21"/>
                <w:szCs w:val="21"/>
              </w:rPr>
            </w:pPr>
          </w:p>
        </w:tc>
        <w:tc>
          <w:tcPr>
            <w:tcW w:w="445" w:type="pct"/>
            <w:vAlign w:val="center"/>
          </w:tcPr>
          <w:p w14:paraId="54B16B13">
            <w:pPr>
              <w:adjustRightInd w:val="0"/>
              <w:snapToGrid w:val="0"/>
              <w:spacing w:after="0" w:line="240" w:lineRule="auto"/>
              <w:jc w:val="center"/>
              <w:rPr>
                <w:color w:val="auto"/>
                <w:kern w:val="2"/>
                <w:sz w:val="21"/>
                <w:szCs w:val="21"/>
              </w:rPr>
            </w:pPr>
          </w:p>
        </w:tc>
        <w:tc>
          <w:tcPr>
            <w:tcW w:w="593" w:type="pct"/>
            <w:vAlign w:val="center"/>
          </w:tcPr>
          <w:p w14:paraId="112F7455">
            <w:pPr>
              <w:adjustRightInd w:val="0"/>
              <w:snapToGrid w:val="0"/>
              <w:spacing w:after="0" w:line="240" w:lineRule="auto"/>
              <w:jc w:val="center"/>
              <w:rPr>
                <w:color w:val="auto"/>
                <w:kern w:val="2"/>
                <w:sz w:val="21"/>
                <w:szCs w:val="21"/>
              </w:rPr>
            </w:pPr>
          </w:p>
        </w:tc>
        <w:tc>
          <w:tcPr>
            <w:tcW w:w="544" w:type="pct"/>
            <w:vAlign w:val="center"/>
          </w:tcPr>
          <w:p w14:paraId="6E7B90CE">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rPr>
            </w:pPr>
            <w:r>
              <w:rPr>
                <w:rFonts w:hint="default" w:ascii="Times New Roman" w:hAnsi="Times New Roman" w:cs="Times New Roman"/>
                <w:color w:val="auto"/>
                <w:sz w:val="21"/>
                <w:szCs w:val="21"/>
                <w:lang w:val="en-US" w:eastAsia="zh-CN"/>
              </w:rPr>
              <w:t>3</w:t>
            </w:r>
            <w:r>
              <w:rPr>
                <w:rFonts w:hint="eastAsia" w:cs="Times New Roman"/>
                <w:color w:val="auto"/>
                <w:sz w:val="21"/>
                <w:szCs w:val="21"/>
                <w:lang w:val="en-US" w:eastAsia="zh-CN"/>
              </w:rPr>
              <w:t>.9</w:t>
            </w:r>
          </w:p>
        </w:tc>
        <w:tc>
          <w:tcPr>
            <w:tcW w:w="570" w:type="pct"/>
            <w:vAlign w:val="center"/>
          </w:tcPr>
          <w:p w14:paraId="06718D73">
            <w:pPr>
              <w:adjustRightInd w:val="0"/>
              <w:snapToGrid w:val="0"/>
              <w:spacing w:after="0" w:line="240" w:lineRule="auto"/>
              <w:jc w:val="center"/>
              <w:rPr>
                <w:rFonts w:hint="default" w:ascii="Times New Roman" w:hAnsi="Times New Roman" w:cs="Times New Roman"/>
                <w:color w:val="auto"/>
                <w:kern w:val="2"/>
                <w:sz w:val="21"/>
                <w:szCs w:val="21"/>
              </w:rPr>
            </w:pPr>
          </w:p>
        </w:tc>
        <w:tc>
          <w:tcPr>
            <w:tcW w:w="673" w:type="pct"/>
            <w:shd w:val="clear" w:color="auto" w:fill="auto"/>
            <w:vAlign w:val="center"/>
          </w:tcPr>
          <w:p w14:paraId="4C22CA30">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3</w:t>
            </w:r>
            <w:r>
              <w:rPr>
                <w:rFonts w:hint="eastAsia" w:cs="Times New Roman"/>
                <w:color w:val="auto"/>
                <w:sz w:val="21"/>
                <w:szCs w:val="21"/>
                <w:lang w:val="en-US" w:eastAsia="zh-CN"/>
              </w:rPr>
              <w:t>.9</w:t>
            </w:r>
          </w:p>
        </w:tc>
        <w:tc>
          <w:tcPr>
            <w:tcW w:w="528" w:type="pct"/>
            <w:shd w:val="clear" w:color="auto" w:fill="auto"/>
            <w:vAlign w:val="center"/>
          </w:tcPr>
          <w:p w14:paraId="600C9B16">
            <w:pPr>
              <w:pStyle w:val="287"/>
              <w:framePr w:hSpace="0" w:wrap="auto" w:vAnchor="margin" w:hAnchor="text" w:xAlign="left" w:yAlign="inline"/>
              <w:rPr>
                <w:rFonts w:hint="default" w:ascii="Times New Roman" w:hAnsi="Times New Roman" w:eastAsia="宋体" w:cs="Times New Roman"/>
                <w:color w:val="auto"/>
                <w:kern w:val="2"/>
                <w:sz w:val="21"/>
                <w:szCs w:val="21"/>
                <w:lang w:val="en-US" w:eastAsia="zh-CN" w:bidi="ar-SA"/>
              </w:rPr>
            </w:pPr>
            <w:r>
              <w:rPr>
                <w:rFonts w:hint="eastAsia" w:cs="Times New Roman"/>
                <w:color w:val="auto"/>
                <w:sz w:val="21"/>
                <w:szCs w:val="21"/>
                <w:lang w:val="en-US" w:eastAsia="zh-CN"/>
              </w:rPr>
              <w:t>+</w:t>
            </w:r>
            <w:r>
              <w:rPr>
                <w:rFonts w:hint="default" w:ascii="Times New Roman" w:hAnsi="Times New Roman" w:cs="Times New Roman"/>
                <w:color w:val="auto"/>
                <w:sz w:val="21"/>
                <w:szCs w:val="21"/>
                <w:lang w:val="en-US" w:eastAsia="zh-CN"/>
              </w:rPr>
              <w:t>3</w:t>
            </w:r>
            <w:r>
              <w:rPr>
                <w:rFonts w:hint="eastAsia" w:cs="Times New Roman"/>
                <w:color w:val="auto"/>
                <w:sz w:val="21"/>
                <w:szCs w:val="21"/>
                <w:lang w:val="en-US" w:eastAsia="zh-CN"/>
              </w:rPr>
              <w:t>.9</w:t>
            </w:r>
          </w:p>
        </w:tc>
      </w:tr>
    </w:tbl>
    <w:p w14:paraId="4528ACB3">
      <w:pPr>
        <w:pStyle w:val="77"/>
        <w:snapToGrid/>
        <w:spacing w:beforeLines="0" w:after="0" w:afterLines="0" w:line="440" w:lineRule="exact"/>
        <w:jc w:val="left"/>
        <w:rPr>
          <w:color w:val="auto"/>
          <w:lang w:val="en-US"/>
        </w:rPr>
      </w:pPr>
      <w:r>
        <w:rPr>
          <w:rFonts w:ascii="Times New Roman"/>
          <w:snapToGrid w:val="0"/>
          <w:color w:val="auto"/>
          <w:kern w:val="21"/>
        </w:rPr>
        <w:t>注</w:t>
      </w:r>
      <w:r>
        <w:rPr>
          <w:rFonts w:ascii="Times New Roman"/>
          <w:snapToGrid w:val="0"/>
          <w:color w:val="auto"/>
          <w:kern w:val="21"/>
          <w:lang w:val="en-US"/>
        </w:rPr>
        <w:t>：</w:t>
      </w:r>
      <w:r>
        <w:rPr>
          <w:rFonts w:ascii="Times New Roman"/>
          <w:snapToGrid w:val="0"/>
          <w:color w:val="auto"/>
          <w:kern w:val="21"/>
        </w:rPr>
        <w:fldChar w:fldCharType="begin"/>
      </w:r>
      <w:r>
        <w:rPr>
          <w:rFonts w:ascii="Times New Roman"/>
          <w:snapToGrid w:val="0"/>
          <w:color w:val="auto"/>
          <w:kern w:val="21"/>
          <w:lang w:val="en-US"/>
        </w:rPr>
        <w:instrText xml:space="preserve"> = 6 \* GB3 \* MERGEFORMAT </w:instrText>
      </w:r>
      <w:r>
        <w:rPr>
          <w:rFonts w:ascii="Times New Roman"/>
          <w:snapToGrid w:val="0"/>
          <w:color w:val="auto"/>
          <w:kern w:val="21"/>
        </w:rPr>
        <w:fldChar w:fldCharType="separate"/>
      </w:r>
      <w:r>
        <w:rPr>
          <w:rFonts w:hint="eastAsia" w:hAnsi="宋体" w:cs="宋体"/>
          <w:color w:val="auto"/>
          <w:lang w:val="en-US"/>
        </w:rPr>
        <w:t>⑥</w:t>
      </w:r>
      <w:r>
        <w:rPr>
          <w:rFonts w:ascii="Times New Roman"/>
          <w:snapToGrid w:val="0"/>
          <w:color w:val="auto"/>
          <w:kern w:val="21"/>
        </w:rPr>
        <w:fldChar w:fldCharType="end"/>
      </w:r>
      <w:r>
        <w:rPr>
          <w:rFonts w:ascii="Times New Roman"/>
          <w:snapToGrid w:val="0"/>
          <w:color w:val="auto"/>
          <w:kern w:val="21"/>
          <w:lang w:val="en-US"/>
        </w:rPr>
        <w:t>=</w:t>
      </w:r>
      <w:r>
        <w:rPr>
          <w:rFonts w:ascii="Times New Roman"/>
          <w:snapToGrid w:val="0"/>
          <w:color w:val="auto"/>
          <w:kern w:val="21"/>
        </w:rPr>
        <w:fldChar w:fldCharType="begin"/>
      </w:r>
      <w:r>
        <w:rPr>
          <w:rFonts w:ascii="Times New Roman"/>
          <w:snapToGrid w:val="0"/>
          <w:color w:val="auto"/>
          <w:kern w:val="21"/>
          <w:lang w:val="en-US"/>
        </w:rPr>
        <w:instrText xml:space="preserve"> = 1 \* GB3 \* MERGEFORMAT </w:instrText>
      </w:r>
      <w:r>
        <w:rPr>
          <w:rFonts w:ascii="Times New Roman"/>
          <w:snapToGrid w:val="0"/>
          <w:color w:val="auto"/>
          <w:kern w:val="21"/>
        </w:rPr>
        <w:fldChar w:fldCharType="separate"/>
      </w:r>
      <w:r>
        <w:rPr>
          <w:rFonts w:hint="eastAsia" w:hAnsi="宋体" w:cs="宋体"/>
          <w:color w:val="auto"/>
          <w:lang w:val="en-US"/>
        </w:rPr>
        <w:t>①</w:t>
      </w:r>
      <w:r>
        <w:rPr>
          <w:rFonts w:ascii="Times New Roman"/>
          <w:snapToGrid w:val="0"/>
          <w:color w:val="auto"/>
          <w:kern w:val="21"/>
        </w:rPr>
        <w:fldChar w:fldCharType="end"/>
      </w:r>
      <w:r>
        <w:rPr>
          <w:rFonts w:ascii="Times New Roman"/>
          <w:snapToGrid w:val="0"/>
          <w:color w:val="auto"/>
          <w:kern w:val="21"/>
          <w:lang w:val="en-US"/>
        </w:rPr>
        <w:t>+</w:t>
      </w:r>
      <w:r>
        <w:rPr>
          <w:rFonts w:ascii="Times New Roman"/>
          <w:snapToGrid w:val="0"/>
          <w:color w:val="auto"/>
          <w:kern w:val="21"/>
        </w:rPr>
        <w:fldChar w:fldCharType="begin"/>
      </w:r>
      <w:r>
        <w:rPr>
          <w:rFonts w:ascii="Times New Roman"/>
          <w:snapToGrid w:val="0"/>
          <w:color w:val="auto"/>
          <w:kern w:val="21"/>
          <w:lang w:val="en-US"/>
        </w:rPr>
        <w:instrText xml:space="preserve"> = 3 \* GB3 \* MERGEFORMAT </w:instrText>
      </w:r>
      <w:r>
        <w:rPr>
          <w:rFonts w:ascii="Times New Roman"/>
          <w:snapToGrid w:val="0"/>
          <w:color w:val="auto"/>
          <w:kern w:val="21"/>
        </w:rPr>
        <w:fldChar w:fldCharType="separate"/>
      </w:r>
      <w:r>
        <w:rPr>
          <w:rFonts w:hint="eastAsia" w:hAnsi="宋体" w:cs="宋体"/>
          <w:color w:val="auto"/>
          <w:lang w:val="en-US"/>
        </w:rPr>
        <w:t>③</w:t>
      </w:r>
      <w:r>
        <w:rPr>
          <w:rFonts w:ascii="Times New Roman"/>
          <w:snapToGrid w:val="0"/>
          <w:color w:val="auto"/>
          <w:kern w:val="21"/>
        </w:rPr>
        <w:fldChar w:fldCharType="end"/>
      </w:r>
      <w:r>
        <w:rPr>
          <w:rFonts w:ascii="Times New Roman"/>
          <w:snapToGrid w:val="0"/>
          <w:color w:val="auto"/>
          <w:kern w:val="21"/>
          <w:lang w:val="en-US"/>
        </w:rPr>
        <w:t>+</w:t>
      </w:r>
      <w:r>
        <w:rPr>
          <w:rFonts w:ascii="Times New Roman"/>
          <w:snapToGrid w:val="0"/>
          <w:color w:val="auto"/>
          <w:kern w:val="21"/>
        </w:rPr>
        <w:fldChar w:fldCharType="begin"/>
      </w:r>
      <w:r>
        <w:rPr>
          <w:rFonts w:ascii="Times New Roman"/>
          <w:snapToGrid w:val="0"/>
          <w:color w:val="auto"/>
          <w:kern w:val="21"/>
          <w:lang w:val="en-US"/>
        </w:rPr>
        <w:instrText xml:space="preserve"> = 4 \* GB3 \* MERGEFORMAT </w:instrText>
      </w:r>
      <w:r>
        <w:rPr>
          <w:rFonts w:ascii="Times New Roman"/>
          <w:snapToGrid w:val="0"/>
          <w:color w:val="auto"/>
          <w:kern w:val="21"/>
        </w:rPr>
        <w:fldChar w:fldCharType="separate"/>
      </w:r>
      <w:r>
        <w:rPr>
          <w:rFonts w:hint="eastAsia" w:hAnsi="宋体" w:cs="宋体"/>
          <w:color w:val="auto"/>
          <w:lang w:val="en-US"/>
        </w:rPr>
        <w:t>④</w:t>
      </w:r>
      <w:r>
        <w:rPr>
          <w:rFonts w:ascii="Times New Roman"/>
          <w:snapToGrid w:val="0"/>
          <w:color w:val="auto"/>
          <w:kern w:val="21"/>
        </w:rPr>
        <w:fldChar w:fldCharType="end"/>
      </w:r>
      <w:r>
        <w:rPr>
          <w:rFonts w:ascii="Times New Roman"/>
          <w:snapToGrid w:val="0"/>
          <w:color w:val="auto"/>
          <w:kern w:val="21"/>
          <w:lang w:val="en-US"/>
        </w:rPr>
        <w:t>-</w:t>
      </w:r>
      <w:r>
        <w:rPr>
          <w:rFonts w:ascii="Times New Roman"/>
          <w:snapToGrid w:val="0"/>
          <w:color w:val="auto"/>
          <w:kern w:val="21"/>
        </w:rPr>
        <w:fldChar w:fldCharType="begin"/>
      </w:r>
      <w:r>
        <w:rPr>
          <w:rFonts w:ascii="Times New Roman"/>
          <w:snapToGrid w:val="0"/>
          <w:color w:val="auto"/>
          <w:kern w:val="21"/>
          <w:lang w:val="en-US"/>
        </w:rPr>
        <w:instrText xml:space="preserve"> = 5 \* GB3 \* MERGEFORMAT </w:instrText>
      </w:r>
      <w:r>
        <w:rPr>
          <w:rFonts w:ascii="Times New Roman"/>
          <w:snapToGrid w:val="0"/>
          <w:color w:val="auto"/>
          <w:kern w:val="21"/>
        </w:rPr>
        <w:fldChar w:fldCharType="separate"/>
      </w:r>
      <w:r>
        <w:rPr>
          <w:rFonts w:hint="eastAsia" w:hAnsi="宋体" w:cs="宋体"/>
          <w:color w:val="auto"/>
          <w:lang w:val="en-US"/>
        </w:rPr>
        <w:t>⑤</w:t>
      </w:r>
      <w:r>
        <w:rPr>
          <w:rFonts w:ascii="Times New Roman"/>
          <w:snapToGrid w:val="0"/>
          <w:color w:val="auto"/>
          <w:kern w:val="21"/>
        </w:rPr>
        <w:fldChar w:fldCharType="end"/>
      </w:r>
      <w:r>
        <w:rPr>
          <w:rFonts w:ascii="Times New Roman"/>
          <w:snapToGrid w:val="0"/>
          <w:color w:val="auto"/>
          <w:kern w:val="21"/>
          <w:lang w:val="en-US"/>
        </w:rPr>
        <w:t>；</w:t>
      </w:r>
      <w:r>
        <w:rPr>
          <w:rFonts w:ascii="Times New Roman"/>
          <w:snapToGrid w:val="0"/>
          <w:color w:val="auto"/>
          <w:kern w:val="21"/>
        </w:rPr>
        <w:fldChar w:fldCharType="begin"/>
      </w:r>
      <w:r>
        <w:rPr>
          <w:rFonts w:ascii="Times New Roman"/>
          <w:snapToGrid w:val="0"/>
          <w:color w:val="auto"/>
          <w:kern w:val="21"/>
          <w:lang w:val="en-US"/>
        </w:rPr>
        <w:instrText xml:space="preserve"> = 7 \* GB3 \* MERGEFORMAT </w:instrText>
      </w:r>
      <w:r>
        <w:rPr>
          <w:rFonts w:ascii="Times New Roman"/>
          <w:snapToGrid w:val="0"/>
          <w:color w:val="auto"/>
          <w:kern w:val="21"/>
        </w:rPr>
        <w:fldChar w:fldCharType="separate"/>
      </w:r>
      <w:r>
        <w:rPr>
          <w:rFonts w:hint="eastAsia" w:hAnsi="宋体" w:cs="宋体"/>
          <w:color w:val="auto"/>
          <w:lang w:val="en-US"/>
        </w:rPr>
        <w:t>⑦</w:t>
      </w:r>
      <w:r>
        <w:rPr>
          <w:rFonts w:ascii="Times New Roman"/>
          <w:snapToGrid w:val="0"/>
          <w:color w:val="auto"/>
          <w:kern w:val="21"/>
        </w:rPr>
        <w:fldChar w:fldCharType="end"/>
      </w:r>
      <w:r>
        <w:rPr>
          <w:rFonts w:ascii="Times New Roman"/>
          <w:snapToGrid w:val="0"/>
          <w:color w:val="auto"/>
          <w:kern w:val="21"/>
          <w:lang w:val="en-US"/>
        </w:rPr>
        <w:t>=</w:t>
      </w:r>
      <w:r>
        <w:rPr>
          <w:rFonts w:ascii="Times New Roman"/>
          <w:snapToGrid w:val="0"/>
          <w:color w:val="auto"/>
          <w:kern w:val="21"/>
        </w:rPr>
        <w:fldChar w:fldCharType="begin"/>
      </w:r>
      <w:r>
        <w:rPr>
          <w:rFonts w:ascii="Times New Roman"/>
          <w:snapToGrid w:val="0"/>
          <w:color w:val="auto"/>
          <w:kern w:val="21"/>
          <w:lang w:val="en-US"/>
        </w:rPr>
        <w:instrText xml:space="preserve"> = 6 \* GB3 \* MERGEFORMAT </w:instrText>
      </w:r>
      <w:r>
        <w:rPr>
          <w:rFonts w:ascii="Times New Roman"/>
          <w:snapToGrid w:val="0"/>
          <w:color w:val="auto"/>
          <w:kern w:val="21"/>
        </w:rPr>
        <w:fldChar w:fldCharType="separate"/>
      </w:r>
      <w:r>
        <w:rPr>
          <w:rFonts w:hint="eastAsia" w:hAnsi="宋体" w:cs="宋体"/>
          <w:color w:val="auto"/>
          <w:lang w:val="en-US"/>
        </w:rPr>
        <w:t>⑥</w:t>
      </w:r>
      <w:r>
        <w:rPr>
          <w:rFonts w:ascii="Times New Roman"/>
          <w:snapToGrid w:val="0"/>
          <w:color w:val="auto"/>
          <w:kern w:val="21"/>
        </w:rPr>
        <w:fldChar w:fldCharType="end"/>
      </w:r>
      <w:r>
        <w:rPr>
          <w:rFonts w:ascii="Times New Roman"/>
          <w:snapToGrid w:val="0"/>
          <w:color w:val="auto"/>
          <w:kern w:val="21"/>
          <w:lang w:val="en-US"/>
        </w:rPr>
        <w:t>-</w:t>
      </w:r>
      <w:r>
        <w:rPr>
          <w:rFonts w:ascii="Times New Roman"/>
          <w:snapToGrid w:val="0"/>
          <w:color w:val="auto"/>
          <w:kern w:val="21"/>
        </w:rPr>
        <w:fldChar w:fldCharType="begin"/>
      </w:r>
      <w:r>
        <w:rPr>
          <w:rFonts w:ascii="Times New Roman"/>
          <w:snapToGrid w:val="0"/>
          <w:color w:val="auto"/>
          <w:kern w:val="21"/>
          <w:lang w:val="en-US"/>
        </w:rPr>
        <w:instrText xml:space="preserve"> = 1 \* GB3 \* MERGEFORMAT </w:instrText>
      </w:r>
      <w:r>
        <w:rPr>
          <w:rFonts w:ascii="Times New Roman"/>
          <w:snapToGrid w:val="0"/>
          <w:color w:val="auto"/>
          <w:kern w:val="21"/>
        </w:rPr>
        <w:fldChar w:fldCharType="separate"/>
      </w:r>
      <w:r>
        <w:rPr>
          <w:rFonts w:hint="eastAsia" w:hAnsi="宋体" w:cs="宋体"/>
          <w:color w:val="auto"/>
          <w:lang w:val="en-US"/>
        </w:rPr>
        <w:t>①</w:t>
      </w:r>
      <w:r>
        <w:rPr>
          <w:rFonts w:ascii="Times New Roman"/>
          <w:snapToGrid w:val="0"/>
          <w:color w:val="auto"/>
          <w:kern w:val="21"/>
        </w:rPr>
        <w:fldChar w:fldCharType="end"/>
      </w:r>
      <w:bookmarkEnd w:id="33"/>
      <w:r>
        <w:rPr>
          <w:rFonts w:ascii="Times New Roman"/>
          <w:snapToGrid w:val="0"/>
          <w:color w:val="auto"/>
          <w:kern w:val="21"/>
        </w:rPr>
        <w:t>；单位：t/a</w:t>
      </w:r>
    </w:p>
    <w:sectPr>
      <w:headerReference r:id="rId19" w:type="default"/>
      <w:pgSz w:w="16838" w:h="11906" w:orient="landscape"/>
      <w:pgMar w:top="851" w:right="1701" w:bottom="851" w:left="1701" w:header="567" w:footer="567" w:gutter="0"/>
      <w:pgNumType w:fmt="decimal"/>
      <w:cols w:space="720" w:num="1"/>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AFF" w:usb1="C0007841" w:usb2="00000009" w:usb3="00000000" w:csb0="400001FF" w:csb1="FFFF0000"/>
  </w:font>
  <w:font w:name="宋体">
    <w:panose1 w:val="02010600030101010101"/>
    <w:charset w:val="0D"/>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 Light">
    <w:altName w:val="Calibri"/>
    <w:panose1 w:val="020F0302020204030204"/>
    <w:charset w:val="00"/>
    <w:family w:val="swiss"/>
    <w:pitch w:val="default"/>
    <w:sig w:usb0="00000000" w:usb1="00000000"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Consolas">
    <w:panose1 w:val="020B0609020204030204"/>
    <w:charset w:val="00"/>
    <w:family w:val="modern"/>
    <w:pitch w:val="default"/>
    <w:sig w:usb0="E10002FF" w:usb1="4000FCFF" w:usb2="00000009" w:usb3="00000000" w:csb0="6000019F" w:csb1="DFD70000"/>
  </w:font>
  <w:font w:name="Arial Unicode MS">
    <w:altName w:val="宋体"/>
    <w:panose1 w:val="020B0604020202020204"/>
    <w:charset w:val="86"/>
    <w:family w:val="swiss"/>
    <w:pitch w:val="default"/>
    <w:sig w:usb0="00000000" w:usb1="00000000" w:usb2="0000003F" w:usb3="00000000" w:csb0="603F01FF" w:csb1="FFFF0000"/>
  </w:font>
  <w:font w:name="TimesNewRoman">
    <w:altName w:val="Times New Roman"/>
    <w:panose1 w:val="00000000000000000000"/>
    <w:charset w:val="00"/>
    <w:family w:val="auto"/>
    <w:pitch w:val="default"/>
    <w:sig w:usb0="00000000" w:usb1="00000000" w:usb2="00000000" w:usb3="00000000" w:csb0="00040001" w:csb1="00000000"/>
  </w:font>
  <w:font w:name="华文中宋">
    <w:altName w:val="宋体"/>
    <w:panose1 w:val="02010600040101010101"/>
    <w:charset w:val="86"/>
    <w:family w:val="auto"/>
    <w:pitch w:val="default"/>
    <w:sig w:usb0="00000000" w:usb1="00000000" w:usb2="00000000" w:usb3="00000000" w:csb0="0004009F" w:csb1="DFD70000"/>
  </w:font>
  <w:font w:name="ºÚÌå">
    <w:altName w:val="Arial"/>
    <w:panose1 w:val="00000000000000000000"/>
    <w:charset w:val="00"/>
    <w:family w:val="swiss"/>
    <w:pitch w:val="default"/>
    <w:sig w:usb0="00000000" w:usb1="00000000" w:usb2="00000000" w:usb3="00000000" w:csb0="00000001"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汉鼎简书宋">
    <w:altName w:val="宋体"/>
    <w:panose1 w:val="00000000000000000000"/>
    <w:charset w:val="86"/>
    <w:family w:val="modern"/>
    <w:pitch w:val="default"/>
    <w:sig w:usb0="00000000" w:usb1="00000000" w:usb2="00000010" w:usb3="00000000" w:csb0="00040000" w:csb1="00000000"/>
  </w:font>
  <w:font w:name="”“Times New Roman”“">
    <w:altName w:val="宋体"/>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Verdana">
    <w:panose1 w:val="020B0604030504040204"/>
    <w:charset w:val="00"/>
    <w:family w:val="swiss"/>
    <w:pitch w:val="default"/>
    <w:sig w:usb0="A10006FF" w:usb1="4000205B" w:usb2="00000010" w:usb3="00000000" w:csb0="2000019F" w:csb1="00000000"/>
  </w:font>
  <w:font w:name="Tms Rmn">
    <w:altName w:val="Segoe Print"/>
    <w:panose1 w:val="02020603040505020304"/>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华文细黑">
    <w:altName w:val="微软雅黑"/>
    <w:panose1 w:val="02010600040101010101"/>
    <w:charset w:val="86"/>
    <w:family w:val="auto"/>
    <w:pitch w:val="default"/>
    <w:sig w:usb0="00000000" w:usb1="00000000" w:usb2="00000000" w:usb3="00000000" w:csb0="0004009F" w:csb1="DFD70000"/>
  </w:font>
  <w:font w:name="方正姚体">
    <w:altName w:val="宋体"/>
    <w:panose1 w:val="02010601030101010101"/>
    <w:charset w:val="86"/>
    <w:family w:val="auto"/>
    <w:pitch w:val="default"/>
    <w:sig w:usb0="00000000" w:usb1="00000000" w:usb2="00000000" w:usb3="00000000" w:csb0="00040000" w:csb1="00000000"/>
  </w:font>
  <w:font w:name="TimesNewRomanPS-BoldMT">
    <w:altName w:val="微软雅黑"/>
    <w:panose1 w:val="00000000000000000000"/>
    <w:charset w:val="00"/>
    <w:family w:val="auto"/>
    <w:pitch w:val="default"/>
    <w:sig w:usb0="00000000" w:usb1="00000000" w:usb2="00000010" w:usb3="00000000" w:csb0="00040000" w:csb1="00000000"/>
  </w:font>
  <w:font w:name="华文楷体">
    <w:altName w:val="宋体"/>
    <w:panose1 w:val="02010600040101010101"/>
    <w:charset w:val="86"/>
    <w:family w:val="auto"/>
    <w:pitch w:val="default"/>
    <w:sig w:usb0="00000000" w:usb1="00000000" w:usb2="00000000" w:usb3="00000000" w:csb0="0004009F" w:csb1="DFD70000"/>
  </w:font>
  <w:font w:name="瀹嬩綋">
    <w:altName w:val="Segoe Print"/>
    <w:panose1 w:val="00000000000000000000"/>
    <w:charset w:val="00"/>
    <w:family w:val="auto"/>
    <w:pitch w:val="default"/>
    <w:sig w:usb0="00000000" w:usb1="00000000" w:usb2="00000000" w:usb3="00000000" w:csb0="00000000" w:csb1="00000000"/>
  </w:font>
  <w:font w:name="Cambria Math">
    <w:panose1 w:val="02040503050406030204"/>
    <w:charset w:val="00"/>
    <w:family w:val="auto"/>
    <w:pitch w:val="default"/>
    <w:sig w:usb0="E00002FF" w:usb1="420024FF" w:usb2="00000000" w:usb3="00000000" w:csb0="2000019F"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EEDEA0">
    <w:pPr>
      <w:pStyle w:val="34"/>
      <w:framePr w:wrap="around" w:vAnchor="text" w:hAnchor="margin" w:xAlign="center" w:y="1"/>
      <w:rPr>
        <w:rStyle w:val="58"/>
      </w:rPr>
    </w:pPr>
    <w:r>
      <w:fldChar w:fldCharType="begin"/>
    </w:r>
    <w:r>
      <w:rPr>
        <w:rStyle w:val="58"/>
      </w:rPr>
      <w:instrText xml:space="preserve">PAGE  </w:instrText>
    </w:r>
    <w:r>
      <w:fldChar w:fldCharType="separate"/>
    </w:r>
    <w:r>
      <w:rPr>
        <w:rStyle w:val="58"/>
      </w:rPr>
      <w:t>- 1 -</w:t>
    </w:r>
    <w:r>
      <w:fldChar w:fldCharType="end"/>
    </w:r>
  </w:p>
  <w:p w14:paraId="2B2B640F">
    <w:pPr>
      <w:pStyle w:val="34"/>
      <w:ind w:right="360" w:firstLine="360"/>
    </w:pPr>
  </w:p>
  <w:p w14:paraId="111602EB"/>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8FBE4">
    <w:pPr>
      <w:pStyle w:val="34"/>
    </w:pPr>
  </w:p>
  <w:p w14:paraId="0000E7C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4000F">
    <w:pPr>
      <w:pStyle w:val="3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5E11E">
    <w:pPr>
      <w:pStyle w:val="3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77E55C">
    <w:pPr>
      <w:pStyle w:val="34"/>
      <w:jc w:val="center"/>
    </w:pPr>
  </w:p>
  <w:p w14:paraId="09FACFFD">
    <w:pPr>
      <w:pStyle w:val="34"/>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D9F70">
    <w:pPr>
      <w:pStyle w:val="34"/>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A74B1F">
                          <w:pPr>
                            <w:pStyle w:val="3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xhYO8zAgAAYw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lTYphGx08/vp9+&#10;Ppx+fSM4g0CNCzPE3TtExvadbTE2w3nAYeLdVl6nLxgR+CHv8SKvaCPh6dJ0Mp3mcHH4hg3ws8fr&#10;zof4XlhNklFQj/51srLDJsQ+dAhJ2YxdS6W6HipDmoJevX6b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xhYO8zAgAAYwQAAA4AAAAAAAAAAQAgAAAAHwEAAGRycy9lMm9Eb2MueG1sUEsF&#10;BgAAAAAGAAYAWQEAAMQFAAAAAA==&#10;">
              <v:fill on="f" focussize="0,0"/>
              <v:stroke on="f" weight="0.5pt"/>
              <v:imagedata o:title=""/>
              <o:lock v:ext="edit" aspectratio="f"/>
              <v:textbox inset="0mm,0mm,0mm,0mm" style="mso-fit-shape-to-text:t;">
                <w:txbxContent>
                  <w:p w14:paraId="19A74B1F">
                    <w:pPr>
                      <w:pStyle w:val="3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E10E61">
    <w:pPr>
      <w:pStyle w:val="35"/>
    </w:pPr>
  </w:p>
  <w:p w14:paraId="2C4783A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5CADC0">
    <w:pPr>
      <w:pStyle w:val="35"/>
      <w:pBdr>
        <w:bottom w:val="single" w:color="auto" w:sz="6" w:space="4"/>
      </w:pBdr>
      <w:jc w:val="right"/>
      <w:rPr>
        <w:color w:val="000000" w:themeColor="text1"/>
        <w14:textFill>
          <w14:solidFill>
            <w14:schemeClr w14:val="tx1"/>
          </w14:solidFill>
        </w14:textFill>
      </w:rPr>
    </w:pPr>
    <w:r>
      <w:rPr>
        <w:rFonts w:hint="eastAsia"/>
        <w:color w:val="000000" w:themeColor="text1"/>
        <w14:textFill>
          <w14:solidFill>
            <w14:schemeClr w14:val="tx1"/>
          </w14:solidFill>
        </w14:textFill>
      </w:rPr>
      <w:t>一、建设项目基本情况</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8DF57">
    <w:pPr>
      <w:pStyle w:val="35"/>
      <w:pBdr>
        <w:bottom w:val="single" w:color="auto" w:sz="6" w:space="4"/>
      </w:pBdr>
      <w:jc w:val="right"/>
      <w:rPr>
        <w:color w:val="000000" w:themeColor="text1"/>
        <w14:textFill>
          <w14:solidFill>
            <w14:schemeClr w14:val="tx1"/>
          </w14:solidFill>
        </w14:textFill>
      </w:rPr>
    </w:pPr>
    <w:r>
      <w:rPr>
        <w:rFonts w:hint="eastAsia"/>
      </w:rPr>
      <w:t xml:space="preserve">               </w:t>
    </w:r>
    <w:r>
      <w:rPr>
        <w:rFonts w:hint="eastAsia"/>
        <w:color w:val="000000" w:themeColor="text1"/>
        <w14:textFill>
          <w14:solidFill>
            <w14:schemeClr w14:val="tx1"/>
          </w14:solidFill>
        </w14:textFill>
      </w:rPr>
      <w:t>二、建设项目工程分析</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FB5085">
    <w:pPr>
      <w:pStyle w:val="35"/>
      <w:jc w:val="right"/>
    </w:pPr>
    <w:bookmarkStart w:id="37" w:name="_Toc10412"/>
    <w:r>
      <w:rPr>
        <w:rFonts w:hint="eastAsia"/>
      </w:rPr>
      <w:t>三、区域环境质量现状、环境保护目标及评价标准</w:t>
    </w:r>
    <w:bookmarkEnd w:id="37"/>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4E180">
    <w:pPr>
      <w:pStyle w:val="35"/>
      <w:jc w:val="right"/>
      <w:rPr>
        <w:rFonts w:hint="eastAsia" w:eastAsia="宋体"/>
        <w:lang w:eastAsia="zh-CN"/>
      </w:rPr>
    </w:pPr>
    <w:r>
      <w:rPr>
        <w:rFonts w:hint="eastAsia"/>
        <w:lang w:eastAsia="zh-CN"/>
      </w:rPr>
      <w:t>四、主要环境影响和保护措施</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18AC43">
    <w:pPr>
      <w:pStyle w:val="35"/>
      <w:pBdr>
        <w:bottom w:val="single" w:color="auto" w:sz="6" w:space="4"/>
      </w:pBdr>
      <w:jc w:val="right"/>
    </w:pPr>
    <w:r>
      <w:rPr>
        <w:rFonts w:hint="eastAsia"/>
      </w:rPr>
      <w:t xml:space="preserve">                          </w:t>
    </w:r>
    <w:r>
      <w:t>四、主要环境影响和保护措施</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AF380A">
    <w:pPr>
      <w:pStyle w:val="35"/>
      <w:pBdr>
        <w:bottom w:val="single" w:color="auto" w:sz="6" w:space="4"/>
      </w:pBdr>
      <w:jc w:val="right"/>
    </w:pPr>
    <w:r>
      <w:rPr>
        <w:rFonts w:hint="eastAsia"/>
      </w:rPr>
      <w:t xml:space="preserve">                          </w:t>
    </w:r>
    <w:r>
      <w:t>五、环境保护措施监督检查清单</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C00C7F">
    <w:pPr>
      <w:pStyle w:val="35"/>
      <w:pBdr>
        <w:bottom w:val="single" w:color="auto" w:sz="6" w:space="4"/>
      </w:pBdr>
      <w:jc w:val="right"/>
      <w:rPr>
        <w:rFonts w:hint="eastAsia" w:eastAsia="宋体"/>
        <w:lang w:eastAsia="zh-CN"/>
      </w:rPr>
    </w:pPr>
    <w:r>
      <w:rPr>
        <w:rFonts w:hint="eastAsia"/>
      </w:rPr>
      <w:t xml:space="preserve">                          </w:t>
    </w:r>
    <w:r>
      <w:rPr>
        <w:rFonts w:hint="eastAsia"/>
        <w:lang w:eastAsia="zh-CN"/>
      </w:rPr>
      <w:t>六、结论</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79B6E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9FA8C7"/>
    <w:multiLevelType w:val="singleLevel"/>
    <w:tmpl w:val="829FA8C7"/>
    <w:lvl w:ilvl="0" w:tentative="0">
      <w:start w:val="1"/>
      <w:numFmt w:val="decimal"/>
      <w:pStyle w:val="423"/>
      <w:suff w:val="nothing"/>
      <w:lvlText w:val="%1"/>
      <w:lvlJc w:val="left"/>
      <w:pPr>
        <w:tabs>
          <w:tab w:val="left" w:pos="6142"/>
        </w:tabs>
      </w:pPr>
      <w:rPr>
        <w:rFonts w:hint="default" w:ascii="Times New Roman" w:hAnsi="Times New Roman" w:eastAsia="宋体" w:cs="仿宋_GB2312"/>
      </w:rPr>
    </w:lvl>
  </w:abstractNum>
  <w:abstractNum w:abstractNumId="1">
    <w:nsid w:val="FFFFFF89"/>
    <w:multiLevelType w:val="singleLevel"/>
    <w:tmpl w:val="FFFFFF89"/>
    <w:lvl w:ilvl="0" w:tentative="0">
      <w:start w:val="1"/>
      <w:numFmt w:val="bullet"/>
      <w:pStyle w:val="16"/>
      <w:lvlText w:val=""/>
      <w:lvlJc w:val="left"/>
      <w:pPr>
        <w:tabs>
          <w:tab w:val="left" w:pos="360"/>
        </w:tabs>
        <w:ind w:left="360" w:hanging="360" w:hangingChars="200"/>
      </w:pPr>
      <w:rPr>
        <w:rFonts w:hint="default" w:ascii="Wingdings" w:hAnsi="Wingdings"/>
      </w:rPr>
    </w:lvl>
  </w:abstractNum>
  <w:abstractNum w:abstractNumId="2">
    <w:nsid w:val="0DF37679"/>
    <w:multiLevelType w:val="singleLevel"/>
    <w:tmpl w:val="0DF37679"/>
    <w:lvl w:ilvl="0" w:tentative="0">
      <w:start w:val="1"/>
      <w:numFmt w:val="decimal"/>
      <w:suff w:val="nothing"/>
      <w:lvlText w:val="%1"/>
      <w:lvlJc w:val="left"/>
      <w:pPr>
        <w:tabs>
          <w:tab w:val="left" w:pos="0"/>
        </w:tabs>
      </w:pPr>
      <w:rPr>
        <w:rFonts w:hint="default"/>
      </w:rPr>
    </w:lvl>
  </w:abstractNum>
  <w:abstractNum w:abstractNumId="3">
    <w:nsid w:val="1CF64FBF"/>
    <w:multiLevelType w:val="multilevel"/>
    <w:tmpl w:val="1CF64FBF"/>
    <w:lvl w:ilvl="0" w:tentative="0">
      <w:start w:val="7"/>
      <w:numFmt w:val="japaneseCounting"/>
      <w:pStyle w:val="390"/>
      <w:lvlText w:val="%1、"/>
      <w:lvlJc w:val="left"/>
      <w:pPr>
        <w:ind w:left="510" w:hanging="510"/>
      </w:pPr>
      <w:rPr>
        <w:rFonts w:hint="default"/>
        <w:lang w:val="en-US"/>
      </w:rPr>
    </w:lvl>
    <w:lvl w:ilvl="1" w:tentative="0">
      <w:start w:val="7"/>
      <w:numFmt w:val="decimal"/>
      <w:suff w:val="nothing"/>
      <w:lvlText w:val="%2、"/>
      <w:lvlJc w:val="left"/>
      <w:pPr>
        <w:ind w:left="927" w:hanging="360"/>
      </w:pPr>
      <w:rPr>
        <w:rFonts w:hint="default"/>
      </w:rPr>
    </w:lvl>
    <w:lvl w:ilvl="2" w:tentative="0">
      <w:start w:val="1"/>
      <w:numFmt w:val="decimal"/>
      <w:suff w:val="space"/>
      <w:lvlText w:val="%3、"/>
      <w:lvlJc w:val="left"/>
      <w:pPr>
        <w:ind w:left="567" w:firstLine="0"/>
      </w:pPr>
      <w:rPr>
        <w:rFonts w:hint="default"/>
        <w:b/>
      </w:rPr>
    </w:lvl>
    <w:lvl w:ilvl="3" w:tentative="0">
      <w:start w:val="1"/>
      <w:numFmt w:val="decimalEnclosedCircle"/>
      <w:lvlText w:val="%4"/>
      <w:lvlJc w:val="left"/>
      <w:pPr>
        <w:ind w:left="1620" w:hanging="360"/>
      </w:pPr>
      <w:rPr>
        <w:rFonts w:hint="default"/>
      </w:r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357918B7"/>
    <w:multiLevelType w:val="multilevel"/>
    <w:tmpl w:val="357918B7"/>
    <w:lvl w:ilvl="0" w:tentative="0">
      <w:start w:val="1"/>
      <w:numFmt w:val="decimal"/>
      <w:pStyle w:val="594"/>
      <w:lvlText w:val="2.%1 "/>
      <w:lvlJc w:val="left"/>
      <w:pPr>
        <w:ind w:left="0" w:firstLine="0"/>
      </w:pPr>
      <w:rPr>
        <w:rFonts w:hint="eastAsia"/>
        <w:b/>
        <w:i w:val="0"/>
        <w:sz w:val="24"/>
      </w:rPr>
    </w:lvl>
    <w:lvl w:ilvl="1" w:tentative="0">
      <w:start w:val="1"/>
      <w:numFmt w:val="decimal"/>
      <w:pStyle w:val="595"/>
      <w:lvlText w:val="2.%2 "/>
      <w:lvlJc w:val="left"/>
      <w:pPr>
        <w:ind w:left="440" w:hanging="440"/>
      </w:pPr>
      <w:rPr>
        <w:rFonts w:hint="eastAsia"/>
      </w:rPr>
    </w:lvl>
    <w:lvl w:ilvl="2" w:tentative="0">
      <w:start w:val="1"/>
      <w:numFmt w:val="none"/>
      <w:pStyle w:val="596"/>
      <w:suff w:val="space"/>
      <w:lvlText w:val="2.1.1.1"/>
      <w:lvlJc w:val="left"/>
      <w:pPr>
        <w:ind w:left="0" w:firstLine="0"/>
      </w:pPr>
      <w:rPr>
        <w:rFonts w:hint="default" w:ascii="Times New Roman" w:hAnsi="Times New Roman" w:eastAsia="宋体"/>
        <w:b/>
        <w:i w:val="0"/>
        <w:sz w:val="24"/>
      </w:rPr>
    </w:lvl>
    <w:lvl w:ilvl="3" w:tentative="0">
      <w:start w:val="1"/>
      <w:numFmt w:val="none"/>
      <w:lvlText w:val=""/>
      <w:lvlJc w:val="left"/>
      <w:pPr>
        <w:ind w:left="0" w:firstLine="0"/>
      </w:pPr>
      <w:rPr>
        <w:rFonts w:hint="default" w:ascii="Times New Roman" w:hAnsi="Times New Roman" w:eastAsia="宋体"/>
        <w:b/>
        <w:i w:val="0"/>
      </w:rPr>
    </w:lvl>
    <w:lvl w:ilvl="4" w:tentative="0">
      <w:start w:val="1"/>
      <w:numFmt w:val="none"/>
      <w:suff w:val="space"/>
      <w:lvlText w:val=""/>
      <w:lvlJc w:val="left"/>
      <w:pPr>
        <w:ind w:left="0" w:firstLine="0"/>
      </w:pPr>
      <w:rPr>
        <w:rFonts w:hint="default" w:ascii="Times New Roman" w:hAnsi="Times New Roman" w:eastAsia="宋体"/>
        <w:b/>
        <w:i w:val="0"/>
        <w:sz w:val="24"/>
      </w:rPr>
    </w:lvl>
    <w:lvl w:ilvl="5" w:tentative="0">
      <w:start w:val="1"/>
      <w:numFmt w:val="none"/>
      <w:lvlText w:val=""/>
      <w:lvlJc w:val="left"/>
      <w:pPr>
        <w:ind w:left="0" w:firstLine="0"/>
      </w:pPr>
      <w:rPr>
        <w:rFonts w:hint="eastAsia"/>
      </w:rPr>
    </w:lvl>
    <w:lvl w:ilvl="6" w:tentative="0">
      <w:start w:val="1"/>
      <w:numFmt w:val="none"/>
      <w:lvlText w:val=""/>
      <w:lvlJc w:val="left"/>
      <w:pPr>
        <w:ind w:left="0" w:firstLine="0"/>
      </w:pPr>
      <w:rPr>
        <w:rFonts w:hint="eastAsia"/>
      </w:rPr>
    </w:lvl>
    <w:lvl w:ilvl="7" w:tentative="0">
      <w:start w:val="1"/>
      <w:numFmt w:val="none"/>
      <w:lvlText w:val=""/>
      <w:lvlJc w:val="left"/>
      <w:pPr>
        <w:ind w:left="0" w:firstLine="0"/>
      </w:pPr>
      <w:rPr>
        <w:rFonts w:hint="eastAsia"/>
      </w:rPr>
    </w:lvl>
    <w:lvl w:ilvl="8" w:tentative="0">
      <w:start w:val="1"/>
      <w:numFmt w:val="none"/>
      <w:lvlText w:val=""/>
      <w:lvlJc w:val="left"/>
      <w:pPr>
        <w:ind w:left="0" w:firstLine="0"/>
      </w:pPr>
      <w:rPr>
        <w:rFonts w:hint="eastAsia"/>
      </w:rPr>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0"/>
  <w:displayHorizontalDrawingGridEvery w:val="1"/>
  <w:displayVerticalDrawingGridEvery w:val="1"/>
  <w:noPunctuationKerning w:val="1"/>
  <w:characterSpacingControl w:val="doNotCompress"/>
  <w:footnotePr>
    <w:footnote w:id="0"/>
    <w:footnote w:id="1"/>
  </w:footnotePr>
  <w:endnotePr>
    <w:endnote w:id="0"/>
    <w:endnote w:id="1"/>
  </w:endnotePr>
  <w:compat>
    <w:balanceSingleByteDoubleByteWidth/>
    <w:doNotLeaveBackslashAlon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YyOWFkYzkyOGI1NzZiZjdkMWUxZjZmYjRjODQwMDkifQ=="/>
  </w:docVars>
  <w:rsids>
    <w:rsidRoot w:val="00172A27"/>
    <w:rsid w:val="000000DF"/>
    <w:rsid w:val="00000506"/>
    <w:rsid w:val="00000599"/>
    <w:rsid w:val="00000B23"/>
    <w:rsid w:val="00000BB9"/>
    <w:rsid w:val="00000D79"/>
    <w:rsid w:val="000011F6"/>
    <w:rsid w:val="0000130D"/>
    <w:rsid w:val="00001A52"/>
    <w:rsid w:val="00001C42"/>
    <w:rsid w:val="00002319"/>
    <w:rsid w:val="000024DA"/>
    <w:rsid w:val="00002905"/>
    <w:rsid w:val="00003330"/>
    <w:rsid w:val="0000334D"/>
    <w:rsid w:val="00003619"/>
    <w:rsid w:val="00003622"/>
    <w:rsid w:val="00004543"/>
    <w:rsid w:val="000051F0"/>
    <w:rsid w:val="000060B3"/>
    <w:rsid w:val="000067D1"/>
    <w:rsid w:val="00006CB7"/>
    <w:rsid w:val="0000747F"/>
    <w:rsid w:val="0000779F"/>
    <w:rsid w:val="000078C0"/>
    <w:rsid w:val="00007D63"/>
    <w:rsid w:val="00007EF2"/>
    <w:rsid w:val="000106B0"/>
    <w:rsid w:val="00010843"/>
    <w:rsid w:val="00010B2E"/>
    <w:rsid w:val="0001234E"/>
    <w:rsid w:val="00012844"/>
    <w:rsid w:val="00012DA9"/>
    <w:rsid w:val="000134E4"/>
    <w:rsid w:val="000138A5"/>
    <w:rsid w:val="00013E54"/>
    <w:rsid w:val="0001406C"/>
    <w:rsid w:val="00014322"/>
    <w:rsid w:val="000143EE"/>
    <w:rsid w:val="000147E8"/>
    <w:rsid w:val="0001524D"/>
    <w:rsid w:val="00015354"/>
    <w:rsid w:val="00015682"/>
    <w:rsid w:val="000158D3"/>
    <w:rsid w:val="00015BFD"/>
    <w:rsid w:val="000162CB"/>
    <w:rsid w:val="00016D76"/>
    <w:rsid w:val="00017542"/>
    <w:rsid w:val="0001779C"/>
    <w:rsid w:val="000179BD"/>
    <w:rsid w:val="00017EBB"/>
    <w:rsid w:val="00020644"/>
    <w:rsid w:val="00020865"/>
    <w:rsid w:val="00021660"/>
    <w:rsid w:val="0002168F"/>
    <w:rsid w:val="00022291"/>
    <w:rsid w:val="00022295"/>
    <w:rsid w:val="00022437"/>
    <w:rsid w:val="0002303E"/>
    <w:rsid w:val="000238FC"/>
    <w:rsid w:val="00023EDD"/>
    <w:rsid w:val="00024014"/>
    <w:rsid w:val="0002451D"/>
    <w:rsid w:val="00024B07"/>
    <w:rsid w:val="00024ED1"/>
    <w:rsid w:val="00024ED4"/>
    <w:rsid w:val="000250CF"/>
    <w:rsid w:val="00025477"/>
    <w:rsid w:val="00025944"/>
    <w:rsid w:val="00025BEF"/>
    <w:rsid w:val="00025C77"/>
    <w:rsid w:val="00025C7C"/>
    <w:rsid w:val="00025F87"/>
    <w:rsid w:val="0002668B"/>
    <w:rsid w:val="00026A16"/>
    <w:rsid w:val="00026C38"/>
    <w:rsid w:val="00027372"/>
    <w:rsid w:val="00027430"/>
    <w:rsid w:val="000275C5"/>
    <w:rsid w:val="00027A7B"/>
    <w:rsid w:val="00027E01"/>
    <w:rsid w:val="00027E6F"/>
    <w:rsid w:val="00027F38"/>
    <w:rsid w:val="000301D0"/>
    <w:rsid w:val="000305F2"/>
    <w:rsid w:val="00030A43"/>
    <w:rsid w:val="00031434"/>
    <w:rsid w:val="000314D3"/>
    <w:rsid w:val="000315F6"/>
    <w:rsid w:val="00031B10"/>
    <w:rsid w:val="000326D4"/>
    <w:rsid w:val="00033121"/>
    <w:rsid w:val="00033C38"/>
    <w:rsid w:val="00033CB5"/>
    <w:rsid w:val="00033D17"/>
    <w:rsid w:val="00034012"/>
    <w:rsid w:val="00034247"/>
    <w:rsid w:val="0003472D"/>
    <w:rsid w:val="00034E57"/>
    <w:rsid w:val="00035393"/>
    <w:rsid w:val="000354EC"/>
    <w:rsid w:val="000356AC"/>
    <w:rsid w:val="000357FA"/>
    <w:rsid w:val="0003590A"/>
    <w:rsid w:val="000359D9"/>
    <w:rsid w:val="000360FA"/>
    <w:rsid w:val="00036418"/>
    <w:rsid w:val="00036729"/>
    <w:rsid w:val="00036800"/>
    <w:rsid w:val="00037460"/>
    <w:rsid w:val="00037700"/>
    <w:rsid w:val="0003779C"/>
    <w:rsid w:val="000378D5"/>
    <w:rsid w:val="00037D36"/>
    <w:rsid w:val="000409B8"/>
    <w:rsid w:val="00040C63"/>
    <w:rsid w:val="00041C67"/>
    <w:rsid w:val="00041D58"/>
    <w:rsid w:val="00041F73"/>
    <w:rsid w:val="00042309"/>
    <w:rsid w:val="00042553"/>
    <w:rsid w:val="000428C1"/>
    <w:rsid w:val="00042DDD"/>
    <w:rsid w:val="00043061"/>
    <w:rsid w:val="0004364B"/>
    <w:rsid w:val="00043AF9"/>
    <w:rsid w:val="00044D2C"/>
    <w:rsid w:val="00045E77"/>
    <w:rsid w:val="000462A4"/>
    <w:rsid w:val="000462D7"/>
    <w:rsid w:val="0004646A"/>
    <w:rsid w:val="00046634"/>
    <w:rsid w:val="000500C7"/>
    <w:rsid w:val="000505A7"/>
    <w:rsid w:val="00050DB1"/>
    <w:rsid w:val="00050F00"/>
    <w:rsid w:val="00051241"/>
    <w:rsid w:val="00051578"/>
    <w:rsid w:val="000526C3"/>
    <w:rsid w:val="000529F6"/>
    <w:rsid w:val="0005316E"/>
    <w:rsid w:val="0005425B"/>
    <w:rsid w:val="00054C95"/>
    <w:rsid w:val="00055142"/>
    <w:rsid w:val="000551B0"/>
    <w:rsid w:val="000552ED"/>
    <w:rsid w:val="00055417"/>
    <w:rsid w:val="00055535"/>
    <w:rsid w:val="000558F9"/>
    <w:rsid w:val="00055C7A"/>
    <w:rsid w:val="00055D02"/>
    <w:rsid w:val="00055ECB"/>
    <w:rsid w:val="00055EEB"/>
    <w:rsid w:val="00056AD3"/>
    <w:rsid w:val="00056FD9"/>
    <w:rsid w:val="00060778"/>
    <w:rsid w:val="00060D2B"/>
    <w:rsid w:val="00060ED0"/>
    <w:rsid w:val="00060F25"/>
    <w:rsid w:val="00061052"/>
    <w:rsid w:val="000614D5"/>
    <w:rsid w:val="00061611"/>
    <w:rsid w:val="00061B15"/>
    <w:rsid w:val="00061B1F"/>
    <w:rsid w:val="00062058"/>
    <w:rsid w:val="000620FE"/>
    <w:rsid w:val="00062564"/>
    <w:rsid w:val="000626DD"/>
    <w:rsid w:val="000628C0"/>
    <w:rsid w:val="000628C9"/>
    <w:rsid w:val="000630E8"/>
    <w:rsid w:val="00063606"/>
    <w:rsid w:val="00063877"/>
    <w:rsid w:val="00063CF0"/>
    <w:rsid w:val="000641BE"/>
    <w:rsid w:val="000643A7"/>
    <w:rsid w:val="000645FA"/>
    <w:rsid w:val="00065D11"/>
    <w:rsid w:val="00065EA1"/>
    <w:rsid w:val="000662AC"/>
    <w:rsid w:val="0006645B"/>
    <w:rsid w:val="00066AF4"/>
    <w:rsid w:val="00066D0D"/>
    <w:rsid w:val="00067CEF"/>
    <w:rsid w:val="00067D9D"/>
    <w:rsid w:val="00067E59"/>
    <w:rsid w:val="00067EDB"/>
    <w:rsid w:val="00070087"/>
    <w:rsid w:val="00070B8B"/>
    <w:rsid w:val="0007190B"/>
    <w:rsid w:val="000720D1"/>
    <w:rsid w:val="0007218E"/>
    <w:rsid w:val="0007234E"/>
    <w:rsid w:val="000729B2"/>
    <w:rsid w:val="00072D61"/>
    <w:rsid w:val="00072DBE"/>
    <w:rsid w:val="00073039"/>
    <w:rsid w:val="0007304B"/>
    <w:rsid w:val="000733C4"/>
    <w:rsid w:val="00073605"/>
    <w:rsid w:val="0007386D"/>
    <w:rsid w:val="00073BF6"/>
    <w:rsid w:val="00073F07"/>
    <w:rsid w:val="0007409C"/>
    <w:rsid w:val="00074783"/>
    <w:rsid w:val="000752B9"/>
    <w:rsid w:val="00076936"/>
    <w:rsid w:val="00076BC3"/>
    <w:rsid w:val="000773F8"/>
    <w:rsid w:val="0007784B"/>
    <w:rsid w:val="00077900"/>
    <w:rsid w:val="000779E1"/>
    <w:rsid w:val="00077B0A"/>
    <w:rsid w:val="00077D8B"/>
    <w:rsid w:val="0008059A"/>
    <w:rsid w:val="0008070B"/>
    <w:rsid w:val="000810AC"/>
    <w:rsid w:val="00081691"/>
    <w:rsid w:val="00081A02"/>
    <w:rsid w:val="00081F8C"/>
    <w:rsid w:val="00082231"/>
    <w:rsid w:val="000823F7"/>
    <w:rsid w:val="0008251B"/>
    <w:rsid w:val="000826E0"/>
    <w:rsid w:val="00082766"/>
    <w:rsid w:val="000835DE"/>
    <w:rsid w:val="00083C62"/>
    <w:rsid w:val="00084058"/>
    <w:rsid w:val="0008439F"/>
    <w:rsid w:val="00084528"/>
    <w:rsid w:val="00084A3F"/>
    <w:rsid w:val="00084BB5"/>
    <w:rsid w:val="00084BF1"/>
    <w:rsid w:val="00086910"/>
    <w:rsid w:val="00086A76"/>
    <w:rsid w:val="00086E25"/>
    <w:rsid w:val="00086EAB"/>
    <w:rsid w:val="00086F2C"/>
    <w:rsid w:val="0008710F"/>
    <w:rsid w:val="000876CC"/>
    <w:rsid w:val="00087896"/>
    <w:rsid w:val="000901B7"/>
    <w:rsid w:val="0009061E"/>
    <w:rsid w:val="00090B2D"/>
    <w:rsid w:val="00091023"/>
    <w:rsid w:val="00091073"/>
    <w:rsid w:val="000915BF"/>
    <w:rsid w:val="000916DE"/>
    <w:rsid w:val="0009260F"/>
    <w:rsid w:val="0009271B"/>
    <w:rsid w:val="00092D38"/>
    <w:rsid w:val="00092F3B"/>
    <w:rsid w:val="00093493"/>
    <w:rsid w:val="0009377B"/>
    <w:rsid w:val="000938EA"/>
    <w:rsid w:val="0009401C"/>
    <w:rsid w:val="000940D1"/>
    <w:rsid w:val="000942FA"/>
    <w:rsid w:val="00094402"/>
    <w:rsid w:val="00094666"/>
    <w:rsid w:val="000951A9"/>
    <w:rsid w:val="0009524F"/>
    <w:rsid w:val="00095297"/>
    <w:rsid w:val="00095C66"/>
    <w:rsid w:val="000964DD"/>
    <w:rsid w:val="00096ACC"/>
    <w:rsid w:val="00096CD3"/>
    <w:rsid w:val="0009728E"/>
    <w:rsid w:val="0009750E"/>
    <w:rsid w:val="00097D76"/>
    <w:rsid w:val="00097EE1"/>
    <w:rsid w:val="000A0082"/>
    <w:rsid w:val="000A0110"/>
    <w:rsid w:val="000A035D"/>
    <w:rsid w:val="000A0AE1"/>
    <w:rsid w:val="000A1260"/>
    <w:rsid w:val="000A20C9"/>
    <w:rsid w:val="000A2597"/>
    <w:rsid w:val="000A26DC"/>
    <w:rsid w:val="000A3463"/>
    <w:rsid w:val="000A37F7"/>
    <w:rsid w:val="000A3900"/>
    <w:rsid w:val="000A40C8"/>
    <w:rsid w:val="000A4400"/>
    <w:rsid w:val="000A45D3"/>
    <w:rsid w:val="000A4DE4"/>
    <w:rsid w:val="000A4DEF"/>
    <w:rsid w:val="000A51C9"/>
    <w:rsid w:val="000A530A"/>
    <w:rsid w:val="000A5624"/>
    <w:rsid w:val="000A576D"/>
    <w:rsid w:val="000A63BA"/>
    <w:rsid w:val="000A643E"/>
    <w:rsid w:val="000A69EE"/>
    <w:rsid w:val="000A6BAB"/>
    <w:rsid w:val="000A6DB8"/>
    <w:rsid w:val="000A70F7"/>
    <w:rsid w:val="000A7221"/>
    <w:rsid w:val="000A7D52"/>
    <w:rsid w:val="000B002A"/>
    <w:rsid w:val="000B058F"/>
    <w:rsid w:val="000B07F5"/>
    <w:rsid w:val="000B0949"/>
    <w:rsid w:val="000B0D30"/>
    <w:rsid w:val="000B0D34"/>
    <w:rsid w:val="000B1338"/>
    <w:rsid w:val="000B1E7C"/>
    <w:rsid w:val="000B1FB2"/>
    <w:rsid w:val="000B2000"/>
    <w:rsid w:val="000B2210"/>
    <w:rsid w:val="000B22BE"/>
    <w:rsid w:val="000B2324"/>
    <w:rsid w:val="000B249B"/>
    <w:rsid w:val="000B2D7A"/>
    <w:rsid w:val="000B2F4C"/>
    <w:rsid w:val="000B39F2"/>
    <w:rsid w:val="000B3FEF"/>
    <w:rsid w:val="000B4467"/>
    <w:rsid w:val="000B4BD5"/>
    <w:rsid w:val="000B4C03"/>
    <w:rsid w:val="000B4DB9"/>
    <w:rsid w:val="000B4DE6"/>
    <w:rsid w:val="000B4F23"/>
    <w:rsid w:val="000B5306"/>
    <w:rsid w:val="000B53B7"/>
    <w:rsid w:val="000B5448"/>
    <w:rsid w:val="000B5454"/>
    <w:rsid w:val="000B555D"/>
    <w:rsid w:val="000B5A24"/>
    <w:rsid w:val="000B64A0"/>
    <w:rsid w:val="000B6BFA"/>
    <w:rsid w:val="000B72F4"/>
    <w:rsid w:val="000B78CE"/>
    <w:rsid w:val="000B7B70"/>
    <w:rsid w:val="000B7D78"/>
    <w:rsid w:val="000B7D79"/>
    <w:rsid w:val="000B7E58"/>
    <w:rsid w:val="000C09AC"/>
    <w:rsid w:val="000C09D6"/>
    <w:rsid w:val="000C0C9F"/>
    <w:rsid w:val="000C103E"/>
    <w:rsid w:val="000C131D"/>
    <w:rsid w:val="000C1455"/>
    <w:rsid w:val="000C1D1D"/>
    <w:rsid w:val="000C1E73"/>
    <w:rsid w:val="000C1FBE"/>
    <w:rsid w:val="000C27E6"/>
    <w:rsid w:val="000C299D"/>
    <w:rsid w:val="000C30E2"/>
    <w:rsid w:val="000C32ED"/>
    <w:rsid w:val="000C3394"/>
    <w:rsid w:val="000C37C1"/>
    <w:rsid w:val="000C390F"/>
    <w:rsid w:val="000C4130"/>
    <w:rsid w:val="000C417B"/>
    <w:rsid w:val="000C41E3"/>
    <w:rsid w:val="000C45B4"/>
    <w:rsid w:val="000C47B1"/>
    <w:rsid w:val="000C4AC8"/>
    <w:rsid w:val="000C4B48"/>
    <w:rsid w:val="000C505F"/>
    <w:rsid w:val="000C5146"/>
    <w:rsid w:val="000C5737"/>
    <w:rsid w:val="000C5B19"/>
    <w:rsid w:val="000C601A"/>
    <w:rsid w:val="000C623E"/>
    <w:rsid w:val="000C69F1"/>
    <w:rsid w:val="000C70FA"/>
    <w:rsid w:val="000C7132"/>
    <w:rsid w:val="000C71EA"/>
    <w:rsid w:val="000C7468"/>
    <w:rsid w:val="000C756E"/>
    <w:rsid w:val="000C767F"/>
    <w:rsid w:val="000D047B"/>
    <w:rsid w:val="000D0485"/>
    <w:rsid w:val="000D0839"/>
    <w:rsid w:val="000D116C"/>
    <w:rsid w:val="000D1C67"/>
    <w:rsid w:val="000D20C4"/>
    <w:rsid w:val="000D21E7"/>
    <w:rsid w:val="000D23B9"/>
    <w:rsid w:val="000D2628"/>
    <w:rsid w:val="000D2724"/>
    <w:rsid w:val="000D3281"/>
    <w:rsid w:val="000D3570"/>
    <w:rsid w:val="000D3B32"/>
    <w:rsid w:val="000D409B"/>
    <w:rsid w:val="000D44A6"/>
    <w:rsid w:val="000D46C0"/>
    <w:rsid w:val="000D4FFA"/>
    <w:rsid w:val="000D5494"/>
    <w:rsid w:val="000D5A44"/>
    <w:rsid w:val="000D5F6E"/>
    <w:rsid w:val="000D67EE"/>
    <w:rsid w:val="000D6CF2"/>
    <w:rsid w:val="000D6EED"/>
    <w:rsid w:val="000D7013"/>
    <w:rsid w:val="000D71A8"/>
    <w:rsid w:val="000D75B2"/>
    <w:rsid w:val="000D772F"/>
    <w:rsid w:val="000E07F5"/>
    <w:rsid w:val="000E0893"/>
    <w:rsid w:val="000E0A18"/>
    <w:rsid w:val="000E0B9B"/>
    <w:rsid w:val="000E0BCE"/>
    <w:rsid w:val="000E0ED8"/>
    <w:rsid w:val="000E1094"/>
    <w:rsid w:val="000E1250"/>
    <w:rsid w:val="000E15A4"/>
    <w:rsid w:val="000E166B"/>
    <w:rsid w:val="000E1766"/>
    <w:rsid w:val="000E1787"/>
    <w:rsid w:val="000E182D"/>
    <w:rsid w:val="000E1C7E"/>
    <w:rsid w:val="000E1DC5"/>
    <w:rsid w:val="000E2277"/>
    <w:rsid w:val="000E2278"/>
    <w:rsid w:val="000E29D9"/>
    <w:rsid w:val="000E2BB4"/>
    <w:rsid w:val="000E2DFD"/>
    <w:rsid w:val="000E31D0"/>
    <w:rsid w:val="000E31E1"/>
    <w:rsid w:val="000E3653"/>
    <w:rsid w:val="000E3B03"/>
    <w:rsid w:val="000E3ED2"/>
    <w:rsid w:val="000E3F82"/>
    <w:rsid w:val="000E4149"/>
    <w:rsid w:val="000E5050"/>
    <w:rsid w:val="000E570A"/>
    <w:rsid w:val="000E59A2"/>
    <w:rsid w:val="000E5ADF"/>
    <w:rsid w:val="000E5BD2"/>
    <w:rsid w:val="000E5FD8"/>
    <w:rsid w:val="000E6182"/>
    <w:rsid w:val="000E6186"/>
    <w:rsid w:val="000E6AE3"/>
    <w:rsid w:val="000E6BD2"/>
    <w:rsid w:val="000E6FA1"/>
    <w:rsid w:val="000E7043"/>
    <w:rsid w:val="000E747A"/>
    <w:rsid w:val="000E79B2"/>
    <w:rsid w:val="000F1373"/>
    <w:rsid w:val="000F199F"/>
    <w:rsid w:val="000F1D7D"/>
    <w:rsid w:val="000F22E0"/>
    <w:rsid w:val="000F250A"/>
    <w:rsid w:val="000F275F"/>
    <w:rsid w:val="000F3020"/>
    <w:rsid w:val="000F31BD"/>
    <w:rsid w:val="000F3485"/>
    <w:rsid w:val="000F34D2"/>
    <w:rsid w:val="000F3576"/>
    <w:rsid w:val="000F38AC"/>
    <w:rsid w:val="000F434F"/>
    <w:rsid w:val="000F5ACA"/>
    <w:rsid w:val="000F5BC0"/>
    <w:rsid w:val="000F6397"/>
    <w:rsid w:val="000F7043"/>
    <w:rsid w:val="000F7252"/>
    <w:rsid w:val="000F7679"/>
    <w:rsid w:val="000F76BA"/>
    <w:rsid w:val="000F7E64"/>
    <w:rsid w:val="00100F0F"/>
    <w:rsid w:val="00100FFF"/>
    <w:rsid w:val="00101176"/>
    <w:rsid w:val="00101653"/>
    <w:rsid w:val="001021E0"/>
    <w:rsid w:val="00102271"/>
    <w:rsid w:val="00102771"/>
    <w:rsid w:val="00102A73"/>
    <w:rsid w:val="00102CBF"/>
    <w:rsid w:val="00102F38"/>
    <w:rsid w:val="00104BED"/>
    <w:rsid w:val="00104C45"/>
    <w:rsid w:val="00104E4E"/>
    <w:rsid w:val="0010532A"/>
    <w:rsid w:val="0010549C"/>
    <w:rsid w:val="001054E3"/>
    <w:rsid w:val="00105655"/>
    <w:rsid w:val="00105692"/>
    <w:rsid w:val="00105743"/>
    <w:rsid w:val="00105AC5"/>
    <w:rsid w:val="00105B3A"/>
    <w:rsid w:val="00105BD7"/>
    <w:rsid w:val="00105CA6"/>
    <w:rsid w:val="00105D5E"/>
    <w:rsid w:val="00105F9C"/>
    <w:rsid w:val="0010603D"/>
    <w:rsid w:val="00106144"/>
    <w:rsid w:val="0010623F"/>
    <w:rsid w:val="001064F6"/>
    <w:rsid w:val="001070E2"/>
    <w:rsid w:val="001074FD"/>
    <w:rsid w:val="00107CBE"/>
    <w:rsid w:val="00110004"/>
    <w:rsid w:val="00110933"/>
    <w:rsid w:val="00110B9B"/>
    <w:rsid w:val="00110E0A"/>
    <w:rsid w:val="001111B5"/>
    <w:rsid w:val="00111923"/>
    <w:rsid w:val="00111935"/>
    <w:rsid w:val="00111D84"/>
    <w:rsid w:val="001121CC"/>
    <w:rsid w:val="0011230F"/>
    <w:rsid w:val="0011285A"/>
    <w:rsid w:val="0011297A"/>
    <w:rsid w:val="001129AC"/>
    <w:rsid w:val="00112A93"/>
    <w:rsid w:val="00112A9D"/>
    <w:rsid w:val="00112DE5"/>
    <w:rsid w:val="00113013"/>
    <w:rsid w:val="0011320F"/>
    <w:rsid w:val="001132BD"/>
    <w:rsid w:val="001139B1"/>
    <w:rsid w:val="00113BD6"/>
    <w:rsid w:val="00113EC7"/>
    <w:rsid w:val="00114079"/>
    <w:rsid w:val="00114185"/>
    <w:rsid w:val="001142CD"/>
    <w:rsid w:val="00114422"/>
    <w:rsid w:val="00114508"/>
    <w:rsid w:val="00114E36"/>
    <w:rsid w:val="0011523A"/>
    <w:rsid w:val="00115861"/>
    <w:rsid w:val="00115C99"/>
    <w:rsid w:val="0011661E"/>
    <w:rsid w:val="00116DDA"/>
    <w:rsid w:val="00116E78"/>
    <w:rsid w:val="00121855"/>
    <w:rsid w:val="001219D0"/>
    <w:rsid w:val="00122033"/>
    <w:rsid w:val="001222B0"/>
    <w:rsid w:val="00122E97"/>
    <w:rsid w:val="00122F3A"/>
    <w:rsid w:val="00123457"/>
    <w:rsid w:val="0012360F"/>
    <w:rsid w:val="00123652"/>
    <w:rsid w:val="00123A3D"/>
    <w:rsid w:val="00123CB9"/>
    <w:rsid w:val="00123F9C"/>
    <w:rsid w:val="0012405A"/>
    <w:rsid w:val="00124305"/>
    <w:rsid w:val="0012451F"/>
    <w:rsid w:val="001249E1"/>
    <w:rsid w:val="00124A13"/>
    <w:rsid w:val="00124D3F"/>
    <w:rsid w:val="00124F4B"/>
    <w:rsid w:val="00125E3B"/>
    <w:rsid w:val="00126386"/>
    <w:rsid w:val="001263BE"/>
    <w:rsid w:val="00127041"/>
    <w:rsid w:val="00127574"/>
    <w:rsid w:val="00127582"/>
    <w:rsid w:val="00127777"/>
    <w:rsid w:val="00127A5F"/>
    <w:rsid w:val="00127E92"/>
    <w:rsid w:val="001301AF"/>
    <w:rsid w:val="00130358"/>
    <w:rsid w:val="001303B9"/>
    <w:rsid w:val="001309AA"/>
    <w:rsid w:val="00130EAD"/>
    <w:rsid w:val="00131767"/>
    <w:rsid w:val="00131B0C"/>
    <w:rsid w:val="00131CAD"/>
    <w:rsid w:val="00131F42"/>
    <w:rsid w:val="0013277A"/>
    <w:rsid w:val="001329FC"/>
    <w:rsid w:val="00132DD0"/>
    <w:rsid w:val="00132E60"/>
    <w:rsid w:val="0013308D"/>
    <w:rsid w:val="001336AD"/>
    <w:rsid w:val="00133F6D"/>
    <w:rsid w:val="00134D13"/>
    <w:rsid w:val="00135479"/>
    <w:rsid w:val="001357F1"/>
    <w:rsid w:val="00135817"/>
    <w:rsid w:val="0013664B"/>
    <w:rsid w:val="00137FB6"/>
    <w:rsid w:val="00140059"/>
    <w:rsid w:val="001402A4"/>
    <w:rsid w:val="00140590"/>
    <w:rsid w:val="00140640"/>
    <w:rsid w:val="00140BE7"/>
    <w:rsid w:val="00140D53"/>
    <w:rsid w:val="00140FA8"/>
    <w:rsid w:val="0014136B"/>
    <w:rsid w:val="00142081"/>
    <w:rsid w:val="00142097"/>
    <w:rsid w:val="0014254B"/>
    <w:rsid w:val="001425E2"/>
    <w:rsid w:val="00142F34"/>
    <w:rsid w:val="00142FEB"/>
    <w:rsid w:val="00143259"/>
    <w:rsid w:val="00143A2D"/>
    <w:rsid w:val="00143DCA"/>
    <w:rsid w:val="00143F6B"/>
    <w:rsid w:val="00144ABB"/>
    <w:rsid w:val="0014512F"/>
    <w:rsid w:val="001451DD"/>
    <w:rsid w:val="001457C9"/>
    <w:rsid w:val="00145A41"/>
    <w:rsid w:val="001462D4"/>
    <w:rsid w:val="00146CE2"/>
    <w:rsid w:val="00147264"/>
    <w:rsid w:val="00147BF2"/>
    <w:rsid w:val="00147CAB"/>
    <w:rsid w:val="00147D0F"/>
    <w:rsid w:val="00147F04"/>
    <w:rsid w:val="0015034C"/>
    <w:rsid w:val="001512C1"/>
    <w:rsid w:val="00151675"/>
    <w:rsid w:val="0015172F"/>
    <w:rsid w:val="001518C8"/>
    <w:rsid w:val="00151C0F"/>
    <w:rsid w:val="00151CBA"/>
    <w:rsid w:val="00152660"/>
    <w:rsid w:val="001527F6"/>
    <w:rsid w:val="001528F3"/>
    <w:rsid w:val="0015365D"/>
    <w:rsid w:val="00153CA1"/>
    <w:rsid w:val="00154010"/>
    <w:rsid w:val="00154461"/>
    <w:rsid w:val="00154A3C"/>
    <w:rsid w:val="00155587"/>
    <w:rsid w:val="00155763"/>
    <w:rsid w:val="001565D9"/>
    <w:rsid w:val="00156A0A"/>
    <w:rsid w:val="00156D04"/>
    <w:rsid w:val="00156D4D"/>
    <w:rsid w:val="00156D5D"/>
    <w:rsid w:val="001573C7"/>
    <w:rsid w:val="00157435"/>
    <w:rsid w:val="001576EE"/>
    <w:rsid w:val="00157717"/>
    <w:rsid w:val="00157A38"/>
    <w:rsid w:val="00160162"/>
    <w:rsid w:val="0016059F"/>
    <w:rsid w:val="00160EBD"/>
    <w:rsid w:val="00161BDB"/>
    <w:rsid w:val="00162411"/>
    <w:rsid w:val="00162812"/>
    <w:rsid w:val="00163C22"/>
    <w:rsid w:val="00163ECF"/>
    <w:rsid w:val="00164182"/>
    <w:rsid w:val="00164589"/>
    <w:rsid w:val="00164B1B"/>
    <w:rsid w:val="00164F89"/>
    <w:rsid w:val="00165241"/>
    <w:rsid w:val="0016561C"/>
    <w:rsid w:val="00165D38"/>
    <w:rsid w:val="00165D76"/>
    <w:rsid w:val="00165FB5"/>
    <w:rsid w:val="00166586"/>
    <w:rsid w:val="00166671"/>
    <w:rsid w:val="0016681A"/>
    <w:rsid w:val="001668CA"/>
    <w:rsid w:val="00166D34"/>
    <w:rsid w:val="00166D41"/>
    <w:rsid w:val="0016741F"/>
    <w:rsid w:val="00167452"/>
    <w:rsid w:val="00167BEF"/>
    <w:rsid w:val="001707D2"/>
    <w:rsid w:val="00171038"/>
    <w:rsid w:val="00171481"/>
    <w:rsid w:val="00171930"/>
    <w:rsid w:val="00171BC3"/>
    <w:rsid w:val="00171C49"/>
    <w:rsid w:val="00171DB0"/>
    <w:rsid w:val="0017200A"/>
    <w:rsid w:val="0017251A"/>
    <w:rsid w:val="00172911"/>
    <w:rsid w:val="00172A27"/>
    <w:rsid w:val="00172E4A"/>
    <w:rsid w:val="0017324C"/>
    <w:rsid w:val="001733EB"/>
    <w:rsid w:val="0017398A"/>
    <w:rsid w:val="001739A2"/>
    <w:rsid w:val="00173AA8"/>
    <w:rsid w:val="00174215"/>
    <w:rsid w:val="00174286"/>
    <w:rsid w:val="00174712"/>
    <w:rsid w:val="0017504D"/>
    <w:rsid w:val="00175901"/>
    <w:rsid w:val="0017599F"/>
    <w:rsid w:val="0017621A"/>
    <w:rsid w:val="001762A4"/>
    <w:rsid w:val="0017671A"/>
    <w:rsid w:val="00176E58"/>
    <w:rsid w:val="00177422"/>
    <w:rsid w:val="00177733"/>
    <w:rsid w:val="0018000C"/>
    <w:rsid w:val="00180E58"/>
    <w:rsid w:val="00180FC2"/>
    <w:rsid w:val="00181992"/>
    <w:rsid w:val="00181A19"/>
    <w:rsid w:val="0018296A"/>
    <w:rsid w:val="00182ED0"/>
    <w:rsid w:val="00183002"/>
    <w:rsid w:val="0018326F"/>
    <w:rsid w:val="001835C0"/>
    <w:rsid w:val="001836D6"/>
    <w:rsid w:val="0018374B"/>
    <w:rsid w:val="001842AE"/>
    <w:rsid w:val="00184590"/>
    <w:rsid w:val="00184797"/>
    <w:rsid w:val="00184D13"/>
    <w:rsid w:val="00184F4E"/>
    <w:rsid w:val="0018511D"/>
    <w:rsid w:val="001855AA"/>
    <w:rsid w:val="00185D8F"/>
    <w:rsid w:val="00186266"/>
    <w:rsid w:val="0018649D"/>
    <w:rsid w:val="00186744"/>
    <w:rsid w:val="00186A06"/>
    <w:rsid w:val="00186D2C"/>
    <w:rsid w:val="001870D1"/>
    <w:rsid w:val="001873C8"/>
    <w:rsid w:val="00187603"/>
    <w:rsid w:val="0018781E"/>
    <w:rsid w:val="001878F4"/>
    <w:rsid w:val="00187C36"/>
    <w:rsid w:val="001902D7"/>
    <w:rsid w:val="00190424"/>
    <w:rsid w:val="00190969"/>
    <w:rsid w:val="00190CAE"/>
    <w:rsid w:val="00191347"/>
    <w:rsid w:val="0019138E"/>
    <w:rsid w:val="00191495"/>
    <w:rsid w:val="001919B9"/>
    <w:rsid w:val="00191AC8"/>
    <w:rsid w:val="00191EBB"/>
    <w:rsid w:val="00192071"/>
    <w:rsid w:val="00192440"/>
    <w:rsid w:val="001925CD"/>
    <w:rsid w:val="0019262D"/>
    <w:rsid w:val="001926E6"/>
    <w:rsid w:val="00192C70"/>
    <w:rsid w:val="00192ED7"/>
    <w:rsid w:val="00192F0C"/>
    <w:rsid w:val="001932AE"/>
    <w:rsid w:val="00193354"/>
    <w:rsid w:val="001943C0"/>
    <w:rsid w:val="00194429"/>
    <w:rsid w:val="001948A7"/>
    <w:rsid w:val="0019538E"/>
    <w:rsid w:val="001958D7"/>
    <w:rsid w:val="00196741"/>
    <w:rsid w:val="00196B9D"/>
    <w:rsid w:val="00196D08"/>
    <w:rsid w:val="00197236"/>
    <w:rsid w:val="00197293"/>
    <w:rsid w:val="0019773A"/>
    <w:rsid w:val="00197BCA"/>
    <w:rsid w:val="001A00D3"/>
    <w:rsid w:val="001A0C49"/>
    <w:rsid w:val="001A0C60"/>
    <w:rsid w:val="001A13AD"/>
    <w:rsid w:val="001A150C"/>
    <w:rsid w:val="001A170E"/>
    <w:rsid w:val="001A1820"/>
    <w:rsid w:val="001A1B35"/>
    <w:rsid w:val="001A2A40"/>
    <w:rsid w:val="001A2F9C"/>
    <w:rsid w:val="001A30CC"/>
    <w:rsid w:val="001A3E00"/>
    <w:rsid w:val="001A3F24"/>
    <w:rsid w:val="001A4820"/>
    <w:rsid w:val="001A48A2"/>
    <w:rsid w:val="001A4BC7"/>
    <w:rsid w:val="001A4BDE"/>
    <w:rsid w:val="001A50C6"/>
    <w:rsid w:val="001A5381"/>
    <w:rsid w:val="001A5E12"/>
    <w:rsid w:val="001A5E1F"/>
    <w:rsid w:val="001A65A0"/>
    <w:rsid w:val="001A6899"/>
    <w:rsid w:val="001A6932"/>
    <w:rsid w:val="001A6F5E"/>
    <w:rsid w:val="001A6F61"/>
    <w:rsid w:val="001A7357"/>
    <w:rsid w:val="001A79CB"/>
    <w:rsid w:val="001B00E0"/>
    <w:rsid w:val="001B010C"/>
    <w:rsid w:val="001B01CA"/>
    <w:rsid w:val="001B0B10"/>
    <w:rsid w:val="001B10B5"/>
    <w:rsid w:val="001B11EB"/>
    <w:rsid w:val="001B11F0"/>
    <w:rsid w:val="001B1263"/>
    <w:rsid w:val="001B1279"/>
    <w:rsid w:val="001B157E"/>
    <w:rsid w:val="001B1704"/>
    <w:rsid w:val="001B1E94"/>
    <w:rsid w:val="001B1EF3"/>
    <w:rsid w:val="001B238D"/>
    <w:rsid w:val="001B245C"/>
    <w:rsid w:val="001B2710"/>
    <w:rsid w:val="001B27A6"/>
    <w:rsid w:val="001B2A71"/>
    <w:rsid w:val="001B2CA7"/>
    <w:rsid w:val="001B2FB7"/>
    <w:rsid w:val="001B4198"/>
    <w:rsid w:val="001B4276"/>
    <w:rsid w:val="001B4525"/>
    <w:rsid w:val="001B453D"/>
    <w:rsid w:val="001B4802"/>
    <w:rsid w:val="001B48CC"/>
    <w:rsid w:val="001B49DD"/>
    <w:rsid w:val="001B4FF9"/>
    <w:rsid w:val="001B5952"/>
    <w:rsid w:val="001B5B8D"/>
    <w:rsid w:val="001B6322"/>
    <w:rsid w:val="001B66D1"/>
    <w:rsid w:val="001B6793"/>
    <w:rsid w:val="001B6A3E"/>
    <w:rsid w:val="001B6BF6"/>
    <w:rsid w:val="001B7200"/>
    <w:rsid w:val="001B72B8"/>
    <w:rsid w:val="001B781C"/>
    <w:rsid w:val="001B78C5"/>
    <w:rsid w:val="001C019E"/>
    <w:rsid w:val="001C0656"/>
    <w:rsid w:val="001C1127"/>
    <w:rsid w:val="001C1432"/>
    <w:rsid w:val="001C1631"/>
    <w:rsid w:val="001C16A4"/>
    <w:rsid w:val="001C23F2"/>
    <w:rsid w:val="001C2C83"/>
    <w:rsid w:val="001C2E52"/>
    <w:rsid w:val="001C30F4"/>
    <w:rsid w:val="001C3517"/>
    <w:rsid w:val="001C3A64"/>
    <w:rsid w:val="001C43AE"/>
    <w:rsid w:val="001C4C07"/>
    <w:rsid w:val="001C4D1C"/>
    <w:rsid w:val="001C4D57"/>
    <w:rsid w:val="001C5700"/>
    <w:rsid w:val="001C5F2C"/>
    <w:rsid w:val="001C635D"/>
    <w:rsid w:val="001C663F"/>
    <w:rsid w:val="001C69B3"/>
    <w:rsid w:val="001C69CF"/>
    <w:rsid w:val="001C69E3"/>
    <w:rsid w:val="001C6A84"/>
    <w:rsid w:val="001C70A8"/>
    <w:rsid w:val="001C734F"/>
    <w:rsid w:val="001C73E3"/>
    <w:rsid w:val="001C776A"/>
    <w:rsid w:val="001C7DF1"/>
    <w:rsid w:val="001C7E4D"/>
    <w:rsid w:val="001D034F"/>
    <w:rsid w:val="001D052B"/>
    <w:rsid w:val="001D13CF"/>
    <w:rsid w:val="001D13F0"/>
    <w:rsid w:val="001D1631"/>
    <w:rsid w:val="001D17E0"/>
    <w:rsid w:val="001D1BC9"/>
    <w:rsid w:val="001D1CB3"/>
    <w:rsid w:val="001D1E6A"/>
    <w:rsid w:val="001D217D"/>
    <w:rsid w:val="001D21AA"/>
    <w:rsid w:val="001D2952"/>
    <w:rsid w:val="001D2E38"/>
    <w:rsid w:val="001D3C82"/>
    <w:rsid w:val="001D3E2E"/>
    <w:rsid w:val="001D47B5"/>
    <w:rsid w:val="001D5272"/>
    <w:rsid w:val="001D5595"/>
    <w:rsid w:val="001D5B00"/>
    <w:rsid w:val="001D5C5E"/>
    <w:rsid w:val="001D6166"/>
    <w:rsid w:val="001D64EB"/>
    <w:rsid w:val="001D72DA"/>
    <w:rsid w:val="001D72E9"/>
    <w:rsid w:val="001D766E"/>
    <w:rsid w:val="001D7874"/>
    <w:rsid w:val="001D79E5"/>
    <w:rsid w:val="001D7BF8"/>
    <w:rsid w:val="001D7CBD"/>
    <w:rsid w:val="001D7F22"/>
    <w:rsid w:val="001E05EF"/>
    <w:rsid w:val="001E06B7"/>
    <w:rsid w:val="001E0B18"/>
    <w:rsid w:val="001E0C65"/>
    <w:rsid w:val="001E11CB"/>
    <w:rsid w:val="001E1A34"/>
    <w:rsid w:val="001E1EBC"/>
    <w:rsid w:val="001E1FB0"/>
    <w:rsid w:val="001E2129"/>
    <w:rsid w:val="001E246F"/>
    <w:rsid w:val="001E2897"/>
    <w:rsid w:val="001E2E05"/>
    <w:rsid w:val="001E305A"/>
    <w:rsid w:val="001E32C7"/>
    <w:rsid w:val="001E36A2"/>
    <w:rsid w:val="001E3D3E"/>
    <w:rsid w:val="001E4D98"/>
    <w:rsid w:val="001E4F0F"/>
    <w:rsid w:val="001E57C0"/>
    <w:rsid w:val="001E5EFD"/>
    <w:rsid w:val="001E6586"/>
    <w:rsid w:val="001E7A65"/>
    <w:rsid w:val="001E7FA5"/>
    <w:rsid w:val="001F0113"/>
    <w:rsid w:val="001F0787"/>
    <w:rsid w:val="001F0F17"/>
    <w:rsid w:val="001F12A8"/>
    <w:rsid w:val="001F1C78"/>
    <w:rsid w:val="001F24FD"/>
    <w:rsid w:val="001F2597"/>
    <w:rsid w:val="001F26D1"/>
    <w:rsid w:val="001F27F4"/>
    <w:rsid w:val="001F312D"/>
    <w:rsid w:val="001F331A"/>
    <w:rsid w:val="001F3347"/>
    <w:rsid w:val="001F342B"/>
    <w:rsid w:val="001F3446"/>
    <w:rsid w:val="001F3524"/>
    <w:rsid w:val="001F36A9"/>
    <w:rsid w:val="001F3A1A"/>
    <w:rsid w:val="001F45C5"/>
    <w:rsid w:val="001F48B8"/>
    <w:rsid w:val="001F4A32"/>
    <w:rsid w:val="001F4B2D"/>
    <w:rsid w:val="001F4CD4"/>
    <w:rsid w:val="001F5174"/>
    <w:rsid w:val="001F5F49"/>
    <w:rsid w:val="001F69E4"/>
    <w:rsid w:val="001F718E"/>
    <w:rsid w:val="001F73C9"/>
    <w:rsid w:val="001F745B"/>
    <w:rsid w:val="001F75F0"/>
    <w:rsid w:val="001F7D38"/>
    <w:rsid w:val="00200185"/>
    <w:rsid w:val="002003CC"/>
    <w:rsid w:val="002004AE"/>
    <w:rsid w:val="0020068D"/>
    <w:rsid w:val="002006E9"/>
    <w:rsid w:val="002008DA"/>
    <w:rsid w:val="002009A2"/>
    <w:rsid w:val="0020114A"/>
    <w:rsid w:val="002015FC"/>
    <w:rsid w:val="00201817"/>
    <w:rsid w:val="00201876"/>
    <w:rsid w:val="00201D5F"/>
    <w:rsid w:val="00202730"/>
    <w:rsid w:val="00202C64"/>
    <w:rsid w:val="00202CFE"/>
    <w:rsid w:val="00203369"/>
    <w:rsid w:val="00203861"/>
    <w:rsid w:val="00203B51"/>
    <w:rsid w:val="00203BF9"/>
    <w:rsid w:val="00203EFE"/>
    <w:rsid w:val="00205151"/>
    <w:rsid w:val="00205A4F"/>
    <w:rsid w:val="00205BEF"/>
    <w:rsid w:val="00205C2E"/>
    <w:rsid w:val="002068C0"/>
    <w:rsid w:val="00206BD2"/>
    <w:rsid w:val="00206C60"/>
    <w:rsid w:val="00206E8B"/>
    <w:rsid w:val="00207042"/>
    <w:rsid w:val="002073D6"/>
    <w:rsid w:val="00207D5B"/>
    <w:rsid w:val="00207FC4"/>
    <w:rsid w:val="002105A6"/>
    <w:rsid w:val="002107B5"/>
    <w:rsid w:val="002107C0"/>
    <w:rsid w:val="0021112C"/>
    <w:rsid w:val="00211A17"/>
    <w:rsid w:val="002125B4"/>
    <w:rsid w:val="00212E6E"/>
    <w:rsid w:val="00213700"/>
    <w:rsid w:val="00213AE6"/>
    <w:rsid w:val="00213B68"/>
    <w:rsid w:val="0021431F"/>
    <w:rsid w:val="00214459"/>
    <w:rsid w:val="00214518"/>
    <w:rsid w:val="0021493B"/>
    <w:rsid w:val="0021556B"/>
    <w:rsid w:val="002155B8"/>
    <w:rsid w:val="00215EA7"/>
    <w:rsid w:val="00215EEC"/>
    <w:rsid w:val="00216029"/>
    <w:rsid w:val="00216147"/>
    <w:rsid w:val="0021629B"/>
    <w:rsid w:val="00216379"/>
    <w:rsid w:val="002165FD"/>
    <w:rsid w:val="00216AD5"/>
    <w:rsid w:val="00216C76"/>
    <w:rsid w:val="00216D44"/>
    <w:rsid w:val="00216EB3"/>
    <w:rsid w:val="002170B6"/>
    <w:rsid w:val="0021756A"/>
    <w:rsid w:val="002175E9"/>
    <w:rsid w:val="002177B3"/>
    <w:rsid w:val="00217A96"/>
    <w:rsid w:val="00217AEB"/>
    <w:rsid w:val="0022076C"/>
    <w:rsid w:val="00220CA4"/>
    <w:rsid w:val="00220D15"/>
    <w:rsid w:val="00220D6B"/>
    <w:rsid w:val="00220DE5"/>
    <w:rsid w:val="00221191"/>
    <w:rsid w:val="0022122A"/>
    <w:rsid w:val="00221391"/>
    <w:rsid w:val="00221CA7"/>
    <w:rsid w:val="002223CC"/>
    <w:rsid w:val="00222AE3"/>
    <w:rsid w:val="002231DD"/>
    <w:rsid w:val="002232F0"/>
    <w:rsid w:val="002234A4"/>
    <w:rsid w:val="00223CD2"/>
    <w:rsid w:val="00224049"/>
    <w:rsid w:val="00224060"/>
    <w:rsid w:val="00224162"/>
    <w:rsid w:val="002241ED"/>
    <w:rsid w:val="002244E7"/>
    <w:rsid w:val="00224521"/>
    <w:rsid w:val="00224839"/>
    <w:rsid w:val="002249B2"/>
    <w:rsid w:val="00224B60"/>
    <w:rsid w:val="00225070"/>
    <w:rsid w:val="002256DF"/>
    <w:rsid w:val="00226087"/>
    <w:rsid w:val="002264DF"/>
    <w:rsid w:val="00226574"/>
    <w:rsid w:val="00226741"/>
    <w:rsid w:val="00226A71"/>
    <w:rsid w:val="00226A89"/>
    <w:rsid w:val="00227093"/>
    <w:rsid w:val="0022744A"/>
    <w:rsid w:val="002278EC"/>
    <w:rsid w:val="00227A1A"/>
    <w:rsid w:val="00227DB8"/>
    <w:rsid w:val="00227EC0"/>
    <w:rsid w:val="00230189"/>
    <w:rsid w:val="00230CE9"/>
    <w:rsid w:val="002310D9"/>
    <w:rsid w:val="002314B1"/>
    <w:rsid w:val="002319A5"/>
    <w:rsid w:val="00231B3F"/>
    <w:rsid w:val="0023280E"/>
    <w:rsid w:val="00232B81"/>
    <w:rsid w:val="00232DBC"/>
    <w:rsid w:val="00232E3D"/>
    <w:rsid w:val="00233393"/>
    <w:rsid w:val="00233439"/>
    <w:rsid w:val="00234C81"/>
    <w:rsid w:val="00235344"/>
    <w:rsid w:val="00235964"/>
    <w:rsid w:val="00235B68"/>
    <w:rsid w:val="00235DB4"/>
    <w:rsid w:val="00235FD9"/>
    <w:rsid w:val="0023621E"/>
    <w:rsid w:val="00236436"/>
    <w:rsid w:val="00236914"/>
    <w:rsid w:val="00236A85"/>
    <w:rsid w:val="002377D1"/>
    <w:rsid w:val="002378DB"/>
    <w:rsid w:val="002401BF"/>
    <w:rsid w:val="0024032C"/>
    <w:rsid w:val="002403E7"/>
    <w:rsid w:val="002408F3"/>
    <w:rsid w:val="00240904"/>
    <w:rsid w:val="00240BF6"/>
    <w:rsid w:val="00240C35"/>
    <w:rsid w:val="00241328"/>
    <w:rsid w:val="0024158B"/>
    <w:rsid w:val="002417F3"/>
    <w:rsid w:val="00241836"/>
    <w:rsid w:val="0024202B"/>
    <w:rsid w:val="00243CFC"/>
    <w:rsid w:val="00244757"/>
    <w:rsid w:val="00244FFD"/>
    <w:rsid w:val="00245397"/>
    <w:rsid w:val="002454EC"/>
    <w:rsid w:val="00245C94"/>
    <w:rsid w:val="00246B68"/>
    <w:rsid w:val="002473C7"/>
    <w:rsid w:val="0024741A"/>
    <w:rsid w:val="00247765"/>
    <w:rsid w:val="00247944"/>
    <w:rsid w:val="00247E28"/>
    <w:rsid w:val="00247EB7"/>
    <w:rsid w:val="00250175"/>
    <w:rsid w:val="002501CA"/>
    <w:rsid w:val="002506A0"/>
    <w:rsid w:val="002506BC"/>
    <w:rsid w:val="0025073B"/>
    <w:rsid w:val="00250F17"/>
    <w:rsid w:val="002510C6"/>
    <w:rsid w:val="00251851"/>
    <w:rsid w:val="00251930"/>
    <w:rsid w:val="00251AD3"/>
    <w:rsid w:val="00252E48"/>
    <w:rsid w:val="0025303B"/>
    <w:rsid w:val="00253540"/>
    <w:rsid w:val="002538F5"/>
    <w:rsid w:val="0025396B"/>
    <w:rsid w:val="00254146"/>
    <w:rsid w:val="002542B2"/>
    <w:rsid w:val="00254345"/>
    <w:rsid w:val="00255114"/>
    <w:rsid w:val="0025569B"/>
    <w:rsid w:val="0025575F"/>
    <w:rsid w:val="00255B6C"/>
    <w:rsid w:val="00256177"/>
    <w:rsid w:val="0025674F"/>
    <w:rsid w:val="002569F8"/>
    <w:rsid w:val="00256D21"/>
    <w:rsid w:val="002570A0"/>
    <w:rsid w:val="00257366"/>
    <w:rsid w:val="00257435"/>
    <w:rsid w:val="00257588"/>
    <w:rsid w:val="00257913"/>
    <w:rsid w:val="00257BA7"/>
    <w:rsid w:val="00257C57"/>
    <w:rsid w:val="0026017E"/>
    <w:rsid w:val="00260261"/>
    <w:rsid w:val="00260545"/>
    <w:rsid w:val="00260D03"/>
    <w:rsid w:val="00261071"/>
    <w:rsid w:val="0026127A"/>
    <w:rsid w:val="002614DA"/>
    <w:rsid w:val="00262100"/>
    <w:rsid w:val="00262B99"/>
    <w:rsid w:val="00262D3D"/>
    <w:rsid w:val="00262EE3"/>
    <w:rsid w:val="00262FBF"/>
    <w:rsid w:val="002631B8"/>
    <w:rsid w:val="00263993"/>
    <w:rsid w:val="00263B02"/>
    <w:rsid w:val="00263B1D"/>
    <w:rsid w:val="00263C36"/>
    <w:rsid w:val="00263C95"/>
    <w:rsid w:val="00263D57"/>
    <w:rsid w:val="002640D2"/>
    <w:rsid w:val="00264198"/>
    <w:rsid w:val="00264557"/>
    <w:rsid w:val="0026459B"/>
    <w:rsid w:val="00264B71"/>
    <w:rsid w:val="0026578D"/>
    <w:rsid w:val="00265B40"/>
    <w:rsid w:val="002667A2"/>
    <w:rsid w:val="00267203"/>
    <w:rsid w:val="002674CB"/>
    <w:rsid w:val="00267DB1"/>
    <w:rsid w:val="0027051C"/>
    <w:rsid w:val="002707A7"/>
    <w:rsid w:val="00270ADD"/>
    <w:rsid w:val="00270F04"/>
    <w:rsid w:val="002710DD"/>
    <w:rsid w:val="002715A0"/>
    <w:rsid w:val="0027254F"/>
    <w:rsid w:val="0027267C"/>
    <w:rsid w:val="002735A0"/>
    <w:rsid w:val="0027361F"/>
    <w:rsid w:val="002737F4"/>
    <w:rsid w:val="002739D6"/>
    <w:rsid w:val="00273F09"/>
    <w:rsid w:val="00274775"/>
    <w:rsid w:val="00274BCB"/>
    <w:rsid w:val="0027540A"/>
    <w:rsid w:val="0027558C"/>
    <w:rsid w:val="00275E9D"/>
    <w:rsid w:val="0027607C"/>
    <w:rsid w:val="00276647"/>
    <w:rsid w:val="00276F28"/>
    <w:rsid w:val="00277749"/>
    <w:rsid w:val="00277AA2"/>
    <w:rsid w:val="00277C1B"/>
    <w:rsid w:val="002805AB"/>
    <w:rsid w:val="002808AE"/>
    <w:rsid w:val="00280BA1"/>
    <w:rsid w:val="00280F7D"/>
    <w:rsid w:val="00281266"/>
    <w:rsid w:val="00281459"/>
    <w:rsid w:val="00281849"/>
    <w:rsid w:val="00281C6D"/>
    <w:rsid w:val="00281F36"/>
    <w:rsid w:val="00282142"/>
    <w:rsid w:val="0028242B"/>
    <w:rsid w:val="0028255D"/>
    <w:rsid w:val="00282911"/>
    <w:rsid w:val="00282BD0"/>
    <w:rsid w:val="00282ED9"/>
    <w:rsid w:val="002833D8"/>
    <w:rsid w:val="0028368A"/>
    <w:rsid w:val="00284090"/>
    <w:rsid w:val="00284204"/>
    <w:rsid w:val="0028422F"/>
    <w:rsid w:val="0028446D"/>
    <w:rsid w:val="002844D8"/>
    <w:rsid w:val="002848EF"/>
    <w:rsid w:val="00284AA9"/>
    <w:rsid w:val="00284AAF"/>
    <w:rsid w:val="00285229"/>
    <w:rsid w:val="002852B1"/>
    <w:rsid w:val="002852B7"/>
    <w:rsid w:val="002854D6"/>
    <w:rsid w:val="00285A78"/>
    <w:rsid w:val="00285C24"/>
    <w:rsid w:val="00285F92"/>
    <w:rsid w:val="00286267"/>
    <w:rsid w:val="002863BF"/>
    <w:rsid w:val="00286768"/>
    <w:rsid w:val="002867CE"/>
    <w:rsid w:val="002868D3"/>
    <w:rsid w:val="00286990"/>
    <w:rsid w:val="00286FD5"/>
    <w:rsid w:val="00287061"/>
    <w:rsid w:val="00287089"/>
    <w:rsid w:val="002876BD"/>
    <w:rsid w:val="00290113"/>
    <w:rsid w:val="00290469"/>
    <w:rsid w:val="00290491"/>
    <w:rsid w:val="00290D8B"/>
    <w:rsid w:val="00291773"/>
    <w:rsid w:val="00291850"/>
    <w:rsid w:val="00291921"/>
    <w:rsid w:val="00291966"/>
    <w:rsid w:val="00291A95"/>
    <w:rsid w:val="00291BF4"/>
    <w:rsid w:val="00291C67"/>
    <w:rsid w:val="00291EE3"/>
    <w:rsid w:val="0029206F"/>
    <w:rsid w:val="002925DF"/>
    <w:rsid w:val="00293ECE"/>
    <w:rsid w:val="002943FC"/>
    <w:rsid w:val="00294580"/>
    <w:rsid w:val="00294787"/>
    <w:rsid w:val="00294850"/>
    <w:rsid w:val="00295B1B"/>
    <w:rsid w:val="00295D1B"/>
    <w:rsid w:val="0029608B"/>
    <w:rsid w:val="002964DD"/>
    <w:rsid w:val="00296978"/>
    <w:rsid w:val="00296C13"/>
    <w:rsid w:val="002971EE"/>
    <w:rsid w:val="00297371"/>
    <w:rsid w:val="0029796F"/>
    <w:rsid w:val="00297C2E"/>
    <w:rsid w:val="002A0740"/>
    <w:rsid w:val="002A0759"/>
    <w:rsid w:val="002A168C"/>
    <w:rsid w:val="002A1FC6"/>
    <w:rsid w:val="002A26DF"/>
    <w:rsid w:val="002A2985"/>
    <w:rsid w:val="002A2DD1"/>
    <w:rsid w:val="002A2E05"/>
    <w:rsid w:val="002A3AA6"/>
    <w:rsid w:val="002A3B1F"/>
    <w:rsid w:val="002A3C42"/>
    <w:rsid w:val="002A3DC7"/>
    <w:rsid w:val="002A3F07"/>
    <w:rsid w:val="002A3F1D"/>
    <w:rsid w:val="002A43F4"/>
    <w:rsid w:val="002A44AA"/>
    <w:rsid w:val="002A4655"/>
    <w:rsid w:val="002A4AEB"/>
    <w:rsid w:val="002A4B16"/>
    <w:rsid w:val="002A4D01"/>
    <w:rsid w:val="002A50D8"/>
    <w:rsid w:val="002A5398"/>
    <w:rsid w:val="002A55BF"/>
    <w:rsid w:val="002A5616"/>
    <w:rsid w:val="002A5676"/>
    <w:rsid w:val="002A5B2E"/>
    <w:rsid w:val="002A6297"/>
    <w:rsid w:val="002A6D26"/>
    <w:rsid w:val="002A6EA8"/>
    <w:rsid w:val="002A702F"/>
    <w:rsid w:val="002A7166"/>
    <w:rsid w:val="002A7423"/>
    <w:rsid w:val="002A785E"/>
    <w:rsid w:val="002A7AE8"/>
    <w:rsid w:val="002A7AF9"/>
    <w:rsid w:val="002B0953"/>
    <w:rsid w:val="002B1300"/>
    <w:rsid w:val="002B16DD"/>
    <w:rsid w:val="002B197A"/>
    <w:rsid w:val="002B1DF3"/>
    <w:rsid w:val="002B1FA9"/>
    <w:rsid w:val="002B2884"/>
    <w:rsid w:val="002B3352"/>
    <w:rsid w:val="002B3974"/>
    <w:rsid w:val="002B413C"/>
    <w:rsid w:val="002B4628"/>
    <w:rsid w:val="002B49E2"/>
    <w:rsid w:val="002B4B85"/>
    <w:rsid w:val="002B4F03"/>
    <w:rsid w:val="002B5041"/>
    <w:rsid w:val="002B5883"/>
    <w:rsid w:val="002B5AF0"/>
    <w:rsid w:val="002B5D4B"/>
    <w:rsid w:val="002B6A28"/>
    <w:rsid w:val="002B6F8A"/>
    <w:rsid w:val="002B7276"/>
    <w:rsid w:val="002B7412"/>
    <w:rsid w:val="002B7660"/>
    <w:rsid w:val="002B7662"/>
    <w:rsid w:val="002B7A75"/>
    <w:rsid w:val="002B7B00"/>
    <w:rsid w:val="002B7C44"/>
    <w:rsid w:val="002B7DC4"/>
    <w:rsid w:val="002B7EB9"/>
    <w:rsid w:val="002C00DE"/>
    <w:rsid w:val="002C0369"/>
    <w:rsid w:val="002C03F9"/>
    <w:rsid w:val="002C049D"/>
    <w:rsid w:val="002C14F2"/>
    <w:rsid w:val="002C1A01"/>
    <w:rsid w:val="002C1C97"/>
    <w:rsid w:val="002C1FCC"/>
    <w:rsid w:val="002C2066"/>
    <w:rsid w:val="002C21E7"/>
    <w:rsid w:val="002C281C"/>
    <w:rsid w:val="002C2909"/>
    <w:rsid w:val="002C29FC"/>
    <w:rsid w:val="002C2B17"/>
    <w:rsid w:val="002C2CFC"/>
    <w:rsid w:val="002C39FA"/>
    <w:rsid w:val="002C4C0B"/>
    <w:rsid w:val="002C543F"/>
    <w:rsid w:val="002C5AEE"/>
    <w:rsid w:val="002C5B5D"/>
    <w:rsid w:val="002C64C6"/>
    <w:rsid w:val="002C748A"/>
    <w:rsid w:val="002C75E7"/>
    <w:rsid w:val="002D015F"/>
    <w:rsid w:val="002D10C8"/>
    <w:rsid w:val="002D1425"/>
    <w:rsid w:val="002D1B15"/>
    <w:rsid w:val="002D1FC2"/>
    <w:rsid w:val="002D2552"/>
    <w:rsid w:val="002D25D1"/>
    <w:rsid w:val="002D2EE3"/>
    <w:rsid w:val="002D3317"/>
    <w:rsid w:val="002D3C7B"/>
    <w:rsid w:val="002D3DD0"/>
    <w:rsid w:val="002D403B"/>
    <w:rsid w:val="002D40C3"/>
    <w:rsid w:val="002D4DB3"/>
    <w:rsid w:val="002D50B3"/>
    <w:rsid w:val="002D5C28"/>
    <w:rsid w:val="002D5E3F"/>
    <w:rsid w:val="002D70A4"/>
    <w:rsid w:val="002D755B"/>
    <w:rsid w:val="002D7748"/>
    <w:rsid w:val="002D7EE3"/>
    <w:rsid w:val="002E02A9"/>
    <w:rsid w:val="002E056A"/>
    <w:rsid w:val="002E05F6"/>
    <w:rsid w:val="002E10CA"/>
    <w:rsid w:val="002E10CD"/>
    <w:rsid w:val="002E178B"/>
    <w:rsid w:val="002E1AAB"/>
    <w:rsid w:val="002E1F3A"/>
    <w:rsid w:val="002E1FE6"/>
    <w:rsid w:val="002E27A4"/>
    <w:rsid w:val="002E298A"/>
    <w:rsid w:val="002E2BE8"/>
    <w:rsid w:val="002E3164"/>
    <w:rsid w:val="002E3486"/>
    <w:rsid w:val="002E395E"/>
    <w:rsid w:val="002E3CF9"/>
    <w:rsid w:val="002E3D17"/>
    <w:rsid w:val="002E3D5A"/>
    <w:rsid w:val="002E44A5"/>
    <w:rsid w:val="002E474A"/>
    <w:rsid w:val="002E4838"/>
    <w:rsid w:val="002E4905"/>
    <w:rsid w:val="002E4AB4"/>
    <w:rsid w:val="002E4B4D"/>
    <w:rsid w:val="002E4BAF"/>
    <w:rsid w:val="002E4BE1"/>
    <w:rsid w:val="002E4D3C"/>
    <w:rsid w:val="002E4F41"/>
    <w:rsid w:val="002E5232"/>
    <w:rsid w:val="002E54B9"/>
    <w:rsid w:val="002E585B"/>
    <w:rsid w:val="002E5F95"/>
    <w:rsid w:val="002E66D8"/>
    <w:rsid w:val="002E70E5"/>
    <w:rsid w:val="002E7187"/>
    <w:rsid w:val="002E7431"/>
    <w:rsid w:val="002E7497"/>
    <w:rsid w:val="002E797B"/>
    <w:rsid w:val="002E7A25"/>
    <w:rsid w:val="002F02BF"/>
    <w:rsid w:val="002F0FC4"/>
    <w:rsid w:val="002F171C"/>
    <w:rsid w:val="002F191E"/>
    <w:rsid w:val="002F3511"/>
    <w:rsid w:val="002F38B8"/>
    <w:rsid w:val="002F4255"/>
    <w:rsid w:val="002F4819"/>
    <w:rsid w:val="002F5014"/>
    <w:rsid w:val="002F50D0"/>
    <w:rsid w:val="002F5294"/>
    <w:rsid w:val="002F5A25"/>
    <w:rsid w:val="002F5EA7"/>
    <w:rsid w:val="002F5FA5"/>
    <w:rsid w:val="002F6329"/>
    <w:rsid w:val="002F6474"/>
    <w:rsid w:val="002F64F0"/>
    <w:rsid w:val="002F6B77"/>
    <w:rsid w:val="002F6BF5"/>
    <w:rsid w:val="002F6C58"/>
    <w:rsid w:val="002F7A43"/>
    <w:rsid w:val="00300A9E"/>
    <w:rsid w:val="00301108"/>
    <w:rsid w:val="003013B4"/>
    <w:rsid w:val="00301850"/>
    <w:rsid w:val="00301978"/>
    <w:rsid w:val="00301F38"/>
    <w:rsid w:val="00302C95"/>
    <w:rsid w:val="00302D3B"/>
    <w:rsid w:val="0030332C"/>
    <w:rsid w:val="00303CA8"/>
    <w:rsid w:val="00303F9C"/>
    <w:rsid w:val="003045ED"/>
    <w:rsid w:val="003049C8"/>
    <w:rsid w:val="00304EAB"/>
    <w:rsid w:val="00305129"/>
    <w:rsid w:val="003051C2"/>
    <w:rsid w:val="003054F1"/>
    <w:rsid w:val="00305CA0"/>
    <w:rsid w:val="00305CC0"/>
    <w:rsid w:val="00305D4D"/>
    <w:rsid w:val="00305E80"/>
    <w:rsid w:val="0030607E"/>
    <w:rsid w:val="003064CD"/>
    <w:rsid w:val="00306851"/>
    <w:rsid w:val="003069BF"/>
    <w:rsid w:val="00306EE1"/>
    <w:rsid w:val="00307089"/>
    <w:rsid w:val="0030790B"/>
    <w:rsid w:val="003079C5"/>
    <w:rsid w:val="00307B4D"/>
    <w:rsid w:val="0031017C"/>
    <w:rsid w:val="0031038A"/>
    <w:rsid w:val="00310DCE"/>
    <w:rsid w:val="00310E96"/>
    <w:rsid w:val="0031114E"/>
    <w:rsid w:val="003111CC"/>
    <w:rsid w:val="003113FC"/>
    <w:rsid w:val="00311727"/>
    <w:rsid w:val="00311A55"/>
    <w:rsid w:val="00311B09"/>
    <w:rsid w:val="00311B1E"/>
    <w:rsid w:val="00312296"/>
    <w:rsid w:val="003123AC"/>
    <w:rsid w:val="003128DD"/>
    <w:rsid w:val="00312F97"/>
    <w:rsid w:val="0031351E"/>
    <w:rsid w:val="00313BF7"/>
    <w:rsid w:val="003140BA"/>
    <w:rsid w:val="003144E3"/>
    <w:rsid w:val="00314A87"/>
    <w:rsid w:val="00314CC5"/>
    <w:rsid w:val="00314F0E"/>
    <w:rsid w:val="00315438"/>
    <w:rsid w:val="00315831"/>
    <w:rsid w:val="003159E6"/>
    <w:rsid w:val="00315B3A"/>
    <w:rsid w:val="00315F94"/>
    <w:rsid w:val="003162C6"/>
    <w:rsid w:val="0031680B"/>
    <w:rsid w:val="003169BF"/>
    <w:rsid w:val="00316A31"/>
    <w:rsid w:val="0031705B"/>
    <w:rsid w:val="0031758D"/>
    <w:rsid w:val="003175F5"/>
    <w:rsid w:val="00317A91"/>
    <w:rsid w:val="003205D6"/>
    <w:rsid w:val="00320CD4"/>
    <w:rsid w:val="00320FB1"/>
    <w:rsid w:val="00321106"/>
    <w:rsid w:val="003214FB"/>
    <w:rsid w:val="003217BE"/>
    <w:rsid w:val="00321A0C"/>
    <w:rsid w:val="00321D8E"/>
    <w:rsid w:val="00321F06"/>
    <w:rsid w:val="003221CB"/>
    <w:rsid w:val="003224F6"/>
    <w:rsid w:val="00322B93"/>
    <w:rsid w:val="00322C5C"/>
    <w:rsid w:val="0032307D"/>
    <w:rsid w:val="00323121"/>
    <w:rsid w:val="003233A7"/>
    <w:rsid w:val="003234A2"/>
    <w:rsid w:val="0032377B"/>
    <w:rsid w:val="00323919"/>
    <w:rsid w:val="00323B2E"/>
    <w:rsid w:val="00324048"/>
    <w:rsid w:val="003242B4"/>
    <w:rsid w:val="00324BA0"/>
    <w:rsid w:val="00324E92"/>
    <w:rsid w:val="00324EA5"/>
    <w:rsid w:val="00325329"/>
    <w:rsid w:val="0032554C"/>
    <w:rsid w:val="0032570E"/>
    <w:rsid w:val="00325928"/>
    <w:rsid w:val="003259F3"/>
    <w:rsid w:val="003260C8"/>
    <w:rsid w:val="003265E7"/>
    <w:rsid w:val="003269AB"/>
    <w:rsid w:val="00326A0B"/>
    <w:rsid w:val="00330F11"/>
    <w:rsid w:val="00331A77"/>
    <w:rsid w:val="00331B42"/>
    <w:rsid w:val="00331CB8"/>
    <w:rsid w:val="003323D4"/>
    <w:rsid w:val="00332863"/>
    <w:rsid w:val="00332E3B"/>
    <w:rsid w:val="00332FC3"/>
    <w:rsid w:val="0033314F"/>
    <w:rsid w:val="00333745"/>
    <w:rsid w:val="00333879"/>
    <w:rsid w:val="0033394F"/>
    <w:rsid w:val="00333A61"/>
    <w:rsid w:val="00333ABB"/>
    <w:rsid w:val="003341FA"/>
    <w:rsid w:val="003345FF"/>
    <w:rsid w:val="00334C4A"/>
    <w:rsid w:val="00334CE4"/>
    <w:rsid w:val="00335487"/>
    <w:rsid w:val="00335889"/>
    <w:rsid w:val="003359FF"/>
    <w:rsid w:val="00335FE1"/>
    <w:rsid w:val="0033684D"/>
    <w:rsid w:val="00337B42"/>
    <w:rsid w:val="00340076"/>
    <w:rsid w:val="00340526"/>
    <w:rsid w:val="00340DFF"/>
    <w:rsid w:val="00340EE1"/>
    <w:rsid w:val="00341643"/>
    <w:rsid w:val="00341B42"/>
    <w:rsid w:val="00341D98"/>
    <w:rsid w:val="00342782"/>
    <w:rsid w:val="003427EC"/>
    <w:rsid w:val="00342DAB"/>
    <w:rsid w:val="0034348F"/>
    <w:rsid w:val="00343867"/>
    <w:rsid w:val="00343B07"/>
    <w:rsid w:val="00343E3A"/>
    <w:rsid w:val="00343FA9"/>
    <w:rsid w:val="00344140"/>
    <w:rsid w:val="00344305"/>
    <w:rsid w:val="00344434"/>
    <w:rsid w:val="00344514"/>
    <w:rsid w:val="00344B63"/>
    <w:rsid w:val="0034514D"/>
    <w:rsid w:val="003457A7"/>
    <w:rsid w:val="00345959"/>
    <w:rsid w:val="00345A4D"/>
    <w:rsid w:val="003461C3"/>
    <w:rsid w:val="003469FE"/>
    <w:rsid w:val="00346B06"/>
    <w:rsid w:val="00347321"/>
    <w:rsid w:val="00347697"/>
    <w:rsid w:val="00347A9E"/>
    <w:rsid w:val="00347E39"/>
    <w:rsid w:val="0035009D"/>
    <w:rsid w:val="003504BB"/>
    <w:rsid w:val="003511CA"/>
    <w:rsid w:val="00351359"/>
    <w:rsid w:val="003518F9"/>
    <w:rsid w:val="00351B10"/>
    <w:rsid w:val="00351F2E"/>
    <w:rsid w:val="00352127"/>
    <w:rsid w:val="003522BF"/>
    <w:rsid w:val="003523C7"/>
    <w:rsid w:val="00352DA5"/>
    <w:rsid w:val="0035351F"/>
    <w:rsid w:val="003536A0"/>
    <w:rsid w:val="00353791"/>
    <w:rsid w:val="00353A2F"/>
    <w:rsid w:val="0035416F"/>
    <w:rsid w:val="003546C0"/>
    <w:rsid w:val="003547AD"/>
    <w:rsid w:val="003547AF"/>
    <w:rsid w:val="003549A2"/>
    <w:rsid w:val="00354E5A"/>
    <w:rsid w:val="003557DB"/>
    <w:rsid w:val="00355A20"/>
    <w:rsid w:val="00355FF6"/>
    <w:rsid w:val="0035655B"/>
    <w:rsid w:val="00356653"/>
    <w:rsid w:val="00356C9C"/>
    <w:rsid w:val="00356D40"/>
    <w:rsid w:val="0035743F"/>
    <w:rsid w:val="00357776"/>
    <w:rsid w:val="00357888"/>
    <w:rsid w:val="00357A8B"/>
    <w:rsid w:val="00357BE2"/>
    <w:rsid w:val="0036041F"/>
    <w:rsid w:val="0036170C"/>
    <w:rsid w:val="00361796"/>
    <w:rsid w:val="00361EE5"/>
    <w:rsid w:val="0036212B"/>
    <w:rsid w:val="003631B9"/>
    <w:rsid w:val="00363314"/>
    <w:rsid w:val="00363527"/>
    <w:rsid w:val="003638F0"/>
    <w:rsid w:val="00363AA1"/>
    <w:rsid w:val="00363AC9"/>
    <w:rsid w:val="0036405C"/>
    <w:rsid w:val="003648B5"/>
    <w:rsid w:val="00364C79"/>
    <w:rsid w:val="00364FC4"/>
    <w:rsid w:val="0036523B"/>
    <w:rsid w:val="0036558E"/>
    <w:rsid w:val="00365DB9"/>
    <w:rsid w:val="00365FD1"/>
    <w:rsid w:val="0036633A"/>
    <w:rsid w:val="0036638D"/>
    <w:rsid w:val="003667D0"/>
    <w:rsid w:val="003669CC"/>
    <w:rsid w:val="00366AC3"/>
    <w:rsid w:val="00366B5F"/>
    <w:rsid w:val="00366E05"/>
    <w:rsid w:val="00366E0F"/>
    <w:rsid w:val="0036712D"/>
    <w:rsid w:val="00367254"/>
    <w:rsid w:val="003672EA"/>
    <w:rsid w:val="00367908"/>
    <w:rsid w:val="00367E79"/>
    <w:rsid w:val="00370830"/>
    <w:rsid w:val="00370945"/>
    <w:rsid w:val="00370A57"/>
    <w:rsid w:val="003715FD"/>
    <w:rsid w:val="00371A09"/>
    <w:rsid w:val="00371A56"/>
    <w:rsid w:val="00372150"/>
    <w:rsid w:val="00372191"/>
    <w:rsid w:val="0037234E"/>
    <w:rsid w:val="00372480"/>
    <w:rsid w:val="003726B5"/>
    <w:rsid w:val="00372841"/>
    <w:rsid w:val="00372D41"/>
    <w:rsid w:val="00372EB8"/>
    <w:rsid w:val="00372F57"/>
    <w:rsid w:val="003733AC"/>
    <w:rsid w:val="0037372A"/>
    <w:rsid w:val="00373781"/>
    <w:rsid w:val="00373977"/>
    <w:rsid w:val="00373C2C"/>
    <w:rsid w:val="00373C4E"/>
    <w:rsid w:val="00373DB5"/>
    <w:rsid w:val="00373EAC"/>
    <w:rsid w:val="00374116"/>
    <w:rsid w:val="003743A6"/>
    <w:rsid w:val="003744A4"/>
    <w:rsid w:val="003749E8"/>
    <w:rsid w:val="00375A1F"/>
    <w:rsid w:val="00375DEC"/>
    <w:rsid w:val="003764D5"/>
    <w:rsid w:val="00376747"/>
    <w:rsid w:val="003768FD"/>
    <w:rsid w:val="00376F1C"/>
    <w:rsid w:val="0037749D"/>
    <w:rsid w:val="003774B9"/>
    <w:rsid w:val="00380681"/>
    <w:rsid w:val="003806A2"/>
    <w:rsid w:val="003806E2"/>
    <w:rsid w:val="00380750"/>
    <w:rsid w:val="00380F8E"/>
    <w:rsid w:val="003810AC"/>
    <w:rsid w:val="00381178"/>
    <w:rsid w:val="003815DC"/>
    <w:rsid w:val="00381A72"/>
    <w:rsid w:val="0038256E"/>
    <w:rsid w:val="003826A6"/>
    <w:rsid w:val="0038286E"/>
    <w:rsid w:val="00382AF9"/>
    <w:rsid w:val="00382DFB"/>
    <w:rsid w:val="00382F22"/>
    <w:rsid w:val="0038318C"/>
    <w:rsid w:val="00383419"/>
    <w:rsid w:val="00383D72"/>
    <w:rsid w:val="0038418A"/>
    <w:rsid w:val="003843BB"/>
    <w:rsid w:val="00384676"/>
    <w:rsid w:val="003849BB"/>
    <w:rsid w:val="00384A18"/>
    <w:rsid w:val="00384B51"/>
    <w:rsid w:val="00384E2A"/>
    <w:rsid w:val="00385771"/>
    <w:rsid w:val="0038586D"/>
    <w:rsid w:val="00385998"/>
    <w:rsid w:val="00385A69"/>
    <w:rsid w:val="00385B37"/>
    <w:rsid w:val="00385BF9"/>
    <w:rsid w:val="003861A7"/>
    <w:rsid w:val="003861E6"/>
    <w:rsid w:val="003865AC"/>
    <w:rsid w:val="00386E18"/>
    <w:rsid w:val="0038791E"/>
    <w:rsid w:val="00387B14"/>
    <w:rsid w:val="00387ED0"/>
    <w:rsid w:val="00387FEE"/>
    <w:rsid w:val="00390857"/>
    <w:rsid w:val="00390D78"/>
    <w:rsid w:val="003911E1"/>
    <w:rsid w:val="0039131E"/>
    <w:rsid w:val="00391398"/>
    <w:rsid w:val="0039152E"/>
    <w:rsid w:val="003917F0"/>
    <w:rsid w:val="003919EE"/>
    <w:rsid w:val="00391DD3"/>
    <w:rsid w:val="00392460"/>
    <w:rsid w:val="003929C6"/>
    <w:rsid w:val="003929F9"/>
    <w:rsid w:val="00392A17"/>
    <w:rsid w:val="00392FCF"/>
    <w:rsid w:val="003931E4"/>
    <w:rsid w:val="0039343C"/>
    <w:rsid w:val="00393642"/>
    <w:rsid w:val="00393DB4"/>
    <w:rsid w:val="00394B38"/>
    <w:rsid w:val="00394CC8"/>
    <w:rsid w:val="00395DF3"/>
    <w:rsid w:val="00395FD0"/>
    <w:rsid w:val="00396444"/>
    <w:rsid w:val="00396C59"/>
    <w:rsid w:val="00396F6B"/>
    <w:rsid w:val="00397033"/>
    <w:rsid w:val="00397229"/>
    <w:rsid w:val="00397495"/>
    <w:rsid w:val="003975BA"/>
    <w:rsid w:val="003A0218"/>
    <w:rsid w:val="003A0222"/>
    <w:rsid w:val="003A0A72"/>
    <w:rsid w:val="003A0B62"/>
    <w:rsid w:val="003A0CAE"/>
    <w:rsid w:val="003A20B7"/>
    <w:rsid w:val="003A28B6"/>
    <w:rsid w:val="003A2A11"/>
    <w:rsid w:val="003A2FAF"/>
    <w:rsid w:val="003A3049"/>
    <w:rsid w:val="003A4125"/>
    <w:rsid w:val="003A4393"/>
    <w:rsid w:val="003A49C7"/>
    <w:rsid w:val="003A4B03"/>
    <w:rsid w:val="003A4BF3"/>
    <w:rsid w:val="003A4E23"/>
    <w:rsid w:val="003A5E88"/>
    <w:rsid w:val="003A6A36"/>
    <w:rsid w:val="003A6D7D"/>
    <w:rsid w:val="003A7115"/>
    <w:rsid w:val="003A723A"/>
    <w:rsid w:val="003A7471"/>
    <w:rsid w:val="003A75FF"/>
    <w:rsid w:val="003A77C8"/>
    <w:rsid w:val="003B04A5"/>
    <w:rsid w:val="003B09D1"/>
    <w:rsid w:val="003B111B"/>
    <w:rsid w:val="003B1CD7"/>
    <w:rsid w:val="003B288A"/>
    <w:rsid w:val="003B2CF6"/>
    <w:rsid w:val="003B2D0C"/>
    <w:rsid w:val="003B2D51"/>
    <w:rsid w:val="003B3209"/>
    <w:rsid w:val="003B37AC"/>
    <w:rsid w:val="003B38CB"/>
    <w:rsid w:val="003B3B58"/>
    <w:rsid w:val="003B3E56"/>
    <w:rsid w:val="003B420D"/>
    <w:rsid w:val="003B4546"/>
    <w:rsid w:val="003B48D1"/>
    <w:rsid w:val="003B4EE8"/>
    <w:rsid w:val="003B592C"/>
    <w:rsid w:val="003B5C1B"/>
    <w:rsid w:val="003B5CE2"/>
    <w:rsid w:val="003B5D72"/>
    <w:rsid w:val="003B60ED"/>
    <w:rsid w:val="003B63D4"/>
    <w:rsid w:val="003B6CC1"/>
    <w:rsid w:val="003B70B5"/>
    <w:rsid w:val="003B7616"/>
    <w:rsid w:val="003B78F0"/>
    <w:rsid w:val="003B7DB9"/>
    <w:rsid w:val="003B7FE6"/>
    <w:rsid w:val="003C0B96"/>
    <w:rsid w:val="003C0D76"/>
    <w:rsid w:val="003C0E1E"/>
    <w:rsid w:val="003C10B2"/>
    <w:rsid w:val="003C12DD"/>
    <w:rsid w:val="003C186F"/>
    <w:rsid w:val="003C19DA"/>
    <w:rsid w:val="003C1B25"/>
    <w:rsid w:val="003C1F2D"/>
    <w:rsid w:val="003C2668"/>
    <w:rsid w:val="003C2881"/>
    <w:rsid w:val="003C2EAD"/>
    <w:rsid w:val="003C318C"/>
    <w:rsid w:val="003C3F22"/>
    <w:rsid w:val="003C4928"/>
    <w:rsid w:val="003C5FD0"/>
    <w:rsid w:val="003C611A"/>
    <w:rsid w:val="003C6155"/>
    <w:rsid w:val="003C641D"/>
    <w:rsid w:val="003C65EA"/>
    <w:rsid w:val="003C6AFA"/>
    <w:rsid w:val="003C6C16"/>
    <w:rsid w:val="003C7174"/>
    <w:rsid w:val="003C737B"/>
    <w:rsid w:val="003C7ACB"/>
    <w:rsid w:val="003C7F08"/>
    <w:rsid w:val="003D006B"/>
    <w:rsid w:val="003D00DC"/>
    <w:rsid w:val="003D0424"/>
    <w:rsid w:val="003D0433"/>
    <w:rsid w:val="003D0CF4"/>
    <w:rsid w:val="003D0FB7"/>
    <w:rsid w:val="003D0FD5"/>
    <w:rsid w:val="003D1523"/>
    <w:rsid w:val="003D1AA3"/>
    <w:rsid w:val="003D2466"/>
    <w:rsid w:val="003D2572"/>
    <w:rsid w:val="003D2905"/>
    <w:rsid w:val="003D3C0A"/>
    <w:rsid w:val="003D3C71"/>
    <w:rsid w:val="003D4197"/>
    <w:rsid w:val="003D420F"/>
    <w:rsid w:val="003D465C"/>
    <w:rsid w:val="003D46F4"/>
    <w:rsid w:val="003D4B66"/>
    <w:rsid w:val="003D514A"/>
    <w:rsid w:val="003D5660"/>
    <w:rsid w:val="003D5C56"/>
    <w:rsid w:val="003D5D04"/>
    <w:rsid w:val="003D622B"/>
    <w:rsid w:val="003D6F93"/>
    <w:rsid w:val="003D7693"/>
    <w:rsid w:val="003D76E6"/>
    <w:rsid w:val="003D792F"/>
    <w:rsid w:val="003D794D"/>
    <w:rsid w:val="003D7AF8"/>
    <w:rsid w:val="003D7C21"/>
    <w:rsid w:val="003D7C7A"/>
    <w:rsid w:val="003E07DE"/>
    <w:rsid w:val="003E1584"/>
    <w:rsid w:val="003E1BB0"/>
    <w:rsid w:val="003E226B"/>
    <w:rsid w:val="003E26A7"/>
    <w:rsid w:val="003E2853"/>
    <w:rsid w:val="003E3058"/>
    <w:rsid w:val="003E3142"/>
    <w:rsid w:val="003E31B6"/>
    <w:rsid w:val="003E408F"/>
    <w:rsid w:val="003E45AA"/>
    <w:rsid w:val="003E477A"/>
    <w:rsid w:val="003E512B"/>
    <w:rsid w:val="003E552F"/>
    <w:rsid w:val="003E556B"/>
    <w:rsid w:val="003E5D37"/>
    <w:rsid w:val="003E5DF3"/>
    <w:rsid w:val="003E612D"/>
    <w:rsid w:val="003E6FA0"/>
    <w:rsid w:val="003E752A"/>
    <w:rsid w:val="003E76A9"/>
    <w:rsid w:val="003E77B9"/>
    <w:rsid w:val="003E7A9E"/>
    <w:rsid w:val="003E7BE7"/>
    <w:rsid w:val="003F0809"/>
    <w:rsid w:val="003F098E"/>
    <w:rsid w:val="003F0BE9"/>
    <w:rsid w:val="003F1246"/>
    <w:rsid w:val="003F1676"/>
    <w:rsid w:val="003F1A65"/>
    <w:rsid w:val="003F1C91"/>
    <w:rsid w:val="003F2471"/>
    <w:rsid w:val="003F282F"/>
    <w:rsid w:val="003F2866"/>
    <w:rsid w:val="003F28B9"/>
    <w:rsid w:val="003F2BF9"/>
    <w:rsid w:val="003F2CE0"/>
    <w:rsid w:val="003F2E35"/>
    <w:rsid w:val="003F305B"/>
    <w:rsid w:val="003F31E4"/>
    <w:rsid w:val="003F4A47"/>
    <w:rsid w:val="003F4D07"/>
    <w:rsid w:val="003F4F15"/>
    <w:rsid w:val="003F51F3"/>
    <w:rsid w:val="003F57E2"/>
    <w:rsid w:val="003F57EB"/>
    <w:rsid w:val="003F5886"/>
    <w:rsid w:val="003F5982"/>
    <w:rsid w:val="003F5A9F"/>
    <w:rsid w:val="003F6577"/>
    <w:rsid w:val="003F6A8C"/>
    <w:rsid w:val="003F6B8A"/>
    <w:rsid w:val="003F6CC6"/>
    <w:rsid w:val="003F6FC5"/>
    <w:rsid w:val="003F70B8"/>
    <w:rsid w:val="003F755C"/>
    <w:rsid w:val="003F7B7D"/>
    <w:rsid w:val="003F7C15"/>
    <w:rsid w:val="003F7C3C"/>
    <w:rsid w:val="003F7C5E"/>
    <w:rsid w:val="004002F2"/>
    <w:rsid w:val="00400599"/>
    <w:rsid w:val="004009B2"/>
    <w:rsid w:val="00400A39"/>
    <w:rsid w:val="00400A3C"/>
    <w:rsid w:val="00400CE5"/>
    <w:rsid w:val="00401AAB"/>
    <w:rsid w:val="00401C72"/>
    <w:rsid w:val="0040211C"/>
    <w:rsid w:val="0040224F"/>
    <w:rsid w:val="0040271B"/>
    <w:rsid w:val="00402EF9"/>
    <w:rsid w:val="00402F98"/>
    <w:rsid w:val="00403131"/>
    <w:rsid w:val="00403581"/>
    <w:rsid w:val="00403BF6"/>
    <w:rsid w:val="00403C00"/>
    <w:rsid w:val="00404ACA"/>
    <w:rsid w:val="00405294"/>
    <w:rsid w:val="004056B4"/>
    <w:rsid w:val="00406F01"/>
    <w:rsid w:val="0040773F"/>
    <w:rsid w:val="00407A36"/>
    <w:rsid w:val="0041002E"/>
    <w:rsid w:val="00410689"/>
    <w:rsid w:val="00410EBC"/>
    <w:rsid w:val="004110CE"/>
    <w:rsid w:val="004116F1"/>
    <w:rsid w:val="00411BDE"/>
    <w:rsid w:val="00411C4F"/>
    <w:rsid w:val="00411CA3"/>
    <w:rsid w:val="00412481"/>
    <w:rsid w:val="00412C8B"/>
    <w:rsid w:val="00412FFF"/>
    <w:rsid w:val="004133C1"/>
    <w:rsid w:val="0041364D"/>
    <w:rsid w:val="00413B97"/>
    <w:rsid w:val="00413E48"/>
    <w:rsid w:val="0041405A"/>
    <w:rsid w:val="00414475"/>
    <w:rsid w:val="00414A9B"/>
    <w:rsid w:val="00414DAE"/>
    <w:rsid w:val="00415A26"/>
    <w:rsid w:val="00415EF6"/>
    <w:rsid w:val="00416187"/>
    <w:rsid w:val="004162D3"/>
    <w:rsid w:val="00416924"/>
    <w:rsid w:val="004169E8"/>
    <w:rsid w:val="00416A06"/>
    <w:rsid w:val="00416D50"/>
    <w:rsid w:val="00416FD5"/>
    <w:rsid w:val="00416FD6"/>
    <w:rsid w:val="00417371"/>
    <w:rsid w:val="004173E7"/>
    <w:rsid w:val="00417424"/>
    <w:rsid w:val="00417772"/>
    <w:rsid w:val="00417AA7"/>
    <w:rsid w:val="00417BE9"/>
    <w:rsid w:val="00417EB8"/>
    <w:rsid w:val="0042018E"/>
    <w:rsid w:val="0042083D"/>
    <w:rsid w:val="00420C6B"/>
    <w:rsid w:val="00420E6A"/>
    <w:rsid w:val="0042107B"/>
    <w:rsid w:val="004211CB"/>
    <w:rsid w:val="004213C6"/>
    <w:rsid w:val="00421455"/>
    <w:rsid w:val="0042159C"/>
    <w:rsid w:val="00421659"/>
    <w:rsid w:val="004217C1"/>
    <w:rsid w:val="004219EE"/>
    <w:rsid w:val="00421D24"/>
    <w:rsid w:val="00421FC8"/>
    <w:rsid w:val="00421FF4"/>
    <w:rsid w:val="004220D3"/>
    <w:rsid w:val="0042253E"/>
    <w:rsid w:val="004228DF"/>
    <w:rsid w:val="0042335F"/>
    <w:rsid w:val="004234DE"/>
    <w:rsid w:val="004238B8"/>
    <w:rsid w:val="004238D0"/>
    <w:rsid w:val="004240BC"/>
    <w:rsid w:val="0042466F"/>
    <w:rsid w:val="00424D5A"/>
    <w:rsid w:val="00424D83"/>
    <w:rsid w:val="0042504E"/>
    <w:rsid w:val="00425502"/>
    <w:rsid w:val="004257C3"/>
    <w:rsid w:val="004257CB"/>
    <w:rsid w:val="00425A9E"/>
    <w:rsid w:val="00425BC6"/>
    <w:rsid w:val="00425CFD"/>
    <w:rsid w:val="00425D2E"/>
    <w:rsid w:val="00425E43"/>
    <w:rsid w:val="00426838"/>
    <w:rsid w:val="00426D6B"/>
    <w:rsid w:val="00427079"/>
    <w:rsid w:val="00427359"/>
    <w:rsid w:val="0042746A"/>
    <w:rsid w:val="004277C9"/>
    <w:rsid w:val="00427A77"/>
    <w:rsid w:val="00427A9F"/>
    <w:rsid w:val="00427DB6"/>
    <w:rsid w:val="00427EFB"/>
    <w:rsid w:val="0043086E"/>
    <w:rsid w:val="00430D23"/>
    <w:rsid w:val="0043112B"/>
    <w:rsid w:val="00431376"/>
    <w:rsid w:val="00431556"/>
    <w:rsid w:val="00431AF5"/>
    <w:rsid w:val="00431E6C"/>
    <w:rsid w:val="00431F1F"/>
    <w:rsid w:val="0043218B"/>
    <w:rsid w:val="0043261B"/>
    <w:rsid w:val="00432686"/>
    <w:rsid w:val="00432890"/>
    <w:rsid w:val="004329DE"/>
    <w:rsid w:val="00432A20"/>
    <w:rsid w:val="00432F75"/>
    <w:rsid w:val="00433CE7"/>
    <w:rsid w:val="00433FAE"/>
    <w:rsid w:val="00434341"/>
    <w:rsid w:val="004347A7"/>
    <w:rsid w:val="00434D11"/>
    <w:rsid w:val="00435290"/>
    <w:rsid w:val="00435493"/>
    <w:rsid w:val="004358BF"/>
    <w:rsid w:val="00436185"/>
    <w:rsid w:val="004363FE"/>
    <w:rsid w:val="004367E7"/>
    <w:rsid w:val="00436F30"/>
    <w:rsid w:val="00436FC6"/>
    <w:rsid w:val="004373D1"/>
    <w:rsid w:val="00437555"/>
    <w:rsid w:val="004376B6"/>
    <w:rsid w:val="004378FB"/>
    <w:rsid w:val="0044076E"/>
    <w:rsid w:val="00440BD5"/>
    <w:rsid w:val="00440D18"/>
    <w:rsid w:val="0044108E"/>
    <w:rsid w:val="00441403"/>
    <w:rsid w:val="0044181F"/>
    <w:rsid w:val="00441D08"/>
    <w:rsid w:val="00442A1E"/>
    <w:rsid w:val="00442DD5"/>
    <w:rsid w:val="004434C1"/>
    <w:rsid w:val="004437A3"/>
    <w:rsid w:val="00443F56"/>
    <w:rsid w:val="00443FF1"/>
    <w:rsid w:val="004443EF"/>
    <w:rsid w:val="00444A6C"/>
    <w:rsid w:val="00444AC4"/>
    <w:rsid w:val="00444D53"/>
    <w:rsid w:val="00444DA5"/>
    <w:rsid w:val="00444E70"/>
    <w:rsid w:val="00445013"/>
    <w:rsid w:val="004450CC"/>
    <w:rsid w:val="004458FF"/>
    <w:rsid w:val="00445DBC"/>
    <w:rsid w:val="00445DD3"/>
    <w:rsid w:val="004469CB"/>
    <w:rsid w:val="00446A95"/>
    <w:rsid w:val="00446D8C"/>
    <w:rsid w:val="0044728A"/>
    <w:rsid w:val="00447519"/>
    <w:rsid w:val="00447B5E"/>
    <w:rsid w:val="004507FF"/>
    <w:rsid w:val="0045090E"/>
    <w:rsid w:val="00450AC4"/>
    <w:rsid w:val="00450BCB"/>
    <w:rsid w:val="00450F71"/>
    <w:rsid w:val="00451087"/>
    <w:rsid w:val="00451261"/>
    <w:rsid w:val="0045178C"/>
    <w:rsid w:val="00451D0E"/>
    <w:rsid w:val="00451DDC"/>
    <w:rsid w:val="00451E3B"/>
    <w:rsid w:val="004522AE"/>
    <w:rsid w:val="00452664"/>
    <w:rsid w:val="00452738"/>
    <w:rsid w:val="00453773"/>
    <w:rsid w:val="0045426A"/>
    <w:rsid w:val="00454531"/>
    <w:rsid w:val="004548B8"/>
    <w:rsid w:val="00454AA6"/>
    <w:rsid w:val="00455072"/>
    <w:rsid w:val="00455E87"/>
    <w:rsid w:val="00456091"/>
    <w:rsid w:val="00456229"/>
    <w:rsid w:val="00457114"/>
    <w:rsid w:val="00457513"/>
    <w:rsid w:val="004601C0"/>
    <w:rsid w:val="00460A63"/>
    <w:rsid w:val="00460F12"/>
    <w:rsid w:val="00462203"/>
    <w:rsid w:val="00462383"/>
    <w:rsid w:val="0046268C"/>
    <w:rsid w:val="00463288"/>
    <w:rsid w:val="00463AF8"/>
    <w:rsid w:val="00463CA3"/>
    <w:rsid w:val="00463FEE"/>
    <w:rsid w:val="00464294"/>
    <w:rsid w:val="00464D22"/>
    <w:rsid w:val="0046543F"/>
    <w:rsid w:val="004656CE"/>
    <w:rsid w:val="004658C6"/>
    <w:rsid w:val="00465A99"/>
    <w:rsid w:val="00465AC4"/>
    <w:rsid w:val="0046623B"/>
    <w:rsid w:val="00466321"/>
    <w:rsid w:val="00466775"/>
    <w:rsid w:val="00466884"/>
    <w:rsid w:val="004669CC"/>
    <w:rsid w:val="004670E4"/>
    <w:rsid w:val="0046746B"/>
    <w:rsid w:val="0046757B"/>
    <w:rsid w:val="00467BDD"/>
    <w:rsid w:val="004701C6"/>
    <w:rsid w:val="004709B1"/>
    <w:rsid w:val="004713E3"/>
    <w:rsid w:val="004714A8"/>
    <w:rsid w:val="004716A1"/>
    <w:rsid w:val="00471C0B"/>
    <w:rsid w:val="00471F08"/>
    <w:rsid w:val="00472091"/>
    <w:rsid w:val="0047251A"/>
    <w:rsid w:val="00472640"/>
    <w:rsid w:val="00472BD7"/>
    <w:rsid w:val="00472E0C"/>
    <w:rsid w:val="004731CB"/>
    <w:rsid w:val="00473A81"/>
    <w:rsid w:val="00473C50"/>
    <w:rsid w:val="00474009"/>
    <w:rsid w:val="004740D5"/>
    <w:rsid w:val="00474B8F"/>
    <w:rsid w:val="00475C24"/>
    <w:rsid w:val="00475DEF"/>
    <w:rsid w:val="00475EAE"/>
    <w:rsid w:val="00476B58"/>
    <w:rsid w:val="00476C55"/>
    <w:rsid w:val="00476CD3"/>
    <w:rsid w:val="0047744B"/>
    <w:rsid w:val="0047761C"/>
    <w:rsid w:val="00480AB6"/>
    <w:rsid w:val="00481A09"/>
    <w:rsid w:val="0048229A"/>
    <w:rsid w:val="00482306"/>
    <w:rsid w:val="00482BDD"/>
    <w:rsid w:val="00483061"/>
    <w:rsid w:val="0048318A"/>
    <w:rsid w:val="0048354C"/>
    <w:rsid w:val="00483905"/>
    <w:rsid w:val="0048423D"/>
    <w:rsid w:val="004843FE"/>
    <w:rsid w:val="004846B0"/>
    <w:rsid w:val="00484A24"/>
    <w:rsid w:val="00484B9B"/>
    <w:rsid w:val="004850F1"/>
    <w:rsid w:val="004855F6"/>
    <w:rsid w:val="00485C5E"/>
    <w:rsid w:val="004861B2"/>
    <w:rsid w:val="0048661E"/>
    <w:rsid w:val="00486CE2"/>
    <w:rsid w:val="00486EFD"/>
    <w:rsid w:val="0048700E"/>
    <w:rsid w:val="00487384"/>
    <w:rsid w:val="0048769C"/>
    <w:rsid w:val="004877E4"/>
    <w:rsid w:val="00487869"/>
    <w:rsid w:val="00490ACA"/>
    <w:rsid w:val="0049128A"/>
    <w:rsid w:val="00491AE9"/>
    <w:rsid w:val="0049210D"/>
    <w:rsid w:val="00492153"/>
    <w:rsid w:val="004927EE"/>
    <w:rsid w:val="00492E70"/>
    <w:rsid w:val="004932A2"/>
    <w:rsid w:val="004933BC"/>
    <w:rsid w:val="00493446"/>
    <w:rsid w:val="004934ED"/>
    <w:rsid w:val="00493AB7"/>
    <w:rsid w:val="004943A5"/>
    <w:rsid w:val="00494670"/>
    <w:rsid w:val="004950DE"/>
    <w:rsid w:val="0049546A"/>
    <w:rsid w:val="004954C8"/>
    <w:rsid w:val="004957A8"/>
    <w:rsid w:val="004958CB"/>
    <w:rsid w:val="00495A21"/>
    <w:rsid w:val="00496426"/>
    <w:rsid w:val="00496748"/>
    <w:rsid w:val="00496F49"/>
    <w:rsid w:val="00496FDF"/>
    <w:rsid w:val="0049744F"/>
    <w:rsid w:val="00497E1E"/>
    <w:rsid w:val="00497F8C"/>
    <w:rsid w:val="004A003F"/>
    <w:rsid w:val="004A02DA"/>
    <w:rsid w:val="004A0985"/>
    <w:rsid w:val="004A0FF2"/>
    <w:rsid w:val="004A159E"/>
    <w:rsid w:val="004A1C94"/>
    <w:rsid w:val="004A2523"/>
    <w:rsid w:val="004A2584"/>
    <w:rsid w:val="004A2619"/>
    <w:rsid w:val="004A27C9"/>
    <w:rsid w:val="004A35D3"/>
    <w:rsid w:val="004A3823"/>
    <w:rsid w:val="004A3D05"/>
    <w:rsid w:val="004A414C"/>
    <w:rsid w:val="004A4332"/>
    <w:rsid w:val="004A4350"/>
    <w:rsid w:val="004A4480"/>
    <w:rsid w:val="004A4865"/>
    <w:rsid w:val="004A488B"/>
    <w:rsid w:val="004A4AD7"/>
    <w:rsid w:val="004A503D"/>
    <w:rsid w:val="004A5789"/>
    <w:rsid w:val="004A57B8"/>
    <w:rsid w:val="004A5A8E"/>
    <w:rsid w:val="004A6793"/>
    <w:rsid w:val="004A70BE"/>
    <w:rsid w:val="004A715C"/>
    <w:rsid w:val="004A7384"/>
    <w:rsid w:val="004A759E"/>
    <w:rsid w:val="004A76FB"/>
    <w:rsid w:val="004B0423"/>
    <w:rsid w:val="004B05EC"/>
    <w:rsid w:val="004B07CB"/>
    <w:rsid w:val="004B1D26"/>
    <w:rsid w:val="004B2686"/>
    <w:rsid w:val="004B2982"/>
    <w:rsid w:val="004B298F"/>
    <w:rsid w:val="004B2DEA"/>
    <w:rsid w:val="004B31E5"/>
    <w:rsid w:val="004B32D8"/>
    <w:rsid w:val="004B3702"/>
    <w:rsid w:val="004B3906"/>
    <w:rsid w:val="004B3DD5"/>
    <w:rsid w:val="004B3F99"/>
    <w:rsid w:val="004B4318"/>
    <w:rsid w:val="004B457F"/>
    <w:rsid w:val="004B47C6"/>
    <w:rsid w:val="004B4B55"/>
    <w:rsid w:val="004B4ED0"/>
    <w:rsid w:val="004B573E"/>
    <w:rsid w:val="004B585C"/>
    <w:rsid w:val="004B5BC1"/>
    <w:rsid w:val="004B5DCE"/>
    <w:rsid w:val="004B5F3D"/>
    <w:rsid w:val="004B5F70"/>
    <w:rsid w:val="004B6038"/>
    <w:rsid w:val="004B6B11"/>
    <w:rsid w:val="004B6CC1"/>
    <w:rsid w:val="004B749C"/>
    <w:rsid w:val="004B767C"/>
    <w:rsid w:val="004B7BE8"/>
    <w:rsid w:val="004B7BF0"/>
    <w:rsid w:val="004C025D"/>
    <w:rsid w:val="004C052A"/>
    <w:rsid w:val="004C0C8E"/>
    <w:rsid w:val="004C0EC9"/>
    <w:rsid w:val="004C1472"/>
    <w:rsid w:val="004C172D"/>
    <w:rsid w:val="004C1ACE"/>
    <w:rsid w:val="004C1B06"/>
    <w:rsid w:val="004C1B5B"/>
    <w:rsid w:val="004C1F4C"/>
    <w:rsid w:val="004C296E"/>
    <w:rsid w:val="004C29B1"/>
    <w:rsid w:val="004C2BC2"/>
    <w:rsid w:val="004C41D4"/>
    <w:rsid w:val="004C4B0D"/>
    <w:rsid w:val="004C4B15"/>
    <w:rsid w:val="004C4CE7"/>
    <w:rsid w:val="004C511A"/>
    <w:rsid w:val="004C5437"/>
    <w:rsid w:val="004C5569"/>
    <w:rsid w:val="004C5A6E"/>
    <w:rsid w:val="004C5ABA"/>
    <w:rsid w:val="004C5D24"/>
    <w:rsid w:val="004C5DEA"/>
    <w:rsid w:val="004C602A"/>
    <w:rsid w:val="004C60AC"/>
    <w:rsid w:val="004C699D"/>
    <w:rsid w:val="004C6A24"/>
    <w:rsid w:val="004C6E67"/>
    <w:rsid w:val="004C7153"/>
    <w:rsid w:val="004C72BC"/>
    <w:rsid w:val="004C7499"/>
    <w:rsid w:val="004C7CD5"/>
    <w:rsid w:val="004C7FAA"/>
    <w:rsid w:val="004D0D8D"/>
    <w:rsid w:val="004D12EE"/>
    <w:rsid w:val="004D2E12"/>
    <w:rsid w:val="004D2F5C"/>
    <w:rsid w:val="004D2F98"/>
    <w:rsid w:val="004D35BA"/>
    <w:rsid w:val="004D3888"/>
    <w:rsid w:val="004D3A2C"/>
    <w:rsid w:val="004D3A88"/>
    <w:rsid w:val="004D3B96"/>
    <w:rsid w:val="004D44E4"/>
    <w:rsid w:val="004D47ED"/>
    <w:rsid w:val="004D4EDC"/>
    <w:rsid w:val="004D58FF"/>
    <w:rsid w:val="004D64B7"/>
    <w:rsid w:val="004D64D8"/>
    <w:rsid w:val="004D6595"/>
    <w:rsid w:val="004D6DFE"/>
    <w:rsid w:val="004D72F2"/>
    <w:rsid w:val="004D73BB"/>
    <w:rsid w:val="004D7CA0"/>
    <w:rsid w:val="004D7E55"/>
    <w:rsid w:val="004E0108"/>
    <w:rsid w:val="004E0D2C"/>
    <w:rsid w:val="004E0E58"/>
    <w:rsid w:val="004E1BC6"/>
    <w:rsid w:val="004E1D7C"/>
    <w:rsid w:val="004E224D"/>
    <w:rsid w:val="004E2383"/>
    <w:rsid w:val="004E2B23"/>
    <w:rsid w:val="004E2D97"/>
    <w:rsid w:val="004E340F"/>
    <w:rsid w:val="004E3545"/>
    <w:rsid w:val="004E3889"/>
    <w:rsid w:val="004E397A"/>
    <w:rsid w:val="004E3F7A"/>
    <w:rsid w:val="004E4065"/>
    <w:rsid w:val="004E417B"/>
    <w:rsid w:val="004E43D4"/>
    <w:rsid w:val="004E44E6"/>
    <w:rsid w:val="004E4E2B"/>
    <w:rsid w:val="004E5019"/>
    <w:rsid w:val="004E5B69"/>
    <w:rsid w:val="004E6946"/>
    <w:rsid w:val="004E6C28"/>
    <w:rsid w:val="004E742F"/>
    <w:rsid w:val="004E763C"/>
    <w:rsid w:val="004F000B"/>
    <w:rsid w:val="004F0593"/>
    <w:rsid w:val="004F092C"/>
    <w:rsid w:val="004F0989"/>
    <w:rsid w:val="004F0D1A"/>
    <w:rsid w:val="004F0ED5"/>
    <w:rsid w:val="004F11A4"/>
    <w:rsid w:val="004F12FA"/>
    <w:rsid w:val="004F1389"/>
    <w:rsid w:val="004F165D"/>
    <w:rsid w:val="004F1AB2"/>
    <w:rsid w:val="004F1AD8"/>
    <w:rsid w:val="004F2182"/>
    <w:rsid w:val="004F218D"/>
    <w:rsid w:val="004F28F9"/>
    <w:rsid w:val="004F3141"/>
    <w:rsid w:val="004F397D"/>
    <w:rsid w:val="004F3B21"/>
    <w:rsid w:val="004F3DE1"/>
    <w:rsid w:val="004F3F06"/>
    <w:rsid w:val="004F3FAD"/>
    <w:rsid w:val="004F40E2"/>
    <w:rsid w:val="004F4D38"/>
    <w:rsid w:val="004F5547"/>
    <w:rsid w:val="004F58BC"/>
    <w:rsid w:val="004F58D8"/>
    <w:rsid w:val="004F5E6E"/>
    <w:rsid w:val="004F6256"/>
    <w:rsid w:val="004F7071"/>
    <w:rsid w:val="0050077A"/>
    <w:rsid w:val="0050099E"/>
    <w:rsid w:val="005009BC"/>
    <w:rsid w:val="00500AA4"/>
    <w:rsid w:val="00500E74"/>
    <w:rsid w:val="005011D3"/>
    <w:rsid w:val="005015AB"/>
    <w:rsid w:val="005017B3"/>
    <w:rsid w:val="00501D3D"/>
    <w:rsid w:val="005024CE"/>
    <w:rsid w:val="0050299D"/>
    <w:rsid w:val="005033DD"/>
    <w:rsid w:val="0050340F"/>
    <w:rsid w:val="0050378F"/>
    <w:rsid w:val="005039CB"/>
    <w:rsid w:val="00503D70"/>
    <w:rsid w:val="00503F11"/>
    <w:rsid w:val="0050427A"/>
    <w:rsid w:val="005043CF"/>
    <w:rsid w:val="0050440F"/>
    <w:rsid w:val="00504568"/>
    <w:rsid w:val="00504AAF"/>
    <w:rsid w:val="00504EC0"/>
    <w:rsid w:val="0050523A"/>
    <w:rsid w:val="0050558F"/>
    <w:rsid w:val="005058B6"/>
    <w:rsid w:val="00505B7F"/>
    <w:rsid w:val="00505C5B"/>
    <w:rsid w:val="00505E3D"/>
    <w:rsid w:val="00506225"/>
    <w:rsid w:val="00506286"/>
    <w:rsid w:val="005063EC"/>
    <w:rsid w:val="00506948"/>
    <w:rsid w:val="00506BDB"/>
    <w:rsid w:val="00506E7F"/>
    <w:rsid w:val="00507773"/>
    <w:rsid w:val="00507A2E"/>
    <w:rsid w:val="00507B8B"/>
    <w:rsid w:val="00510508"/>
    <w:rsid w:val="00510813"/>
    <w:rsid w:val="00510C86"/>
    <w:rsid w:val="0051107C"/>
    <w:rsid w:val="005112FC"/>
    <w:rsid w:val="00511954"/>
    <w:rsid w:val="00511990"/>
    <w:rsid w:val="00511A8A"/>
    <w:rsid w:val="00511B99"/>
    <w:rsid w:val="00511DE0"/>
    <w:rsid w:val="00513E3E"/>
    <w:rsid w:val="005143F5"/>
    <w:rsid w:val="00514870"/>
    <w:rsid w:val="00514B9B"/>
    <w:rsid w:val="00514FFE"/>
    <w:rsid w:val="00515194"/>
    <w:rsid w:val="0051541C"/>
    <w:rsid w:val="0051598E"/>
    <w:rsid w:val="00515D46"/>
    <w:rsid w:val="00516425"/>
    <w:rsid w:val="00516862"/>
    <w:rsid w:val="005169D6"/>
    <w:rsid w:val="00516A8A"/>
    <w:rsid w:val="005175D8"/>
    <w:rsid w:val="00517F02"/>
    <w:rsid w:val="0052008B"/>
    <w:rsid w:val="00520214"/>
    <w:rsid w:val="00520437"/>
    <w:rsid w:val="005205AD"/>
    <w:rsid w:val="00520A49"/>
    <w:rsid w:val="00520AF1"/>
    <w:rsid w:val="00520CE4"/>
    <w:rsid w:val="005214B9"/>
    <w:rsid w:val="005217D5"/>
    <w:rsid w:val="00521A19"/>
    <w:rsid w:val="005220F3"/>
    <w:rsid w:val="00522168"/>
    <w:rsid w:val="00522182"/>
    <w:rsid w:val="00522303"/>
    <w:rsid w:val="0052253E"/>
    <w:rsid w:val="00522D1B"/>
    <w:rsid w:val="00522D2A"/>
    <w:rsid w:val="00522DA6"/>
    <w:rsid w:val="00523614"/>
    <w:rsid w:val="00524303"/>
    <w:rsid w:val="005247BE"/>
    <w:rsid w:val="005248E5"/>
    <w:rsid w:val="00524B81"/>
    <w:rsid w:val="00524BA6"/>
    <w:rsid w:val="005258A2"/>
    <w:rsid w:val="005258BC"/>
    <w:rsid w:val="00527969"/>
    <w:rsid w:val="00527A26"/>
    <w:rsid w:val="005302E0"/>
    <w:rsid w:val="00530C57"/>
    <w:rsid w:val="00530D32"/>
    <w:rsid w:val="005314D9"/>
    <w:rsid w:val="00531772"/>
    <w:rsid w:val="0053187C"/>
    <w:rsid w:val="00531B55"/>
    <w:rsid w:val="00531E4D"/>
    <w:rsid w:val="0053231B"/>
    <w:rsid w:val="0053239A"/>
    <w:rsid w:val="00532520"/>
    <w:rsid w:val="00532745"/>
    <w:rsid w:val="0053279A"/>
    <w:rsid w:val="005329B0"/>
    <w:rsid w:val="00532FDC"/>
    <w:rsid w:val="00533602"/>
    <w:rsid w:val="00533826"/>
    <w:rsid w:val="00533DB0"/>
    <w:rsid w:val="00533E93"/>
    <w:rsid w:val="00534692"/>
    <w:rsid w:val="00534F3E"/>
    <w:rsid w:val="005351C3"/>
    <w:rsid w:val="005352CC"/>
    <w:rsid w:val="005352E4"/>
    <w:rsid w:val="00535344"/>
    <w:rsid w:val="00535466"/>
    <w:rsid w:val="005359FC"/>
    <w:rsid w:val="00536318"/>
    <w:rsid w:val="0053649E"/>
    <w:rsid w:val="00536917"/>
    <w:rsid w:val="00536BA4"/>
    <w:rsid w:val="0053700A"/>
    <w:rsid w:val="0053744F"/>
    <w:rsid w:val="00537DBA"/>
    <w:rsid w:val="00537F8F"/>
    <w:rsid w:val="005401AE"/>
    <w:rsid w:val="00540756"/>
    <w:rsid w:val="00540FE7"/>
    <w:rsid w:val="005410B0"/>
    <w:rsid w:val="00541835"/>
    <w:rsid w:val="00541A00"/>
    <w:rsid w:val="00541A55"/>
    <w:rsid w:val="0054219A"/>
    <w:rsid w:val="00542849"/>
    <w:rsid w:val="00542CD8"/>
    <w:rsid w:val="00542E07"/>
    <w:rsid w:val="0054324F"/>
    <w:rsid w:val="0054327A"/>
    <w:rsid w:val="00543311"/>
    <w:rsid w:val="005434C0"/>
    <w:rsid w:val="005434D4"/>
    <w:rsid w:val="00543562"/>
    <w:rsid w:val="0054365D"/>
    <w:rsid w:val="00543833"/>
    <w:rsid w:val="00543CCA"/>
    <w:rsid w:val="00544058"/>
    <w:rsid w:val="00544078"/>
    <w:rsid w:val="00544EBA"/>
    <w:rsid w:val="005451A9"/>
    <w:rsid w:val="00545424"/>
    <w:rsid w:val="005477AA"/>
    <w:rsid w:val="0054792A"/>
    <w:rsid w:val="00547A22"/>
    <w:rsid w:val="00550286"/>
    <w:rsid w:val="00550E9B"/>
    <w:rsid w:val="005514A7"/>
    <w:rsid w:val="00551812"/>
    <w:rsid w:val="00551841"/>
    <w:rsid w:val="00551D0D"/>
    <w:rsid w:val="00552FF1"/>
    <w:rsid w:val="0055365D"/>
    <w:rsid w:val="00553F96"/>
    <w:rsid w:val="0055418F"/>
    <w:rsid w:val="00554262"/>
    <w:rsid w:val="005544FD"/>
    <w:rsid w:val="00554A7B"/>
    <w:rsid w:val="00554CA6"/>
    <w:rsid w:val="00554FD5"/>
    <w:rsid w:val="0055546E"/>
    <w:rsid w:val="0055572C"/>
    <w:rsid w:val="00555D50"/>
    <w:rsid w:val="00556D21"/>
    <w:rsid w:val="00556EED"/>
    <w:rsid w:val="005570EF"/>
    <w:rsid w:val="005570FC"/>
    <w:rsid w:val="00557397"/>
    <w:rsid w:val="005575BF"/>
    <w:rsid w:val="00557A9B"/>
    <w:rsid w:val="00557EB6"/>
    <w:rsid w:val="00557EE2"/>
    <w:rsid w:val="00560358"/>
    <w:rsid w:val="00560836"/>
    <w:rsid w:val="00560D48"/>
    <w:rsid w:val="00560DDF"/>
    <w:rsid w:val="0056106A"/>
    <w:rsid w:val="005618C4"/>
    <w:rsid w:val="005618E8"/>
    <w:rsid w:val="00562B9C"/>
    <w:rsid w:val="00562E80"/>
    <w:rsid w:val="005633C5"/>
    <w:rsid w:val="00563BC1"/>
    <w:rsid w:val="00563F24"/>
    <w:rsid w:val="00564A81"/>
    <w:rsid w:val="00564E6E"/>
    <w:rsid w:val="005653E2"/>
    <w:rsid w:val="00565541"/>
    <w:rsid w:val="005655A4"/>
    <w:rsid w:val="00565A5F"/>
    <w:rsid w:val="00565F44"/>
    <w:rsid w:val="005662D2"/>
    <w:rsid w:val="005665AD"/>
    <w:rsid w:val="005666BF"/>
    <w:rsid w:val="00566769"/>
    <w:rsid w:val="00566CC9"/>
    <w:rsid w:val="00567339"/>
    <w:rsid w:val="005676A4"/>
    <w:rsid w:val="00567703"/>
    <w:rsid w:val="005677F5"/>
    <w:rsid w:val="00570AF4"/>
    <w:rsid w:val="00571341"/>
    <w:rsid w:val="00571C80"/>
    <w:rsid w:val="00571E09"/>
    <w:rsid w:val="005720AE"/>
    <w:rsid w:val="005722C9"/>
    <w:rsid w:val="00572471"/>
    <w:rsid w:val="00572605"/>
    <w:rsid w:val="00572794"/>
    <w:rsid w:val="005739A4"/>
    <w:rsid w:val="00573C98"/>
    <w:rsid w:val="0057473F"/>
    <w:rsid w:val="00574D95"/>
    <w:rsid w:val="0057569D"/>
    <w:rsid w:val="0057588A"/>
    <w:rsid w:val="005758D1"/>
    <w:rsid w:val="00575F72"/>
    <w:rsid w:val="00576512"/>
    <w:rsid w:val="005768B7"/>
    <w:rsid w:val="00576A86"/>
    <w:rsid w:val="00576A87"/>
    <w:rsid w:val="00576CE6"/>
    <w:rsid w:val="00577074"/>
    <w:rsid w:val="00577599"/>
    <w:rsid w:val="00577B0B"/>
    <w:rsid w:val="00577E1B"/>
    <w:rsid w:val="005800C5"/>
    <w:rsid w:val="00580F81"/>
    <w:rsid w:val="00580F87"/>
    <w:rsid w:val="00581478"/>
    <w:rsid w:val="005814A4"/>
    <w:rsid w:val="005822AC"/>
    <w:rsid w:val="00582AAA"/>
    <w:rsid w:val="00582BF2"/>
    <w:rsid w:val="00582DE7"/>
    <w:rsid w:val="00583278"/>
    <w:rsid w:val="00583329"/>
    <w:rsid w:val="0058338F"/>
    <w:rsid w:val="00583B7E"/>
    <w:rsid w:val="00583BEE"/>
    <w:rsid w:val="00584811"/>
    <w:rsid w:val="00584A9B"/>
    <w:rsid w:val="00584B5F"/>
    <w:rsid w:val="00584C77"/>
    <w:rsid w:val="00585ADD"/>
    <w:rsid w:val="00585F13"/>
    <w:rsid w:val="00586AA1"/>
    <w:rsid w:val="00586AD5"/>
    <w:rsid w:val="00586B93"/>
    <w:rsid w:val="00586F63"/>
    <w:rsid w:val="005873A9"/>
    <w:rsid w:val="00587B5B"/>
    <w:rsid w:val="00587E75"/>
    <w:rsid w:val="00590704"/>
    <w:rsid w:val="0059083B"/>
    <w:rsid w:val="00591118"/>
    <w:rsid w:val="00591307"/>
    <w:rsid w:val="0059157E"/>
    <w:rsid w:val="00591E99"/>
    <w:rsid w:val="0059201C"/>
    <w:rsid w:val="00592317"/>
    <w:rsid w:val="00592B1B"/>
    <w:rsid w:val="005934A5"/>
    <w:rsid w:val="00593743"/>
    <w:rsid w:val="00594031"/>
    <w:rsid w:val="005945B3"/>
    <w:rsid w:val="005949E2"/>
    <w:rsid w:val="00594D77"/>
    <w:rsid w:val="00595427"/>
    <w:rsid w:val="00596017"/>
    <w:rsid w:val="005963C1"/>
    <w:rsid w:val="0059652C"/>
    <w:rsid w:val="00596897"/>
    <w:rsid w:val="005969E4"/>
    <w:rsid w:val="00597240"/>
    <w:rsid w:val="0059777C"/>
    <w:rsid w:val="00597CAA"/>
    <w:rsid w:val="005A002B"/>
    <w:rsid w:val="005A0173"/>
    <w:rsid w:val="005A036F"/>
    <w:rsid w:val="005A06B7"/>
    <w:rsid w:val="005A07AD"/>
    <w:rsid w:val="005A0960"/>
    <w:rsid w:val="005A0C0E"/>
    <w:rsid w:val="005A0F42"/>
    <w:rsid w:val="005A11F8"/>
    <w:rsid w:val="005A1372"/>
    <w:rsid w:val="005A1759"/>
    <w:rsid w:val="005A1C4D"/>
    <w:rsid w:val="005A1F37"/>
    <w:rsid w:val="005A21C7"/>
    <w:rsid w:val="005A2ABB"/>
    <w:rsid w:val="005A2CA4"/>
    <w:rsid w:val="005A36D5"/>
    <w:rsid w:val="005A39EE"/>
    <w:rsid w:val="005A50D5"/>
    <w:rsid w:val="005A5A9D"/>
    <w:rsid w:val="005A5F60"/>
    <w:rsid w:val="005A652A"/>
    <w:rsid w:val="005A68A7"/>
    <w:rsid w:val="005A6BA2"/>
    <w:rsid w:val="005A728D"/>
    <w:rsid w:val="005A7968"/>
    <w:rsid w:val="005A7E32"/>
    <w:rsid w:val="005B0515"/>
    <w:rsid w:val="005B0A95"/>
    <w:rsid w:val="005B0CB0"/>
    <w:rsid w:val="005B1903"/>
    <w:rsid w:val="005B1B0B"/>
    <w:rsid w:val="005B1FA0"/>
    <w:rsid w:val="005B2180"/>
    <w:rsid w:val="005B2198"/>
    <w:rsid w:val="005B21EC"/>
    <w:rsid w:val="005B235B"/>
    <w:rsid w:val="005B2704"/>
    <w:rsid w:val="005B2AAC"/>
    <w:rsid w:val="005B2C03"/>
    <w:rsid w:val="005B2E23"/>
    <w:rsid w:val="005B2FC5"/>
    <w:rsid w:val="005B30AE"/>
    <w:rsid w:val="005B36BE"/>
    <w:rsid w:val="005B3955"/>
    <w:rsid w:val="005B3F7A"/>
    <w:rsid w:val="005B44C3"/>
    <w:rsid w:val="005B472F"/>
    <w:rsid w:val="005B4E9C"/>
    <w:rsid w:val="005B54A2"/>
    <w:rsid w:val="005B58D8"/>
    <w:rsid w:val="005B58DB"/>
    <w:rsid w:val="005B5A22"/>
    <w:rsid w:val="005B64D3"/>
    <w:rsid w:val="005B653E"/>
    <w:rsid w:val="005B69A3"/>
    <w:rsid w:val="005B6BCB"/>
    <w:rsid w:val="005B7619"/>
    <w:rsid w:val="005B7723"/>
    <w:rsid w:val="005B7D30"/>
    <w:rsid w:val="005C0D40"/>
    <w:rsid w:val="005C1126"/>
    <w:rsid w:val="005C24E4"/>
    <w:rsid w:val="005C2785"/>
    <w:rsid w:val="005C28A2"/>
    <w:rsid w:val="005C2D36"/>
    <w:rsid w:val="005C2DD3"/>
    <w:rsid w:val="005C3B6B"/>
    <w:rsid w:val="005C43CA"/>
    <w:rsid w:val="005C4414"/>
    <w:rsid w:val="005C49C1"/>
    <w:rsid w:val="005C4B11"/>
    <w:rsid w:val="005C4D93"/>
    <w:rsid w:val="005C4ED3"/>
    <w:rsid w:val="005C538D"/>
    <w:rsid w:val="005C5577"/>
    <w:rsid w:val="005C582E"/>
    <w:rsid w:val="005C592F"/>
    <w:rsid w:val="005C59EF"/>
    <w:rsid w:val="005C5B75"/>
    <w:rsid w:val="005C5D49"/>
    <w:rsid w:val="005C5E7D"/>
    <w:rsid w:val="005C66D9"/>
    <w:rsid w:val="005C6A43"/>
    <w:rsid w:val="005C6B66"/>
    <w:rsid w:val="005C7733"/>
    <w:rsid w:val="005C7822"/>
    <w:rsid w:val="005C7C3A"/>
    <w:rsid w:val="005D0DFD"/>
    <w:rsid w:val="005D1176"/>
    <w:rsid w:val="005D11D4"/>
    <w:rsid w:val="005D1653"/>
    <w:rsid w:val="005D1DC9"/>
    <w:rsid w:val="005D1FC8"/>
    <w:rsid w:val="005D2128"/>
    <w:rsid w:val="005D26B9"/>
    <w:rsid w:val="005D2957"/>
    <w:rsid w:val="005D2A0D"/>
    <w:rsid w:val="005D2BD7"/>
    <w:rsid w:val="005D35C0"/>
    <w:rsid w:val="005D362F"/>
    <w:rsid w:val="005D36AB"/>
    <w:rsid w:val="005D394B"/>
    <w:rsid w:val="005D3AD6"/>
    <w:rsid w:val="005D3D03"/>
    <w:rsid w:val="005D421F"/>
    <w:rsid w:val="005D42D8"/>
    <w:rsid w:val="005D433E"/>
    <w:rsid w:val="005D499F"/>
    <w:rsid w:val="005D49B8"/>
    <w:rsid w:val="005D4BDC"/>
    <w:rsid w:val="005D4D9A"/>
    <w:rsid w:val="005D4EB2"/>
    <w:rsid w:val="005D5441"/>
    <w:rsid w:val="005D551C"/>
    <w:rsid w:val="005D5B9E"/>
    <w:rsid w:val="005D64A9"/>
    <w:rsid w:val="005D65E3"/>
    <w:rsid w:val="005D67BE"/>
    <w:rsid w:val="005D6CBF"/>
    <w:rsid w:val="005D6FE6"/>
    <w:rsid w:val="005D7076"/>
    <w:rsid w:val="005E004E"/>
    <w:rsid w:val="005E0830"/>
    <w:rsid w:val="005E0BC0"/>
    <w:rsid w:val="005E199C"/>
    <w:rsid w:val="005E26F6"/>
    <w:rsid w:val="005E2B2C"/>
    <w:rsid w:val="005E2BB0"/>
    <w:rsid w:val="005E2C7C"/>
    <w:rsid w:val="005E34F1"/>
    <w:rsid w:val="005E3E6D"/>
    <w:rsid w:val="005E421C"/>
    <w:rsid w:val="005E4E3F"/>
    <w:rsid w:val="005E51F9"/>
    <w:rsid w:val="005E589F"/>
    <w:rsid w:val="005E62D2"/>
    <w:rsid w:val="005E67BE"/>
    <w:rsid w:val="005E6C06"/>
    <w:rsid w:val="005E6CE3"/>
    <w:rsid w:val="005E6F2C"/>
    <w:rsid w:val="005E7938"/>
    <w:rsid w:val="005E7D50"/>
    <w:rsid w:val="005E7ED9"/>
    <w:rsid w:val="005F0031"/>
    <w:rsid w:val="005F0105"/>
    <w:rsid w:val="005F05C7"/>
    <w:rsid w:val="005F08A2"/>
    <w:rsid w:val="005F1043"/>
    <w:rsid w:val="005F161A"/>
    <w:rsid w:val="005F1659"/>
    <w:rsid w:val="005F16C2"/>
    <w:rsid w:val="005F184A"/>
    <w:rsid w:val="005F19CD"/>
    <w:rsid w:val="005F1E24"/>
    <w:rsid w:val="005F21EC"/>
    <w:rsid w:val="005F366F"/>
    <w:rsid w:val="005F39EC"/>
    <w:rsid w:val="005F4529"/>
    <w:rsid w:val="005F4649"/>
    <w:rsid w:val="005F4B04"/>
    <w:rsid w:val="005F4CC4"/>
    <w:rsid w:val="005F4F6E"/>
    <w:rsid w:val="005F515A"/>
    <w:rsid w:val="005F5525"/>
    <w:rsid w:val="005F5B2D"/>
    <w:rsid w:val="005F5F7D"/>
    <w:rsid w:val="005F68AD"/>
    <w:rsid w:val="005F6A46"/>
    <w:rsid w:val="005F6C98"/>
    <w:rsid w:val="005F6E51"/>
    <w:rsid w:val="005F71B6"/>
    <w:rsid w:val="005F72D6"/>
    <w:rsid w:val="005F75D9"/>
    <w:rsid w:val="005F766B"/>
    <w:rsid w:val="005F7DFB"/>
    <w:rsid w:val="00600136"/>
    <w:rsid w:val="00600B00"/>
    <w:rsid w:val="00600DF4"/>
    <w:rsid w:val="006015B2"/>
    <w:rsid w:val="006018BB"/>
    <w:rsid w:val="006018D4"/>
    <w:rsid w:val="00601C70"/>
    <w:rsid w:val="00601DFC"/>
    <w:rsid w:val="00602307"/>
    <w:rsid w:val="00602430"/>
    <w:rsid w:val="006028CA"/>
    <w:rsid w:val="0060313A"/>
    <w:rsid w:val="00603187"/>
    <w:rsid w:val="00603F7F"/>
    <w:rsid w:val="0060419B"/>
    <w:rsid w:val="00604454"/>
    <w:rsid w:val="00604878"/>
    <w:rsid w:val="00604A55"/>
    <w:rsid w:val="00604B0C"/>
    <w:rsid w:val="00604F68"/>
    <w:rsid w:val="006059BE"/>
    <w:rsid w:val="00605F4B"/>
    <w:rsid w:val="0060616B"/>
    <w:rsid w:val="006065FA"/>
    <w:rsid w:val="00606B39"/>
    <w:rsid w:val="00606EB7"/>
    <w:rsid w:val="00607115"/>
    <w:rsid w:val="0060728C"/>
    <w:rsid w:val="006076DF"/>
    <w:rsid w:val="006077AA"/>
    <w:rsid w:val="00610183"/>
    <w:rsid w:val="0061070C"/>
    <w:rsid w:val="00610950"/>
    <w:rsid w:val="00610FE3"/>
    <w:rsid w:val="00611143"/>
    <w:rsid w:val="006113C0"/>
    <w:rsid w:val="00611715"/>
    <w:rsid w:val="00611929"/>
    <w:rsid w:val="006119A3"/>
    <w:rsid w:val="00611DB7"/>
    <w:rsid w:val="00611DEC"/>
    <w:rsid w:val="00611FC2"/>
    <w:rsid w:val="00612979"/>
    <w:rsid w:val="00612ACC"/>
    <w:rsid w:val="0061305E"/>
    <w:rsid w:val="00613166"/>
    <w:rsid w:val="006132FF"/>
    <w:rsid w:val="00613703"/>
    <w:rsid w:val="0061399E"/>
    <w:rsid w:val="006139EC"/>
    <w:rsid w:val="00613E49"/>
    <w:rsid w:val="00614097"/>
    <w:rsid w:val="00614608"/>
    <w:rsid w:val="00614FA3"/>
    <w:rsid w:val="0061567E"/>
    <w:rsid w:val="00615764"/>
    <w:rsid w:val="00615951"/>
    <w:rsid w:val="006159BC"/>
    <w:rsid w:val="00615A44"/>
    <w:rsid w:val="00615E31"/>
    <w:rsid w:val="00615F9E"/>
    <w:rsid w:val="006168E1"/>
    <w:rsid w:val="00616BD8"/>
    <w:rsid w:val="0061721C"/>
    <w:rsid w:val="00617571"/>
    <w:rsid w:val="00617CC3"/>
    <w:rsid w:val="0062071F"/>
    <w:rsid w:val="006207E1"/>
    <w:rsid w:val="00620843"/>
    <w:rsid w:val="00620947"/>
    <w:rsid w:val="00620AFC"/>
    <w:rsid w:val="00620B8E"/>
    <w:rsid w:val="00620FD1"/>
    <w:rsid w:val="006212CE"/>
    <w:rsid w:val="00621704"/>
    <w:rsid w:val="006224D3"/>
    <w:rsid w:val="006227BC"/>
    <w:rsid w:val="00622E75"/>
    <w:rsid w:val="00623094"/>
    <w:rsid w:val="0062313B"/>
    <w:rsid w:val="00623809"/>
    <w:rsid w:val="006239D1"/>
    <w:rsid w:val="006240F9"/>
    <w:rsid w:val="006242B1"/>
    <w:rsid w:val="006243EB"/>
    <w:rsid w:val="0062490D"/>
    <w:rsid w:val="00625387"/>
    <w:rsid w:val="00625EC6"/>
    <w:rsid w:val="0062620B"/>
    <w:rsid w:val="006262DA"/>
    <w:rsid w:val="00626B44"/>
    <w:rsid w:val="00626D91"/>
    <w:rsid w:val="00626EBD"/>
    <w:rsid w:val="00627158"/>
    <w:rsid w:val="00627308"/>
    <w:rsid w:val="00627D07"/>
    <w:rsid w:val="00627D0E"/>
    <w:rsid w:val="006306E3"/>
    <w:rsid w:val="0063098A"/>
    <w:rsid w:val="00630DCA"/>
    <w:rsid w:val="006310E6"/>
    <w:rsid w:val="00631884"/>
    <w:rsid w:val="00631A64"/>
    <w:rsid w:val="00632483"/>
    <w:rsid w:val="006328FF"/>
    <w:rsid w:val="00632B54"/>
    <w:rsid w:val="00632E7A"/>
    <w:rsid w:val="0063315B"/>
    <w:rsid w:val="00633717"/>
    <w:rsid w:val="00633889"/>
    <w:rsid w:val="00633B5C"/>
    <w:rsid w:val="00634232"/>
    <w:rsid w:val="00634787"/>
    <w:rsid w:val="00634FE5"/>
    <w:rsid w:val="00636AD5"/>
    <w:rsid w:val="00636BA0"/>
    <w:rsid w:val="006377A6"/>
    <w:rsid w:val="00637A3D"/>
    <w:rsid w:val="00640A6F"/>
    <w:rsid w:val="006411EF"/>
    <w:rsid w:val="006415CE"/>
    <w:rsid w:val="00641C99"/>
    <w:rsid w:val="00641D57"/>
    <w:rsid w:val="00642DB9"/>
    <w:rsid w:val="00643931"/>
    <w:rsid w:val="00643AC9"/>
    <w:rsid w:val="006448F4"/>
    <w:rsid w:val="00644BB7"/>
    <w:rsid w:val="0064529E"/>
    <w:rsid w:val="0064537A"/>
    <w:rsid w:val="00645610"/>
    <w:rsid w:val="00645F01"/>
    <w:rsid w:val="006460EE"/>
    <w:rsid w:val="0064616E"/>
    <w:rsid w:val="00646328"/>
    <w:rsid w:val="006464A2"/>
    <w:rsid w:val="00646A0E"/>
    <w:rsid w:val="00646E78"/>
    <w:rsid w:val="006505C1"/>
    <w:rsid w:val="0065067C"/>
    <w:rsid w:val="00650F84"/>
    <w:rsid w:val="00651533"/>
    <w:rsid w:val="00651BDF"/>
    <w:rsid w:val="00651D00"/>
    <w:rsid w:val="00652116"/>
    <w:rsid w:val="0065298D"/>
    <w:rsid w:val="00652D57"/>
    <w:rsid w:val="00653043"/>
    <w:rsid w:val="006533C9"/>
    <w:rsid w:val="00653483"/>
    <w:rsid w:val="006535F0"/>
    <w:rsid w:val="00653632"/>
    <w:rsid w:val="00654170"/>
    <w:rsid w:val="006543F5"/>
    <w:rsid w:val="006545EA"/>
    <w:rsid w:val="0065490B"/>
    <w:rsid w:val="006550DD"/>
    <w:rsid w:val="00655130"/>
    <w:rsid w:val="00655248"/>
    <w:rsid w:val="00655BF1"/>
    <w:rsid w:val="0065687D"/>
    <w:rsid w:val="006568A2"/>
    <w:rsid w:val="00656A58"/>
    <w:rsid w:val="00656E3B"/>
    <w:rsid w:val="006571F1"/>
    <w:rsid w:val="006572A1"/>
    <w:rsid w:val="0065746D"/>
    <w:rsid w:val="006577E1"/>
    <w:rsid w:val="00657D5B"/>
    <w:rsid w:val="00660044"/>
    <w:rsid w:val="0066013F"/>
    <w:rsid w:val="00660407"/>
    <w:rsid w:val="0066050C"/>
    <w:rsid w:val="006605D2"/>
    <w:rsid w:val="00660F1B"/>
    <w:rsid w:val="0066123D"/>
    <w:rsid w:val="00661E7F"/>
    <w:rsid w:val="006620D9"/>
    <w:rsid w:val="00662B87"/>
    <w:rsid w:val="00663427"/>
    <w:rsid w:val="00664043"/>
    <w:rsid w:val="00664083"/>
    <w:rsid w:val="00664136"/>
    <w:rsid w:val="00664483"/>
    <w:rsid w:val="00664C11"/>
    <w:rsid w:val="00665281"/>
    <w:rsid w:val="006652D7"/>
    <w:rsid w:val="006657FC"/>
    <w:rsid w:val="00665E60"/>
    <w:rsid w:val="0066636D"/>
    <w:rsid w:val="0066656E"/>
    <w:rsid w:val="006665DF"/>
    <w:rsid w:val="006667E2"/>
    <w:rsid w:val="00666A4B"/>
    <w:rsid w:val="006674CB"/>
    <w:rsid w:val="00667C28"/>
    <w:rsid w:val="00667C29"/>
    <w:rsid w:val="0067013C"/>
    <w:rsid w:val="0067082D"/>
    <w:rsid w:val="00670D00"/>
    <w:rsid w:val="006713CB"/>
    <w:rsid w:val="00671932"/>
    <w:rsid w:val="00671A2D"/>
    <w:rsid w:val="00671CBC"/>
    <w:rsid w:val="00672002"/>
    <w:rsid w:val="00672146"/>
    <w:rsid w:val="00673175"/>
    <w:rsid w:val="00673723"/>
    <w:rsid w:val="00673D0F"/>
    <w:rsid w:val="00674214"/>
    <w:rsid w:val="006744A5"/>
    <w:rsid w:val="006746C2"/>
    <w:rsid w:val="00674821"/>
    <w:rsid w:val="006748B8"/>
    <w:rsid w:val="00675077"/>
    <w:rsid w:val="0067553C"/>
    <w:rsid w:val="00675FD8"/>
    <w:rsid w:val="006766E0"/>
    <w:rsid w:val="006767BB"/>
    <w:rsid w:val="00676C54"/>
    <w:rsid w:val="00676DF4"/>
    <w:rsid w:val="006771F0"/>
    <w:rsid w:val="0067722B"/>
    <w:rsid w:val="006773F3"/>
    <w:rsid w:val="006775C3"/>
    <w:rsid w:val="0067761E"/>
    <w:rsid w:val="0067795C"/>
    <w:rsid w:val="00677C1F"/>
    <w:rsid w:val="006800AA"/>
    <w:rsid w:val="006802FD"/>
    <w:rsid w:val="00680760"/>
    <w:rsid w:val="00680ADF"/>
    <w:rsid w:val="00680D29"/>
    <w:rsid w:val="00680D42"/>
    <w:rsid w:val="00681396"/>
    <w:rsid w:val="006814D5"/>
    <w:rsid w:val="00681BCC"/>
    <w:rsid w:val="00681D31"/>
    <w:rsid w:val="00681E06"/>
    <w:rsid w:val="00681FA9"/>
    <w:rsid w:val="0068250B"/>
    <w:rsid w:val="00682C48"/>
    <w:rsid w:val="00682E3B"/>
    <w:rsid w:val="00682F09"/>
    <w:rsid w:val="00683765"/>
    <w:rsid w:val="006837E4"/>
    <w:rsid w:val="00683B38"/>
    <w:rsid w:val="0068436F"/>
    <w:rsid w:val="00684A2C"/>
    <w:rsid w:val="00684E74"/>
    <w:rsid w:val="006850CA"/>
    <w:rsid w:val="00685AF8"/>
    <w:rsid w:val="00685D3B"/>
    <w:rsid w:val="00685F41"/>
    <w:rsid w:val="006867A9"/>
    <w:rsid w:val="0068694B"/>
    <w:rsid w:val="00686A90"/>
    <w:rsid w:val="00686CF3"/>
    <w:rsid w:val="006878AD"/>
    <w:rsid w:val="00687BAC"/>
    <w:rsid w:val="006907E1"/>
    <w:rsid w:val="00690D08"/>
    <w:rsid w:val="00691183"/>
    <w:rsid w:val="00691487"/>
    <w:rsid w:val="006914C8"/>
    <w:rsid w:val="00691A53"/>
    <w:rsid w:val="00691D4E"/>
    <w:rsid w:val="00692133"/>
    <w:rsid w:val="00692564"/>
    <w:rsid w:val="00692654"/>
    <w:rsid w:val="0069290A"/>
    <w:rsid w:val="0069340D"/>
    <w:rsid w:val="006941D9"/>
    <w:rsid w:val="006941E4"/>
    <w:rsid w:val="00694473"/>
    <w:rsid w:val="00694EBD"/>
    <w:rsid w:val="00694F74"/>
    <w:rsid w:val="006950FA"/>
    <w:rsid w:val="006956E6"/>
    <w:rsid w:val="00695724"/>
    <w:rsid w:val="00695CE7"/>
    <w:rsid w:val="00695D40"/>
    <w:rsid w:val="00695E5F"/>
    <w:rsid w:val="00696842"/>
    <w:rsid w:val="0069775A"/>
    <w:rsid w:val="00697813"/>
    <w:rsid w:val="00697FBA"/>
    <w:rsid w:val="006A0104"/>
    <w:rsid w:val="006A0C3D"/>
    <w:rsid w:val="006A0E78"/>
    <w:rsid w:val="006A147D"/>
    <w:rsid w:val="006A1B3F"/>
    <w:rsid w:val="006A2329"/>
    <w:rsid w:val="006A24FF"/>
    <w:rsid w:val="006A318D"/>
    <w:rsid w:val="006A38DB"/>
    <w:rsid w:val="006A3D39"/>
    <w:rsid w:val="006A3E3D"/>
    <w:rsid w:val="006A3EE8"/>
    <w:rsid w:val="006A437A"/>
    <w:rsid w:val="006A4420"/>
    <w:rsid w:val="006A4560"/>
    <w:rsid w:val="006A4DBF"/>
    <w:rsid w:val="006A55E3"/>
    <w:rsid w:val="006A5EE0"/>
    <w:rsid w:val="006A5F02"/>
    <w:rsid w:val="006A682B"/>
    <w:rsid w:val="006A7110"/>
    <w:rsid w:val="006A72BF"/>
    <w:rsid w:val="006A73A8"/>
    <w:rsid w:val="006A7425"/>
    <w:rsid w:val="006A74FB"/>
    <w:rsid w:val="006A77B5"/>
    <w:rsid w:val="006A788A"/>
    <w:rsid w:val="006A79AB"/>
    <w:rsid w:val="006B0369"/>
    <w:rsid w:val="006B03F2"/>
    <w:rsid w:val="006B080B"/>
    <w:rsid w:val="006B0AE7"/>
    <w:rsid w:val="006B0D4A"/>
    <w:rsid w:val="006B0D62"/>
    <w:rsid w:val="006B0DC7"/>
    <w:rsid w:val="006B12AA"/>
    <w:rsid w:val="006B164C"/>
    <w:rsid w:val="006B17AF"/>
    <w:rsid w:val="006B2863"/>
    <w:rsid w:val="006B2E08"/>
    <w:rsid w:val="006B3363"/>
    <w:rsid w:val="006B34AD"/>
    <w:rsid w:val="006B37DC"/>
    <w:rsid w:val="006B3999"/>
    <w:rsid w:val="006B3A28"/>
    <w:rsid w:val="006B3C7C"/>
    <w:rsid w:val="006B3D88"/>
    <w:rsid w:val="006B487D"/>
    <w:rsid w:val="006B4F68"/>
    <w:rsid w:val="006B55E4"/>
    <w:rsid w:val="006B5A5A"/>
    <w:rsid w:val="006B5FF6"/>
    <w:rsid w:val="006B60BB"/>
    <w:rsid w:val="006B60EF"/>
    <w:rsid w:val="006B6141"/>
    <w:rsid w:val="006B6B26"/>
    <w:rsid w:val="006B6D29"/>
    <w:rsid w:val="006B702D"/>
    <w:rsid w:val="006B71A7"/>
    <w:rsid w:val="006B72C2"/>
    <w:rsid w:val="006B78C6"/>
    <w:rsid w:val="006B7CF7"/>
    <w:rsid w:val="006B7DB0"/>
    <w:rsid w:val="006C0042"/>
    <w:rsid w:val="006C0138"/>
    <w:rsid w:val="006C0246"/>
    <w:rsid w:val="006C0592"/>
    <w:rsid w:val="006C07CA"/>
    <w:rsid w:val="006C0972"/>
    <w:rsid w:val="006C1865"/>
    <w:rsid w:val="006C2111"/>
    <w:rsid w:val="006C272E"/>
    <w:rsid w:val="006C2A8E"/>
    <w:rsid w:val="006C2D77"/>
    <w:rsid w:val="006C2E42"/>
    <w:rsid w:val="006C36C2"/>
    <w:rsid w:val="006C3925"/>
    <w:rsid w:val="006C4096"/>
    <w:rsid w:val="006C40A0"/>
    <w:rsid w:val="006C419E"/>
    <w:rsid w:val="006C4886"/>
    <w:rsid w:val="006C4BF4"/>
    <w:rsid w:val="006C4DD9"/>
    <w:rsid w:val="006C4FB7"/>
    <w:rsid w:val="006C5479"/>
    <w:rsid w:val="006C57A4"/>
    <w:rsid w:val="006C607D"/>
    <w:rsid w:val="006C626A"/>
    <w:rsid w:val="006C6327"/>
    <w:rsid w:val="006C65E7"/>
    <w:rsid w:val="006C65E9"/>
    <w:rsid w:val="006C668D"/>
    <w:rsid w:val="006C6868"/>
    <w:rsid w:val="006C699C"/>
    <w:rsid w:val="006C6A75"/>
    <w:rsid w:val="006C6AC3"/>
    <w:rsid w:val="006C6CA2"/>
    <w:rsid w:val="006C6F08"/>
    <w:rsid w:val="006C7A24"/>
    <w:rsid w:val="006C7DB0"/>
    <w:rsid w:val="006D0260"/>
    <w:rsid w:val="006D0DD3"/>
    <w:rsid w:val="006D0EA7"/>
    <w:rsid w:val="006D1018"/>
    <w:rsid w:val="006D1121"/>
    <w:rsid w:val="006D125C"/>
    <w:rsid w:val="006D1350"/>
    <w:rsid w:val="006D13B5"/>
    <w:rsid w:val="006D1A67"/>
    <w:rsid w:val="006D2E76"/>
    <w:rsid w:val="006D2F21"/>
    <w:rsid w:val="006D3DA8"/>
    <w:rsid w:val="006D43F8"/>
    <w:rsid w:val="006D489D"/>
    <w:rsid w:val="006D4A9F"/>
    <w:rsid w:val="006D4EBF"/>
    <w:rsid w:val="006D4F23"/>
    <w:rsid w:val="006D5110"/>
    <w:rsid w:val="006D5C13"/>
    <w:rsid w:val="006D5D36"/>
    <w:rsid w:val="006D5F73"/>
    <w:rsid w:val="006D6C45"/>
    <w:rsid w:val="006D71EA"/>
    <w:rsid w:val="006D7A84"/>
    <w:rsid w:val="006D7FBD"/>
    <w:rsid w:val="006E0F29"/>
    <w:rsid w:val="006E12FF"/>
    <w:rsid w:val="006E176E"/>
    <w:rsid w:val="006E201B"/>
    <w:rsid w:val="006E214B"/>
    <w:rsid w:val="006E21A6"/>
    <w:rsid w:val="006E237F"/>
    <w:rsid w:val="006E2382"/>
    <w:rsid w:val="006E266D"/>
    <w:rsid w:val="006E26F4"/>
    <w:rsid w:val="006E2CFB"/>
    <w:rsid w:val="006E2E62"/>
    <w:rsid w:val="006E3507"/>
    <w:rsid w:val="006E35CB"/>
    <w:rsid w:val="006E3699"/>
    <w:rsid w:val="006E3AF9"/>
    <w:rsid w:val="006E3E7B"/>
    <w:rsid w:val="006E4004"/>
    <w:rsid w:val="006E44F4"/>
    <w:rsid w:val="006E4C9E"/>
    <w:rsid w:val="006E4FF9"/>
    <w:rsid w:val="006E5487"/>
    <w:rsid w:val="006E54B6"/>
    <w:rsid w:val="006E5523"/>
    <w:rsid w:val="006E5723"/>
    <w:rsid w:val="006E5F29"/>
    <w:rsid w:val="006E607E"/>
    <w:rsid w:val="006E68F4"/>
    <w:rsid w:val="006E690C"/>
    <w:rsid w:val="006E6AEF"/>
    <w:rsid w:val="006E6F2F"/>
    <w:rsid w:val="006E7E5C"/>
    <w:rsid w:val="006E7E9D"/>
    <w:rsid w:val="006F017E"/>
    <w:rsid w:val="006F0A69"/>
    <w:rsid w:val="006F1B3B"/>
    <w:rsid w:val="006F20A4"/>
    <w:rsid w:val="006F230C"/>
    <w:rsid w:val="006F2805"/>
    <w:rsid w:val="006F294E"/>
    <w:rsid w:val="006F2E39"/>
    <w:rsid w:val="006F3144"/>
    <w:rsid w:val="006F3596"/>
    <w:rsid w:val="006F3E68"/>
    <w:rsid w:val="006F3FFB"/>
    <w:rsid w:val="006F443B"/>
    <w:rsid w:val="006F477F"/>
    <w:rsid w:val="006F4E22"/>
    <w:rsid w:val="006F4E54"/>
    <w:rsid w:val="006F5052"/>
    <w:rsid w:val="006F57D4"/>
    <w:rsid w:val="006F5C7B"/>
    <w:rsid w:val="006F60A8"/>
    <w:rsid w:val="006F64FA"/>
    <w:rsid w:val="006F653F"/>
    <w:rsid w:val="006F6905"/>
    <w:rsid w:val="006F6B43"/>
    <w:rsid w:val="006F6C27"/>
    <w:rsid w:val="006F736A"/>
    <w:rsid w:val="006F75BB"/>
    <w:rsid w:val="006F7677"/>
    <w:rsid w:val="006F78D2"/>
    <w:rsid w:val="006F7CB5"/>
    <w:rsid w:val="00700616"/>
    <w:rsid w:val="00700745"/>
    <w:rsid w:val="00700BAF"/>
    <w:rsid w:val="00700C6E"/>
    <w:rsid w:val="007010F6"/>
    <w:rsid w:val="007015D1"/>
    <w:rsid w:val="00701B6A"/>
    <w:rsid w:val="00701BF7"/>
    <w:rsid w:val="00701CCD"/>
    <w:rsid w:val="007022A7"/>
    <w:rsid w:val="00702732"/>
    <w:rsid w:val="007028B5"/>
    <w:rsid w:val="007030B3"/>
    <w:rsid w:val="00703961"/>
    <w:rsid w:val="00703D40"/>
    <w:rsid w:val="00703DA1"/>
    <w:rsid w:val="00704324"/>
    <w:rsid w:val="00704427"/>
    <w:rsid w:val="007044A8"/>
    <w:rsid w:val="00704645"/>
    <w:rsid w:val="00704B16"/>
    <w:rsid w:val="00705315"/>
    <w:rsid w:val="00705667"/>
    <w:rsid w:val="00705695"/>
    <w:rsid w:val="00706C5D"/>
    <w:rsid w:val="00707781"/>
    <w:rsid w:val="00707FF5"/>
    <w:rsid w:val="00710165"/>
    <w:rsid w:val="007101AF"/>
    <w:rsid w:val="00710583"/>
    <w:rsid w:val="007109C5"/>
    <w:rsid w:val="00710A07"/>
    <w:rsid w:val="00710A63"/>
    <w:rsid w:val="00710D6E"/>
    <w:rsid w:val="00710DAD"/>
    <w:rsid w:val="007112E1"/>
    <w:rsid w:val="00711A37"/>
    <w:rsid w:val="00711BE0"/>
    <w:rsid w:val="007129E5"/>
    <w:rsid w:val="00712A73"/>
    <w:rsid w:val="00712EC4"/>
    <w:rsid w:val="00713053"/>
    <w:rsid w:val="007132FB"/>
    <w:rsid w:val="0071342D"/>
    <w:rsid w:val="00713F8C"/>
    <w:rsid w:val="00713F91"/>
    <w:rsid w:val="0071443D"/>
    <w:rsid w:val="00714C65"/>
    <w:rsid w:val="007158AC"/>
    <w:rsid w:val="0071592C"/>
    <w:rsid w:val="00715991"/>
    <w:rsid w:val="00715F17"/>
    <w:rsid w:val="00715FE5"/>
    <w:rsid w:val="00716204"/>
    <w:rsid w:val="007168D1"/>
    <w:rsid w:val="00716A5D"/>
    <w:rsid w:val="00716C43"/>
    <w:rsid w:val="007171C2"/>
    <w:rsid w:val="00717874"/>
    <w:rsid w:val="00717A04"/>
    <w:rsid w:val="007206C2"/>
    <w:rsid w:val="007207B7"/>
    <w:rsid w:val="0072095B"/>
    <w:rsid w:val="00720D4A"/>
    <w:rsid w:val="00720DA3"/>
    <w:rsid w:val="00720DC7"/>
    <w:rsid w:val="00720E09"/>
    <w:rsid w:val="00720E10"/>
    <w:rsid w:val="00720E16"/>
    <w:rsid w:val="00720E60"/>
    <w:rsid w:val="00721284"/>
    <w:rsid w:val="00721696"/>
    <w:rsid w:val="00721CE2"/>
    <w:rsid w:val="00722109"/>
    <w:rsid w:val="00722484"/>
    <w:rsid w:val="0072275F"/>
    <w:rsid w:val="00723782"/>
    <w:rsid w:val="00723B8F"/>
    <w:rsid w:val="0072423B"/>
    <w:rsid w:val="00724699"/>
    <w:rsid w:val="007249C5"/>
    <w:rsid w:val="00724C31"/>
    <w:rsid w:val="0072512A"/>
    <w:rsid w:val="00725320"/>
    <w:rsid w:val="0072551F"/>
    <w:rsid w:val="00725577"/>
    <w:rsid w:val="00725905"/>
    <w:rsid w:val="00725B93"/>
    <w:rsid w:val="00725E5F"/>
    <w:rsid w:val="00725F60"/>
    <w:rsid w:val="007264EE"/>
    <w:rsid w:val="007268E1"/>
    <w:rsid w:val="00727165"/>
    <w:rsid w:val="00727667"/>
    <w:rsid w:val="0072788D"/>
    <w:rsid w:val="007278B0"/>
    <w:rsid w:val="007278C2"/>
    <w:rsid w:val="00730056"/>
    <w:rsid w:val="0073011A"/>
    <w:rsid w:val="007304D4"/>
    <w:rsid w:val="00730B01"/>
    <w:rsid w:val="00731004"/>
    <w:rsid w:val="00731075"/>
    <w:rsid w:val="0073129B"/>
    <w:rsid w:val="00731EC7"/>
    <w:rsid w:val="00731F8E"/>
    <w:rsid w:val="00732082"/>
    <w:rsid w:val="00732129"/>
    <w:rsid w:val="0073218C"/>
    <w:rsid w:val="00732922"/>
    <w:rsid w:val="0073301D"/>
    <w:rsid w:val="007335A8"/>
    <w:rsid w:val="00733BC9"/>
    <w:rsid w:val="0073400B"/>
    <w:rsid w:val="00734167"/>
    <w:rsid w:val="00734292"/>
    <w:rsid w:val="0073430A"/>
    <w:rsid w:val="00734415"/>
    <w:rsid w:val="007344AE"/>
    <w:rsid w:val="00734A9B"/>
    <w:rsid w:val="00734B35"/>
    <w:rsid w:val="00734CE7"/>
    <w:rsid w:val="00734D68"/>
    <w:rsid w:val="007357CC"/>
    <w:rsid w:val="00735ADD"/>
    <w:rsid w:val="00735EE7"/>
    <w:rsid w:val="007363F6"/>
    <w:rsid w:val="00736855"/>
    <w:rsid w:val="00736B21"/>
    <w:rsid w:val="007373E5"/>
    <w:rsid w:val="00737669"/>
    <w:rsid w:val="00737A7C"/>
    <w:rsid w:val="00737DF5"/>
    <w:rsid w:val="007405A9"/>
    <w:rsid w:val="007405F8"/>
    <w:rsid w:val="0074083E"/>
    <w:rsid w:val="00740FC3"/>
    <w:rsid w:val="00741873"/>
    <w:rsid w:val="0074198F"/>
    <w:rsid w:val="007419FB"/>
    <w:rsid w:val="00742E1C"/>
    <w:rsid w:val="00743003"/>
    <w:rsid w:val="00743EAE"/>
    <w:rsid w:val="00744267"/>
    <w:rsid w:val="00744637"/>
    <w:rsid w:val="00744919"/>
    <w:rsid w:val="00745520"/>
    <w:rsid w:val="007455E2"/>
    <w:rsid w:val="00746073"/>
    <w:rsid w:val="00746077"/>
    <w:rsid w:val="0074651F"/>
    <w:rsid w:val="00746D06"/>
    <w:rsid w:val="00746F22"/>
    <w:rsid w:val="0074766B"/>
    <w:rsid w:val="0075059D"/>
    <w:rsid w:val="007511D0"/>
    <w:rsid w:val="0075162E"/>
    <w:rsid w:val="00751755"/>
    <w:rsid w:val="0075194D"/>
    <w:rsid w:val="007519DE"/>
    <w:rsid w:val="00751EC8"/>
    <w:rsid w:val="00751F15"/>
    <w:rsid w:val="0075205A"/>
    <w:rsid w:val="00753364"/>
    <w:rsid w:val="00753381"/>
    <w:rsid w:val="0075348E"/>
    <w:rsid w:val="007538FC"/>
    <w:rsid w:val="00753D4B"/>
    <w:rsid w:val="00754034"/>
    <w:rsid w:val="00754276"/>
    <w:rsid w:val="00754AF9"/>
    <w:rsid w:val="00754FE4"/>
    <w:rsid w:val="00755C34"/>
    <w:rsid w:val="00755CBE"/>
    <w:rsid w:val="00755E6E"/>
    <w:rsid w:val="00756252"/>
    <w:rsid w:val="00756556"/>
    <w:rsid w:val="007565F5"/>
    <w:rsid w:val="0075677E"/>
    <w:rsid w:val="00756AD4"/>
    <w:rsid w:val="00756D37"/>
    <w:rsid w:val="00756E4F"/>
    <w:rsid w:val="007570EE"/>
    <w:rsid w:val="00757CD4"/>
    <w:rsid w:val="00757CFC"/>
    <w:rsid w:val="007600D8"/>
    <w:rsid w:val="0076026A"/>
    <w:rsid w:val="00760B62"/>
    <w:rsid w:val="007616FB"/>
    <w:rsid w:val="007617AF"/>
    <w:rsid w:val="007618C4"/>
    <w:rsid w:val="007619FD"/>
    <w:rsid w:val="00761E82"/>
    <w:rsid w:val="0076252B"/>
    <w:rsid w:val="00762D75"/>
    <w:rsid w:val="00763092"/>
    <w:rsid w:val="007637DC"/>
    <w:rsid w:val="007637F7"/>
    <w:rsid w:val="00763F2D"/>
    <w:rsid w:val="0076420C"/>
    <w:rsid w:val="0076463E"/>
    <w:rsid w:val="007648C8"/>
    <w:rsid w:val="00764F5D"/>
    <w:rsid w:val="00765232"/>
    <w:rsid w:val="00765533"/>
    <w:rsid w:val="007656AA"/>
    <w:rsid w:val="0076616B"/>
    <w:rsid w:val="007662D4"/>
    <w:rsid w:val="0076643F"/>
    <w:rsid w:val="0076652F"/>
    <w:rsid w:val="00766AEB"/>
    <w:rsid w:val="00766B14"/>
    <w:rsid w:val="0076784C"/>
    <w:rsid w:val="007678E4"/>
    <w:rsid w:val="00767980"/>
    <w:rsid w:val="00767DF8"/>
    <w:rsid w:val="00770B19"/>
    <w:rsid w:val="00770C05"/>
    <w:rsid w:val="007712FD"/>
    <w:rsid w:val="00771452"/>
    <w:rsid w:val="0077190C"/>
    <w:rsid w:val="00771D47"/>
    <w:rsid w:val="00771D5F"/>
    <w:rsid w:val="00771E9A"/>
    <w:rsid w:val="00772158"/>
    <w:rsid w:val="007726EB"/>
    <w:rsid w:val="00772916"/>
    <w:rsid w:val="007729CA"/>
    <w:rsid w:val="00772C90"/>
    <w:rsid w:val="00773014"/>
    <w:rsid w:val="007731BA"/>
    <w:rsid w:val="007734AE"/>
    <w:rsid w:val="007735AB"/>
    <w:rsid w:val="00773797"/>
    <w:rsid w:val="007738EE"/>
    <w:rsid w:val="00773AE0"/>
    <w:rsid w:val="00773AE4"/>
    <w:rsid w:val="007741B7"/>
    <w:rsid w:val="00774212"/>
    <w:rsid w:val="0077463F"/>
    <w:rsid w:val="00774C55"/>
    <w:rsid w:val="0077505A"/>
    <w:rsid w:val="00775358"/>
    <w:rsid w:val="00775479"/>
    <w:rsid w:val="00775C57"/>
    <w:rsid w:val="00775CAE"/>
    <w:rsid w:val="00776476"/>
    <w:rsid w:val="00776697"/>
    <w:rsid w:val="00776990"/>
    <w:rsid w:val="00776B95"/>
    <w:rsid w:val="00777005"/>
    <w:rsid w:val="00777036"/>
    <w:rsid w:val="00777285"/>
    <w:rsid w:val="0077751C"/>
    <w:rsid w:val="00777587"/>
    <w:rsid w:val="007775FB"/>
    <w:rsid w:val="00777879"/>
    <w:rsid w:val="007779B8"/>
    <w:rsid w:val="00780006"/>
    <w:rsid w:val="00780D02"/>
    <w:rsid w:val="00780EC0"/>
    <w:rsid w:val="0078116B"/>
    <w:rsid w:val="00782322"/>
    <w:rsid w:val="0078267B"/>
    <w:rsid w:val="00782BA8"/>
    <w:rsid w:val="00782E8B"/>
    <w:rsid w:val="00783029"/>
    <w:rsid w:val="0078324F"/>
    <w:rsid w:val="007836EA"/>
    <w:rsid w:val="00783820"/>
    <w:rsid w:val="0078441F"/>
    <w:rsid w:val="00784683"/>
    <w:rsid w:val="00784CDA"/>
    <w:rsid w:val="00784E52"/>
    <w:rsid w:val="0078535B"/>
    <w:rsid w:val="00785C5F"/>
    <w:rsid w:val="00785EAD"/>
    <w:rsid w:val="00785EE2"/>
    <w:rsid w:val="00785FC2"/>
    <w:rsid w:val="007860DC"/>
    <w:rsid w:val="0078657A"/>
    <w:rsid w:val="007868B6"/>
    <w:rsid w:val="00786DCB"/>
    <w:rsid w:val="00786FB7"/>
    <w:rsid w:val="00787161"/>
    <w:rsid w:val="0078731C"/>
    <w:rsid w:val="00787987"/>
    <w:rsid w:val="00787BD9"/>
    <w:rsid w:val="00787F05"/>
    <w:rsid w:val="007906C4"/>
    <w:rsid w:val="0079071E"/>
    <w:rsid w:val="00790FDB"/>
    <w:rsid w:val="00791205"/>
    <w:rsid w:val="00791FC2"/>
    <w:rsid w:val="0079200C"/>
    <w:rsid w:val="00792011"/>
    <w:rsid w:val="00792B6D"/>
    <w:rsid w:val="00792EA0"/>
    <w:rsid w:val="00793548"/>
    <w:rsid w:val="007940EA"/>
    <w:rsid w:val="00794544"/>
    <w:rsid w:val="007945CE"/>
    <w:rsid w:val="00794BA8"/>
    <w:rsid w:val="00795994"/>
    <w:rsid w:val="00796622"/>
    <w:rsid w:val="007967C1"/>
    <w:rsid w:val="007967DE"/>
    <w:rsid w:val="007967E8"/>
    <w:rsid w:val="00796B6A"/>
    <w:rsid w:val="00796EFE"/>
    <w:rsid w:val="00797E07"/>
    <w:rsid w:val="007A0492"/>
    <w:rsid w:val="007A1057"/>
    <w:rsid w:val="007A1A77"/>
    <w:rsid w:val="007A2170"/>
    <w:rsid w:val="007A22BF"/>
    <w:rsid w:val="007A27C0"/>
    <w:rsid w:val="007A2F5D"/>
    <w:rsid w:val="007A3323"/>
    <w:rsid w:val="007A3A87"/>
    <w:rsid w:val="007A4346"/>
    <w:rsid w:val="007A491A"/>
    <w:rsid w:val="007A49C8"/>
    <w:rsid w:val="007A4BD6"/>
    <w:rsid w:val="007A4EFE"/>
    <w:rsid w:val="007A5561"/>
    <w:rsid w:val="007A55F3"/>
    <w:rsid w:val="007A5D67"/>
    <w:rsid w:val="007A6121"/>
    <w:rsid w:val="007A66A4"/>
    <w:rsid w:val="007A696B"/>
    <w:rsid w:val="007A6CF1"/>
    <w:rsid w:val="007A732A"/>
    <w:rsid w:val="007A73DC"/>
    <w:rsid w:val="007A740A"/>
    <w:rsid w:val="007A7587"/>
    <w:rsid w:val="007A78C6"/>
    <w:rsid w:val="007A7DB1"/>
    <w:rsid w:val="007A7F8C"/>
    <w:rsid w:val="007B04AA"/>
    <w:rsid w:val="007B077D"/>
    <w:rsid w:val="007B07F3"/>
    <w:rsid w:val="007B09C3"/>
    <w:rsid w:val="007B1877"/>
    <w:rsid w:val="007B1899"/>
    <w:rsid w:val="007B1B75"/>
    <w:rsid w:val="007B1C6F"/>
    <w:rsid w:val="007B1D8A"/>
    <w:rsid w:val="007B3835"/>
    <w:rsid w:val="007B3B43"/>
    <w:rsid w:val="007B5254"/>
    <w:rsid w:val="007B5590"/>
    <w:rsid w:val="007B56CA"/>
    <w:rsid w:val="007B5F80"/>
    <w:rsid w:val="007B65F0"/>
    <w:rsid w:val="007B6615"/>
    <w:rsid w:val="007B6DF6"/>
    <w:rsid w:val="007B6DFB"/>
    <w:rsid w:val="007B72B8"/>
    <w:rsid w:val="007B74B0"/>
    <w:rsid w:val="007B7A58"/>
    <w:rsid w:val="007B7EF4"/>
    <w:rsid w:val="007B7F0F"/>
    <w:rsid w:val="007B7F8B"/>
    <w:rsid w:val="007C038C"/>
    <w:rsid w:val="007C06F5"/>
    <w:rsid w:val="007C09CF"/>
    <w:rsid w:val="007C0A26"/>
    <w:rsid w:val="007C0AD9"/>
    <w:rsid w:val="007C0F0F"/>
    <w:rsid w:val="007C11BA"/>
    <w:rsid w:val="007C1931"/>
    <w:rsid w:val="007C1DBF"/>
    <w:rsid w:val="007C1FAF"/>
    <w:rsid w:val="007C1FF4"/>
    <w:rsid w:val="007C21B5"/>
    <w:rsid w:val="007C253B"/>
    <w:rsid w:val="007C2836"/>
    <w:rsid w:val="007C2C5F"/>
    <w:rsid w:val="007C2CAD"/>
    <w:rsid w:val="007C2D5C"/>
    <w:rsid w:val="007C5088"/>
    <w:rsid w:val="007C5336"/>
    <w:rsid w:val="007C570C"/>
    <w:rsid w:val="007C5FBD"/>
    <w:rsid w:val="007C6157"/>
    <w:rsid w:val="007C62F9"/>
    <w:rsid w:val="007C6317"/>
    <w:rsid w:val="007C6732"/>
    <w:rsid w:val="007C685E"/>
    <w:rsid w:val="007C6B23"/>
    <w:rsid w:val="007C713F"/>
    <w:rsid w:val="007C7658"/>
    <w:rsid w:val="007C7D19"/>
    <w:rsid w:val="007C7DBE"/>
    <w:rsid w:val="007D0766"/>
    <w:rsid w:val="007D0B69"/>
    <w:rsid w:val="007D11FA"/>
    <w:rsid w:val="007D1412"/>
    <w:rsid w:val="007D1597"/>
    <w:rsid w:val="007D1B3C"/>
    <w:rsid w:val="007D1CD8"/>
    <w:rsid w:val="007D25D5"/>
    <w:rsid w:val="007D2A49"/>
    <w:rsid w:val="007D3233"/>
    <w:rsid w:val="007D32C4"/>
    <w:rsid w:val="007D3560"/>
    <w:rsid w:val="007D41C2"/>
    <w:rsid w:val="007D43B6"/>
    <w:rsid w:val="007D4D1C"/>
    <w:rsid w:val="007D534B"/>
    <w:rsid w:val="007D58DE"/>
    <w:rsid w:val="007D5EC5"/>
    <w:rsid w:val="007D5F8F"/>
    <w:rsid w:val="007D6AD7"/>
    <w:rsid w:val="007D6BCA"/>
    <w:rsid w:val="007D6E82"/>
    <w:rsid w:val="007D718C"/>
    <w:rsid w:val="007D79B3"/>
    <w:rsid w:val="007D7AD1"/>
    <w:rsid w:val="007D7AF2"/>
    <w:rsid w:val="007D7C5A"/>
    <w:rsid w:val="007E0B5F"/>
    <w:rsid w:val="007E0CC0"/>
    <w:rsid w:val="007E160B"/>
    <w:rsid w:val="007E1FE2"/>
    <w:rsid w:val="007E21FF"/>
    <w:rsid w:val="007E24A6"/>
    <w:rsid w:val="007E260D"/>
    <w:rsid w:val="007E2656"/>
    <w:rsid w:val="007E26A3"/>
    <w:rsid w:val="007E28D7"/>
    <w:rsid w:val="007E2BDE"/>
    <w:rsid w:val="007E2BF1"/>
    <w:rsid w:val="007E38C2"/>
    <w:rsid w:val="007E3B60"/>
    <w:rsid w:val="007E3C15"/>
    <w:rsid w:val="007E40CF"/>
    <w:rsid w:val="007E48EC"/>
    <w:rsid w:val="007E4BD2"/>
    <w:rsid w:val="007E4C40"/>
    <w:rsid w:val="007E4EF2"/>
    <w:rsid w:val="007E5500"/>
    <w:rsid w:val="007E5561"/>
    <w:rsid w:val="007E55C6"/>
    <w:rsid w:val="007E5B50"/>
    <w:rsid w:val="007E6938"/>
    <w:rsid w:val="007E69CC"/>
    <w:rsid w:val="007E7930"/>
    <w:rsid w:val="007E7D0D"/>
    <w:rsid w:val="007F0945"/>
    <w:rsid w:val="007F096A"/>
    <w:rsid w:val="007F0F81"/>
    <w:rsid w:val="007F0FED"/>
    <w:rsid w:val="007F1025"/>
    <w:rsid w:val="007F13A5"/>
    <w:rsid w:val="007F1E6D"/>
    <w:rsid w:val="007F24F3"/>
    <w:rsid w:val="007F28AB"/>
    <w:rsid w:val="007F3285"/>
    <w:rsid w:val="007F4543"/>
    <w:rsid w:val="007F4AA6"/>
    <w:rsid w:val="007F52B2"/>
    <w:rsid w:val="007F53BF"/>
    <w:rsid w:val="007F58A2"/>
    <w:rsid w:val="007F6094"/>
    <w:rsid w:val="007F626D"/>
    <w:rsid w:val="007F680E"/>
    <w:rsid w:val="007F69ED"/>
    <w:rsid w:val="007F6F6D"/>
    <w:rsid w:val="007F715C"/>
    <w:rsid w:val="007F7318"/>
    <w:rsid w:val="007F75A7"/>
    <w:rsid w:val="007F7C2B"/>
    <w:rsid w:val="007F7EB6"/>
    <w:rsid w:val="007F7ECC"/>
    <w:rsid w:val="008004F2"/>
    <w:rsid w:val="00800621"/>
    <w:rsid w:val="00801393"/>
    <w:rsid w:val="00801420"/>
    <w:rsid w:val="00801877"/>
    <w:rsid w:val="00801B17"/>
    <w:rsid w:val="0080259E"/>
    <w:rsid w:val="0080284A"/>
    <w:rsid w:val="008028F2"/>
    <w:rsid w:val="00802C89"/>
    <w:rsid w:val="00802F88"/>
    <w:rsid w:val="008039CA"/>
    <w:rsid w:val="00803CAD"/>
    <w:rsid w:val="00803D7F"/>
    <w:rsid w:val="00804248"/>
    <w:rsid w:val="0080432E"/>
    <w:rsid w:val="00804740"/>
    <w:rsid w:val="00804DD7"/>
    <w:rsid w:val="00805708"/>
    <w:rsid w:val="00805C67"/>
    <w:rsid w:val="00805D99"/>
    <w:rsid w:val="008061C0"/>
    <w:rsid w:val="0080669B"/>
    <w:rsid w:val="0080687B"/>
    <w:rsid w:val="00807089"/>
    <w:rsid w:val="008101D9"/>
    <w:rsid w:val="0081067D"/>
    <w:rsid w:val="00810E9A"/>
    <w:rsid w:val="00811692"/>
    <w:rsid w:val="00811C6C"/>
    <w:rsid w:val="00811E54"/>
    <w:rsid w:val="008120D3"/>
    <w:rsid w:val="0081293E"/>
    <w:rsid w:val="00813BFA"/>
    <w:rsid w:val="008140A7"/>
    <w:rsid w:val="0081496D"/>
    <w:rsid w:val="00814AF0"/>
    <w:rsid w:val="00815268"/>
    <w:rsid w:val="00815398"/>
    <w:rsid w:val="00815465"/>
    <w:rsid w:val="00815712"/>
    <w:rsid w:val="00815745"/>
    <w:rsid w:val="00815C24"/>
    <w:rsid w:val="0081637E"/>
    <w:rsid w:val="00816610"/>
    <w:rsid w:val="00816C00"/>
    <w:rsid w:val="00817E9A"/>
    <w:rsid w:val="00820458"/>
    <w:rsid w:val="008207AC"/>
    <w:rsid w:val="00820EF9"/>
    <w:rsid w:val="00820F16"/>
    <w:rsid w:val="00820FA3"/>
    <w:rsid w:val="008218A9"/>
    <w:rsid w:val="00821961"/>
    <w:rsid w:val="008221C4"/>
    <w:rsid w:val="00822A9F"/>
    <w:rsid w:val="00822B00"/>
    <w:rsid w:val="008231D3"/>
    <w:rsid w:val="008239E0"/>
    <w:rsid w:val="00823C3F"/>
    <w:rsid w:val="00823C56"/>
    <w:rsid w:val="008242C9"/>
    <w:rsid w:val="0082440F"/>
    <w:rsid w:val="00824C2A"/>
    <w:rsid w:val="00825036"/>
    <w:rsid w:val="0082509B"/>
    <w:rsid w:val="00825460"/>
    <w:rsid w:val="00825721"/>
    <w:rsid w:val="00825F8D"/>
    <w:rsid w:val="008264B9"/>
    <w:rsid w:val="00826547"/>
    <w:rsid w:val="00826BF6"/>
    <w:rsid w:val="00827729"/>
    <w:rsid w:val="00827837"/>
    <w:rsid w:val="00827D60"/>
    <w:rsid w:val="00830008"/>
    <w:rsid w:val="00830132"/>
    <w:rsid w:val="00830175"/>
    <w:rsid w:val="00830459"/>
    <w:rsid w:val="008306BD"/>
    <w:rsid w:val="00830AE9"/>
    <w:rsid w:val="00830F8A"/>
    <w:rsid w:val="00831689"/>
    <w:rsid w:val="008316D9"/>
    <w:rsid w:val="00831A80"/>
    <w:rsid w:val="00831CA7"/>
    <w:rsid w:val="00832118"/>
    <w:rsid w:val="0083215A"/>
    <w:rsid w:val="00832223"/>
    <w:rsid w:val="00832844"/>
    <w:rsid w:val="0083294A"/>
    <w:rsid w:val="00832BF7"/>
    <w:rsid w:val="00832FB2"/>
    <w:rsid w:val="00833165"/>
    <w:rsid w:val="00833464"/>
    <w:rsid w:val="008336E7"/>
    <w:rsid w:val="00833743"/>
    <w:rsid w:val="00833981"/>
    <w:rsid w:val="00833C43"/>
    <w:rsid w:val="00833DBB"/>
    <w:rsid w:val="008340A4"/>
    <w:rsid w:val="00834C35"/>
    <w:rsid w:val="008352CA"/>
    <w:rsid w:val="00835489"/>
    <w:rsid w:val="008354C6"/>
    <w:rsid w:val="00835876"/>
    <w:rsid w:val="008360C3"/>
    <w:rsid w:val="00836119"/>
    <w:rsid w:val="008363A5"/>
    <w:rsid w:val="008370AC"/>
    <w:rsid w:val="0083710F"/>
    <w:rsid w:val="008379B7"/>
    <w:rsid w:val="00837A50"/>
    <w:rsid w:val="00837D79"/>
    <w:rsid w:val="00837F28"/>
    <w:rsid w:val="00837F58"/>
    <w:rsid w:val="0084089A"/>
    <w:rsid w:val="00840DBB"/>
    <w:rsid w:val="0084113B"/>
    <w:rsid w:val="008417DD"/>
    <w:rsid w:val="00841BE3"/>
    <w:rsid w:val="008427B4"/>
    <w:rsid w:val="00842967"/>
    <w:rsid w:val="00843019"/>
    <w:rsid w:val="008430F1"/>
    <w:rsid w:val="00843562"/>
    <w:rsid w:val="00843659"/>
    <w:rsid w:val="00843F97"/>
    <w:rsid w:val="00844316"/>
    <w:rsid w:val="00844939"/>
    <w:rsid w:val="0084499B"/>
    <w:rsid w:val="00844C77"/>
    <w:rsid w:val="00844D1D"/>
    <w:rsid w:val="00844DBD"/>
    <w:rsid w:val="00847610"/>
    <w:rsid w:val="00847E63"/>
    <w:rsid w:val="00847F7A"/>
    <w:rsid w:val="00850160"/>
    <w:rsid w:val="008505EF"/>
    <w:rsid w:val="00850741"/>
    <w:rsid w:val="00850B66"/>
    <w:rsid w:val="0085113E"/>
    <w:rsid w:val="008518AD"/>
    <w:rsid w:val="00851B32"/>
    <w:rsid w:val="00851D97"/>
    <w:rsid w:val="00851F9C"/>
    <w:rsid w:val="0085256F"/>
    <w:rsid w:val="00852592"/>
    <w:rsid w:val="00853353"/>
    <w:rsid w:val="008533E2"/>
    <w:rsid w:val="0085355C"/>
    <w:rsid w:val="008535C0"/>
    <w:rsid w:val="008539BF"/>
    <w:rsid w:val="00854A2E"/>
    <w:rsid w:val="00854B93"/>
    <w:rsid w:val="00854C18"/>
    <w:rsid w:val="00854D98"/>
    <w:rsid w:val="008551A1"/>
    <w:rsid w:val="0085576E"/>
    <w:rsid w:val="0085587A"/>
    <w:rsid w:val="00855F60"/>
    <w:rsid w:val="0085630C"/>
    <w:rsid w:val="00856366"/>
    <w:rsid w:val="008565E6"/>
    <w:rsid w:val="00856A3B"/>
    <w:rsid w:val="0085754E"/>
    <w:rsid w:val="00860058"/>
    <w:rsid w:val="00860287"/>
    <w:rsid w:val="008603CA"/>
    <w:rsid w:val="008606DD"/>
    <w:rsid w:val="0086099A"/>
    <w:rsid w:val="00861169"/>
    <w:rsid w:val="00861434"/>
    <w:rsid w:val="008616CE"/>
    <w:rsid w:val="0086171F"/>
    <w:rsid w:val="00861E72"/>
    <w:rsid w:val="00862531"/>
    <w:rsid w:val="008629B0"/>
    <w:rsid w:val="0086324D"/>
    <w:rsid w:val="008638D1"/>
    <w:rsid w:val="00863CF2"/>
    <w:rsid w:val="00863FCD"/>
    <w:rsid w:val="0086422D"/>
    <w:rsid w:val="0086453B"/>
    <w:rsid w:val="00864851"/>
    <w:rsid w:val="008649EA"/>
    <w:rsid w:val="00864FB5"/>
    <w:rsid w:val="00865468"/>
    <w:rsid w:val="00865D9F"/>
    <w:rsid w:val="00867514"/>
    <w:rsid w:val="00867C4E"/>
    <w:rsid w:val="0087081A"/>
    <w:rsid w:val="008709BA"/>
    <w:rsid w:val="00870F0E"/>
    <w:rsid w:val="0087135F"/>
    <w:rsid w:val="008714B4"/>
    <w:rsid w:val="008717D6"/>
    <w:rsid w:val="00871A7D"/>
    <w:rsid w:val="00871AA0"/>
    <w:rsid w:val="00872454"/>
    <w:rsid w:val="00872948"/>
    <w:rsid w:val="00872D92"/>
    <w:rsid w:val="00872D94"/>
    <w:rsid w:val="0087341A"/>
    <w:rsid w:val="0087365A"/>
    <w:rsid w:val="00873C02"/>
    <w:rsid w:val="00873EB2"/>
    <w:rsid w:val="00874481"/>
    <w:rsid w:val="00874561"/>
    <w:rsid w:val="0087466E"/>
    <w:rsid w:val="00874CD8"/>
    <w:rsid w:val="00875690"/>
    <w:rsid w:val="008758CF"/>
    <w:rsid w:val="008758D1"/>
    <w:rsid w:val="008758D7"/>
    <w:rsid w:val="00875AA4"/>
    <w:rsid w:val="00875DEA"/>
    <w:rsid w:val="008760E9"/>
    <w:rsid w:val="00876646"/>
    <w:rsid w:val="00877AD1"/>
    <w:rsid w:val="00877F7D"/>
    <w:rsid w:val="0088006D"/>
    <w:rsid w:val="0088030A"/>
    <w:rsid w:val="00880364"/>
    <w:rsid w:val="008809CA"/>
    <w:rsid w:val="00880ADE"/>
    <w:rsid w:val="00880EDD"/>
    <w:rsid w:val="00880EFB"/>
    <w:rsid w:val="00881242"/>
    <w:rsid w:val="00881E03"/>
    <w:rsid w:val="008824BB"/>
    <w:rsid w:val="00882BDF"/>
    <w:rsid w:val="00882FBE"/>
    <w:rsid w:val="00882FF5"/>
    <w:rsid w:val="0088385E"/>
    <w:rsid w:val="00883CB1"/>
    <w:rsid w:val="0088453B"/>
    <w:rsid w:val="00884A02"/>
    <w:rsid w:val="00884C09"/>
    <w:rsid w:val="00884C75"/>
    <w:rsid w:val="00884E98"/>
    <w:rsid w:val="008853B4"/>
    <w:rsid w:val="00885FB3"/>
    <w:rsid w:val="00886595"/>
    <w:rsid w:val="008868FE"/>
    <w:rsid w:val="00886FA2"/>
    <w:rsid w:val="00887638"/>
    <w:rsid w:val="00887839"/>
    <w:rsid w:val="008878E7"/>
    <w:rsid w:val="00887938"/>
    <w:rsid w:val="00887D18"/>
    <w:rsid w:val="008900B6"/>
    <w:rsid w:val="008902EF"/>
    <w:rsid w:val="0089042B"/>
    <w:rsid w:val="0089067A"/>
    <w:rsid w:val="00890814"/>
    <w:rsid w:val="00890A7B"/>
    <w:rsid w:val="00890B74"/>
    <w:rsid w:val="0089120A"/>
    <w:rsid w:val="00891358"/>
    <w:rsid w:val="00891592"/>
    <w:rsid w:val="008916A7"/>
    <w:rsid w:val="008918AD"/>
    <w:rsid w:val="00891E9E"/>
    <w:rsid w:val="00892319"/>
    <w:rsid w:val="00893965"/>
    <w:rsid w:val="00893B28"/>
    <w:rsid w:val="00893BEB"/>
    <w:rsid w:val="00893C5A"/>
    <w:rsid w:val="00893EF3"/>
    <w:rsid w:val="0089427B"/>
    <w:rsid w:val="008945EC"/>
    <w:rsid w:val="00894BA3"/>
    <w:rsid w:val="00895BB1"/>
    <w:rsid w:val="0089642E"/>
    <w:rsid w:val="0089696F"/>
    <w:rsid w:val="00896A66"/>
    <w:rsid w:val="00896AE0"/>
    <w:rsid w:val="00896B13"/>
    <w:rsid w:val="00897281"/>
    <w:rsid w:val="00897303"/>
    <w:rsid w:val="00897B70"/>
    <w:rsid w:val="00897C6C"/>
    <w:rsid w:val="008A048A"/>
    <w:rsid w:val="008A0A38"/>
    <w:rsid w:val="008A0D52"/>
    <w:rsid w:val="008A0D99"/>
    <w:rsid w:val="008A0E44"/>
    <w:rsid w:val="008A0EAF"/>
    <w:rsid w:val="008A18A7"/>
    <w:rsid w:val="008A1D8E"/>
    <w:rsid w:val="008A1F67"/>
    <w:rsid w:val="008A2386"/>
    <w:rsid w:val="008A2A14"/>
    <w:rsid w:val="008A2A4E"/>
    <w:rsid w:val="008A2CB9"/>
    <w:rsid w:val="008A2CFB"/>
    <w:rsid w:val="008A2F68"/>
    <w:rsid w:val="008A3266"/>
    <w:rsid w:val="008A385F"/>
    <w:rsid w:val="008A3A42"/>
    <w:rsid w:val="008A3BE8"/>
    <w:rsid w:val="008A402D"/>
    <w:rsid w:val="008A420F"/>
    <w:rsid w:val="008A4219"/>
    <w:rsid w:val="008A4916"/>
    <w:rsid w:val="008A4A51"/>
    <w:rsid w:val="008A4C44"/>
    <w:rsid w:val="008A4FDD"/>
    <w:rsid w:val="008A51DE"/>
    <w:rsid w:val="008A54A9"/>
    <w:rsid w:val="008A5B76"/>
    <w:rsid w:val="008A6172"/>
    <w:rsid w:val="008A645B"/>
    <w:rsid w:val="008A6534"/>
    <w:rsid w:val="008A67AA"/>
    <w:rsid w:val="008A6C91"/>
    <w:rsid w:val="008A6F13"/>
    <w:rsid w:val="008A70A9"/>
    <w:rsid w:val="008A70BC"/>
    <w:rsid w:val="008A7616"/>
    <w:rsid w:val="008A7839"/>
    <w:rsid w:val="008A7FC6"/>
    <w:rsid w:val="008B0443"/>
    <w:rsid w:val="008B0E92"/>
    <w:rsid w:val="008B12B4"/>
    <w:rsid w:val="008B1F20"/>
    <w:rsid w:val="008B1F4D"/>
    <w:rsid w:val="008B22C0"/>
    <w:rsid w:val="008B27F5"/>
    <w:rsid w:val="008B28D7"/>
    <w:rsid w:val="008B2F32"/>
    <w:rsid w:val="008B32D1"/>
    <w:rsid w:val="008B3405"/>
    <w:rsid w:val="008B3754"/>
    <w:rsid w:val="008B378F"/>
    <w:rsid w:val="008B3FE8"/>
    <w:rsid w:val="008B4537"/>
    <w:rsid w:val="008B46C9"/>
    <w:rsid w:val="008B4B27"/>
    <w:rsid w:val="008B4ECC"/>
    <w:rsid w:val="008B4FA6"/>
    <w:rsid w:val="008B506A"/>
    <w:rsid w:val="008B5282"/>
    <w:rsid w:val="008B52C2"/>
    <w:rsid w:val="008B53E3"/>
    <w:rsid w:val="008B5B0A"/>
    <w:rsid w:val="008B5C99"/>
    <w:rsid w:val="008B5FCC"/>
    <w:rsid w:val="008B62F9"/>
    <w:rsid w:val="008B65B6"/>
    <w:rsid w:val="008B7584"/>
    <w:rsid w:val="008B77E2"/>
    <w:rsid w:val="008B7C17"/>
    <w:rsid w:val="008B7F89"/>
    <w:rsid w:val="008B7F9D"/>
    <w:rsid w:val="008C0B97"/>
    <w:rsid w:val="008C0D27"/>
    <w:rsid w:val="008C1438"/>
    <w:rsid w:val="008C168A"/>
    <w:rsid w:val="008C177C"/>
    <w:rsid w:val="008C18E3"/>
    <w:rsid w:val="008C1E66"/>
    <w:rsid w:val="008C2184"/>
    <w:rsid w:val="008C2D01"/>
    <w:rsid w:val="008C2EAF"/>
    <w:rsid w:val="008C3C5F"/>
    <w:rsid w:val="008C3ED7"/>
    <w:rsid w:val="008C406B"/>
    <w:rsid w:val="008C40E6"/>
    <w:rsid w:val="008C45D4"/>
    <w:rsid w:val="008C4A67"/>
    <w:rsid w:val="008C4A9B"/>
    <w:rsid w:val="008C4CDB"/>
    <w:rsid w:val="008C4D9F"/>
    <w:rsid w:val="008C5548"/>
    <w:rsid w:val="008C55C1"/>
    <w:rsid w:val="008C560A"/>
    <w:rsid w:val="008C5662"/>
    <w:rsid w:val="008C56A1"/>
    <w:rsid w:val="008C585F"/>
    <w:rsid w:val="008C58DA"/>
    <w:rsid w:val="008C5B19"/>
    <w:rsid w:val="008C5C13"/>
    <w:rsid w:val="008C6A4E"/>
    <w:rsid w:val="008C6AE9"/>
    <w:rsid w:val="008C7148"/>
    <w:rsid w:val="008C7DFC"/>
    <w:rsid w:val="008D00E4"/>
    <w:rsid w:val="008D0A79"/>
    <w:rsid w:val="008D0B05"/>
    <w:rsid w:val="008D0C53"/>
    <w:rsid w:val="008D0E5A"/>
    <w:rsid w:val="008D0F7A"/>
    <w:rsid w:val="008D0F9B"/>
    <w:rsid w:val="008D122A"/>
    <w:rsid w:val="008D14D4"/>
    <w:rsid w:val="008D19C1"/>
    <w:rsid w:val="008D1C08"/>
    <w:rsid w:val="008D2064"/>
    <w:rsid w:val="008D2653"/>
    <w:rsid w:val="008D2769"/>
    <w:rsid w:val="008D2ABE"/>
    <w:rsid w:val="008D31EE"/>
    <w:rsid w:val="008D35D7"/>
    <w:rsid w:val="008D39A4"/>
    <w:rsid w:val="008D3D29"/>
    <w:rsid w:val="008D439A"/>
    <w:rsid w:val="008D467F"/>
    <w:rsid w:val="008D4A65"/>
    <w:rsid w:val="008D4BC2"/>
    <w:rsid w:val="008D4FB7"/>
    <w:rsid w:val="008D559A"/>
    <w:rsid w:val="008D5644"/>
    <w:rsid w:val="008D5697"/>
    <w:rsid w:val="008D56B8"/>
    <w:rsid w:val="008D639B"/>
    <w:rsid w:val="008D653C"/>
    <w:rsid w:val="008D68E4"/>
    <w:rsid w:val="008D6ADD"/>
    <w:rsid w:val="008D6F24"/>
    <w:rsid w:val="008D6F94"/>
    <w:rsid w:val="008D70A3"/>
    <w:rsid w:val="008D72D0"/>
    <w:rsid w:val="008D77EF"/>
    <w:rsid w:val="008E00F4"/>
    <w:rsid w:val="008E041F"/>
    <w:rsid w:val="008E0506"/>
    <w:rsid w:val="008E063B"/>
    <w:rsid w:val="008E0668"/>
    <w:rsid w:val="008E0CFF"/>
    <w:rsid w:val="008E0D7F"/>
    <w:rsid w:val="008E0F41"/>
    <w:rsid w:val="008E1074"/>
    <w:rsid w:val="008E1527"/>
    <w:rsid w:val="008E1557"/>
    <w:rsid w:val="008E1558"/>
    <w:rsid w:val="008E15F2"/>
    <w:rsid w:val="008E1661"/>
    <w:rsid w:val="008E1CA5"/>
    <w:rsid w:val="008E1D6D"/>
    <w:rsid w:val="008E22CF"/>
    <w:rsid w:val="008E23AE"/>
    <w:rsid w:val="008E24F6"/>
    <w:rsid w:val="008E27D7"/>
    <w:rsid w:val="008E29FF"/>
    <w:rsid w:val="008E2E5C"/>
    <w:rsid w:val="008E3765"/>
    <w:rsid w:val="008E3C46"/>
    <w:rsid w:val="008E40B7"/>
    <w:rsid w:val="008E437B"/>
    <w:rsid w:val="008E4697"/>
    <w:rsid w:val="008E48F4"/>
    <w:rsid w:val="008E4E82"/>
    <w:rsid w:val="008E4EB5"/>
    <w:rsid w:val="008E5696"/>
    <w:rsid w:val="008E5D12"/>
    <w:rsid w:val="008E5D6B"/>
    <w:rsid w:val="008E62CE"/>
    <w:rsid w:val="008E71A2"/>
    <w:rsid w:val="008E74B0"/>
    <w:rsid w:val="008E76F0"/>
    <w:rsid w:val="008E7BC1"/>
    <w:rsid w:val="008F05F1"/>
    <w:rsid w:val="008F0BE3"/>
    <w:rsid w:val="008F1188"/>
    <w:rsid w:val="008F1314"/>
    <w:rsid w:val="008F15FE"/>
    <w:rsid w:val="008F1A4A"/>
    <w:rsid w:val="008F1D89"/>
    <w:rsid w:val="008F211C"/>
    <w:rsid w:val="008F2358"/>
    <w:rsid w:val="008F2372"/>
    <w:rsid w:val="008F2581"/>
    <w:rsid w:val="008F27EF"/>
    <w:rsid w:val="008F2D29"/>
    <w:rsid w:val="008F31C4"/>
    <w:rsid w:val="008F35EE"/>
    <w:rsid w:val="008F38B9"/>
    <w:rsid w:val="008F390E"/>
    <w:rsid w:val="008F3EEC"/>
    <w:rsid w:val="008F48CE"/>
    <w:rsid w:val="008F4962"/>
    <w:rsid w:val="008F4CFC"/>
    <w:rsid w:val="008F5187"/>
    <w:rsid w:val="008F521A"/>
    <w:rsid w:val="008F52F0"/>
    <w:rsid w:val="008F5458"/>
    <w:rsid w:val="008F5ECD"/>
    <w:rsid w:val="008F60D8"/>
    <w:rsid w:val="008F72A5"/>
    <w:rsid w:val="008F784F"/>
    <w:rsid w:val="008F7AF8"/>
    <w:rsid w:val="008F7F50"/>
    <w:rsid w:val="008F7FA0"/>
    <w:rsid w:val="009000D7"/>
    <w:rsid w:val="00900392"/>
    <w:rsid w:val="00900662"/>
    <w:rsid w:val="0090070F"/>
    <w:rsid w:val="009007AA"/>
    <w:rsid w:val="00900848"/>
    <w:rsid w:val="009011EC"/>
    <w:rsid w:val="009013B3"/>
    <w:rsid w:val="00901E92"/>
    <w:rsid w:val="00901F23"/>
    <w:rsid w:val="00901FBE"/>
    <w:rsid w:val="009020EB"/>
    <w:rsid w:val="0090230B"/>
    <w:rsid w:val="00902727"/>
    <w:rsid w:val="0090291F"/>
    <w:rsid w:val="0090294E"/>
    <w:rsid w:val="00902A05"/>
    <w:rsid w:val="00902B2C"/>
    <w:rsid w:val="00902C95"/>
    <w:rsid w:val="0090312B"/>
    <w:rsid w:val="00903A12"/>
    <w:rsid w:val="00903B91"/>
    <w:rsid w:val="00903FDE"/>
    <w:rsid w:val="00904476"/>
    <w:rsid w:val="00904F24"/>
    <w:rsid w:val="0090502B"/>
    <w:rsid w:val="00905415"/>
    <w:rsid w:val="009055DD"/>
    <w:rsid w:val="00905CB5"/>
    <w:rsid w:val="00905FFB"/>
    <w:rsid w:val="00906B02"/>
    <w:rsid w:val="00906E6D"/>
    <w:rsid w:val="0090717D"/>
    <w:rsid w:val="0090789C"/>
    <w:rsid w:val="00907F39"/>
    <w:rsid w:val="00907F42"/>
    <w:rsid w:val="00910269"/>
    <w:rsid w:val="009105B8"/>
    <w:rsid w:val="0091069B"/>
    <w:rsid w:val="009108E4"/>
    <w:rsid w:val="00910C0A"/>
    <w:rsid w:val="00910CAE"/>
    <w:rsid w:val="009110BF"/>
    <w:rsid w:val="00911365"/>
    <w:rsid w:val="009115E0"/>
    <w:rsid w:val="00911837"/>
    <w:rsid w:val="00911F3F"/>
    <w:rsid w:val="009126F8"/>
    <w:rsid w:val="00912DEA"/>
    <w:rsid w:val="00913129"/>
    <w:rsid w:val="00913369"/>
    <w:rsid w:val="0091388A"/>
    <w:rsid w:val="00914013"/>
    <w:rsid w:val="00914047"/>
    <w:rsid w:val="009141CC"/>
    <w:rsid w:val="00914254"/>
    <w:rsid w:val="0091429B"/>
    <w:rsid w:val="00914824"/>
    <w:rsid w:val="009149CD"/>
    <w:rsid w:val="00914AA6"/>
    <w:rsid w:val="00914E7C"/>
    <w:rsid w:val="00915672"/>
    <w:rsid w:val="0091612D"/>
    <w:rsid w:val="009169ED"/>
    <w:rsid w:val="00917018"/>
    <w:rsid w:val="0091736D"/>
    <w:rsid w:val="00917727"/>
    <w:rsid w:val="00917C56"/>
    <w:rsid w:val="009205F9"/>
    <w:rsid w:val="00920689"/>
    <w:rsid w:val="009207FE"/>
    <w:rsid w:val="00920914"/>
    <w:rsid w:val="00921148"/>
    <w:rsid w:val="00921533"/>
    <w:rsid w:val="009215B1"/>
    <w:rsid w:val="00922588"/>
    <w:rsid w:val="00923125"/>
    <w:rsid w:val="00924017"/>
    <w:rsid w:val="00925C57"/>
    <w:rsid w:val="00925DE4"/>
    <w:rsid w:val="00926361"/>
    <w:rsid w:val="00926671"/>
    <w:rsid w:val="00926CB6"/>
    <w:rsid w:val="00927177"/>
    <w:rsid w:val="00927352"/>
    <w:rsid w:val="00927DA3"/>
    <w:rsid w:val="0093037A"/>
    <w:rsid w:val="00930416"/>
    <w:rsid w:val="009305DB"/>
    <w:rsid w:val="00930CA7"/>
    <w:rsid w:val="00930CB1"/>
    <w:rsid w:val="00931079"/>
    <w:rsid w:val="00931B67"/>
    <w:rsid w:val="009323B4"/>
    <w:rsid w:val="009329C9"/>
    <w:rsid w:val="009332CB"/>
    <w:rsid w:val="009333BC"/>
    <w:rsid w:val="009333C7"/>
    <w:rsid w:val="009334F6"/>
    <w:rsid w:val="00933920"/>
    <w:rsid w:val="00933F80"/>
    <w:rsid w:val="00934E46"/>
    <w:rsid w:val="00935B51"/>
    <w:rsid w:val="0093635C"/>
    <w:rsid w:val="009367FD"/>
    <w:rsid w:val="00936C6A"/>
    <w:rsid w:val="00936E2F"/>
    <w:rsid w:val="00936ED3"/>
    <w:rsid w:val="0093700D"/>
    <w:rsid w:val="00937FB5"/>
    <w:rsid w:val="00940720"/>
    <w:rsid w:val="00940F16"/>
    <w:rsid w:val="009411E8"/>
    <w:rsid w:val="0094133A"/>
    <w:rsid w:val="009413D7"/>
    <w:rsid w:val="0094154D"/>
    <w:rsid w:val="00941BC1"/>
    <w:rsid w:val="00942225"/>
    <w:rsid w:val="00942E06"/>
    <w:rsid w:val="00943355"/>
    <w:rsid w:val="0094386D"/>
    <w:rsid w:val="009442B8"/>
    <w:rsid w:val="00944A87"/>
    <w:rsid w:val="00944C85"/>
    <w:rsid w:val="00944E5A"/>
    <w:rsid w:val="00945250"/>
    <w:rsid w:val="0094543E"/>
    <w:rsid w:val="009454E5"/>
    <w:rsid w:val="00945615"/>
    <w:rsid w:val="00945C38"/>
    <w:rsid w:val="0094632F"/>
    <w:rsid w:val="009463C4"/>
    <w:rsid w:val="0095049C"/>
    <w:rsid w:val="009505FC"/>
    <w:rsid w:val="00950E0A"/>
    <w:rsid w:val="0095155F"/>
    <w:rsid w:val="00951707"/>
    <w:rsid w:val="009519FF"/>
    <w:rsid w:val="00951B01"/>
    <w:rsid w:val="00951D25"/>
    <w:rsid w:val="009521A9"/>
    <w:rsid w:val="0095228D"/>
    <w:rsid w:val="00952441"/>
    <w:rsid w:val="0095280D"/>
    <w:rsid w:val="00952830"/>
    <w:rsid w:val="00952B23"/>
    <w:rsid w:val="00953606"/>
    <w:rsid w:val="009540F9"/>
    <w:rsid w:val="009543E4"/>
    <w:rsid w:val="00954429"/>
    <w:rsid w:val="0095489A"/>
    <w:rsid w:val="009554A8"/>
    <w:rsid w:val="00955B41"/>
    <w:rsid w:val="00955D33"/>
    <w:rsid w:val="0095615A"/>
    <w:rsid w:val="009563CE"/>
    <w:rsid w:val="00957049"/>
    <w:rsid w:val="00957162"/>
    <w:rsid w:val="00957266"/>
    <w:rsid w:val="009575E7"/>
    <w:rsid w:val="009577E3"/>
    <w:rsid w:val="00957BF4"/>
    <w:rsid w:val="00960981"/>
    <w:rsid w:val="00962B67"/>
    <w:rsid w:val="00962E8A"/>
    <w:rsid w:val="00962F2D"/>
    <w:rsid w:val="009630EA"/>
    <w:rsid w:val="009631D1"/>
    <w:rsid w:val="009632E4"/>
    <w:rsid w:val="00963391"/>
    <w:rsid w:val="0096366E"/>
    <w:rsid w:val="00963CF7"/>
    <w:rsid w:val="00963E4A"/>
    <w:rsid w:val="00964188"/>
    <w:rsid w:val="00964C00"/>
    <w:rsid w:val="009652BF"/>
    <w:rsid w:val="00966AFD"/>
    <w:rsid w:val="00966ED0"/>
    <w:rsid w:val="009673CE"/>
    <w:rsid w:val="009677C8"/>
    <w:rsid w:val="00967B4F"/>
    <w:rsid w:val="00967BD4"/>
    <w:rsid w:val="00967DE4"/>
    <w:rsid w:val="00967E20"/>
    <w:rsid w:val="009700AC"/>
    <w:rsid w:val="00970A1C"/>
    <w:rsid w:val="0097150E"/>
    <w:rsid w:val="00971670"/>
    <w:rsid w:val="009716C9"/>
    <w:rsid w:val="00972AFA"/>
    <w:rsid w:val="009733F6"/>
    <w:rsid w:val="009734A4"/>
    <w:rsid w:val="009739E0"/>
    <w:rsid w:val="00973E2A"/>
    <w:rsid w:val="009750EB"/>
    <w:rsid w:val="00975103"/>
    <w:rsid w:val="009757B6"/>
    <w:rsid w:val="0097583B"/>
    <w:rsid w:val="00975914"/>
    <w:rsid w:val="00975B58"/>
    <w:rsid w:val="00975E95"/>
    <w:rsid w:val="0097622A"/>
    <w:rsid w:val="00976328"/>
    <w:rsid w:val="0097680D"/>
    <w:rsid w:val="00976AA8"/>
    <w:rsid w:val="00976AC8"/>
    <w:rsid w:val="00976E71"/>
    <w:rsid w:val="00977732"/>
    <w:rsid w:val="00977932"/>
    <w:rsid w:val="00977DD0"/>
    <w:rsid w:val="00980286"/>
    <w:rsid w:val="0098048F"/>
    <w:rsid w:val="00980ABA"/>
    <w:rsid w:val="00980C71"/>
    <w:rsid w:val="009810D7"/>
    <w:rsid w:val="009810FF"/>
    <w:rsid w:val="00981642"/>
    <w:rsid w:val="0098164D"/>
    <w:rsid w:val="00981B7B"/>
    <w:rsid w:val="00981BBB"/>
    <w:rsid w:val="00981C1F"/>
    <w:rsid w:val="00981DF0"/>
    <w:rsid w:val="00982296"/>
    <w:rsid w:val="00982438"/>
    <w:rsid w:val="009828FF"/>
    <w:rsid w:val="00982C63"/>
    <w:rsid w:val="00982E38"/>
    <w:rsid w:val="009831E3"/>
    <w:rsid w:val="009836D2"/>
    <w:rsid w:val="0098385D"/>
    <w:rsid w:val="00983867"/>
    <w:rsid w:val="00983A49"/>
    <w:rsid w:val="0098404C"/>
    <w:rsid w:val="0098457D"/>
    <w:rsid w:val="009846D1"/>
    <w:rsid w:val="00984916"/>
    <w:rsid w:val="00985083"/>
    <w:rsid w:val="00985283"/>
    <w:rsid w:val="00985356"/>
    <w:rsid w:val="0098568F"/>
    <w:rsid w:val="00986030"/>
    <w:rsid w:val="009864D5"/>
    <w:rsid w:val="009865D2"/>
    <w:rsid w:val="009867A0"/>
    <w:rsid w:val="00986E47"/>
    <w:rsid w:val="00987A59"/>
    <w:rsid w:val="00987AF5"/>
    <w:rsid w:val="00990FA3"/>
    <w:rsid w:val="009914A9"/>
    <w:rsid w:val="00991B47"/>
    <w:rsid w:val="00991DB7"/>
    <w:rsid w:val="00991F50"/>
    <w:rsid w:val="00992395"/>
    <w:rsid w:val="009926C2"/>
    <w:rsid w:val="00992CC0"/>
    <w:rsid w:val="009935BB"/>
    <w:rsid w:val="009939BF"/>
    <w:rsid w:val="00994639"/>
    <w:rsid w:val="0099494C"/>
    <w:rsid w:val="00994956"/>
    <w:rsid w:val="00994E64"/>
    <w:rsid w:val="009954B2"/>
    <w:rsid w:val="009954F0"/>
    <w:rsid w:val="00995527"/>
    <w:rsid w:val="00995992"/>
    <w:rsid w:val="009961C6"/>
    <w:rsid w:val="00997533"/>
    <w:rsid w:val="009975D0"/>
    <w:rsid w:val="00997A24"/>
    <w:rsid w:val="00997DF6"/>
    <w:rsid w:val="009A0009"/>
    <w:rsid w:val="009A03B0"/>
    <w:rsid w:val="009A03E5"/>
    <w:rsid w:val="009A06F9"/>
    <w:rsid w:val="009A0D4D"/>
    <w:rsid w:val="009A0F3B"/>
    <w:rsid w:val="009A1171"/>
    <w:rsid w:val="009A172B"/>
    <w:rsid w:val="009A1BB4"/>
    <w:rsid w:val="009A1E33"/>
    <w:rsid w:val="009A2352"/>
    <w:rsid w:val="009A23FD"/>
    <w:rsid w:val="009A2628"/>
    <w:rsid w:val="009A2E06"/>
    <w:rsid w:val="009A31BB"/>
    <w:rsid w:val="009A3200"/>
    <w:rsid w:val="009A32F3"/>
    <w:rsid w:val="009A336F"/>
    <w:rsid w:val="009A3719"/>
    <w:rsid w:val="009A3BB2"/>
    <w:rsid w:val="009A3BE4"/>
    <w:rsid w:val="009A3FF4"/>
    <w:rsid w:val="009A4102"/>
    <w:rsid w:val="009A48A0"/>
    <w:rsid w:val="009A4BAF"/>
    <w:rsid w:val="009A4E9E"/>
    <w:rsid w:val="009A53DA"/>
    <w:rsid w:val="009A5E54"/>
    <w:rsid w:val="009A6439"/>
    <w:rsid w:val="009A6A8B"/>
    <w:rsid w:val="009A6EC2"/>
    <w:rsid w:val="009A70FD"/>
    <w:rsid w:val="009A74C7"/>
    <w:rsid w:val="009A7831"/>
    <w:rsid w:val="009A7C4D"/>
    <w:rsid w:val="009B082C"/>
    <w:rsid w:val="009B0897"/>
    <w:rsid w:val="009B1FD1"/>
    <w:rsid w:val="009B248D"/>
    <w:rsid w:val="009B24AC"/>
    <w:rsid w:val="009B24D3"/>
    <w:rsid w:val="009B2AE8"/>
    <w:rsid w:val="009B3CC6"/>
    <w:rsid w:val="009B40D6"/>
    <w:rsid w:val="009B44F9"/>
    <w:rsid w:val="009B496E"/>
    <w:rsid w:val="009B4B0B"/>
    <w:rsid w:val="009B4EE0"/>
    <w:rsid w:val="009B50A4"/>
    <w:rsid w:val="009B513F"/>
    <w:rsid w:val="009B5214"/>
    <w:rsid w:val="009B5339"/>
    <w:rsid w:val="009B5504"/>
    <w:rsid w:val="009B5A7C"/>
    <w:rsid w:val="009B5D66"/>
    <w:rsid w:val="009B612A"/>
    <w:rsid w:val="009B6B5A"/>
    <w:rsid w:val="009B7528"/>
    <w:rsid w:val="009B7683"/>
    <w:rsid w:val="009B78A2"/>
    <w:rsid w:val="009B7BD9"/>
    <w:rsid w:val="009B7F63"/>
    <w:rsid w:val="009C0CB8"/>
    <w:rsid w:val="009C0F07"/>
    <w:rsid w:val="009C18FF"/>
    <w:rsid w:val="009C1ECC"/>
    <w:rsid w:val="009C213E"/>
    <w:rsid w:val="009C21C3"/>
    <w:rsid w:val="009C24F0"/>
    <w:rsid w:val="009C324C"/>
    <w:rsid w:val="009C355D"/>
    <w:rsid w:val="009C37E0"/>
    <w:rsid w:val="009C39BC"/>
    <w:rsid w:val="009C3CE6"/>
    <w:rsid w:val="009C3EAB"/>
    <w:rsid w:val="009C4227"/>
    <w:rsid w:val="009C42D9"/>
    <w:rsid w:val="009C4657"/>
    <w:rsid w:val="009C4F55"/>
    <w:rsid w:val="009C5CA0"/>
    <w:rsid w:val="009C5DCD"/>
    <w:rsid w:val="009C6647"/>
    <w:rsid w:val="009C6CAE"/>
    <w:rsid w:val="009C79A9"/>
    <w:rsid w:val="009C7DD5"/>
    <w:rsid w:val="009C7FBE"/>
    <w:rsid w:val="009D044D"/>
    <w:rsid w:val="009D05EB"/>
    <w:rsid w:val="009D0E41"/>
    <w:rsid w:val="009D0E54"/>
    <w:rsid w:val="009D0E76"/>
    <w:rsid w:val="009D3028"/>
    <w:rsid w:val="009D36AB"/>
    <w:rsid w:val="009D3A4F"/>
    <w:rsid w:val="009D3DF3"/>
    <w:rsid w:val="009D3E03"/>
    <w:rsid w:val="009D40F8"/>
    <w:rsid w:val="009D45CF"/>
    <w:rsid w:val="009D45F3"/>
    <w:rsid w:val="009D4C64"/>
    <w:rsid w:val="009D5047"/>
    <w:rsid w:val="009D5069"/>
    <w:rsid w:val="009D510C"/>
    <w:rsid w:val="009D5234"/>
    <w:rsid w:val="009D558A"/>
    <w:rsid w:val="009D57A6"/>
    <w:rsid w:val="009D5955"/>
    <w:rsid w:val="009D59CC"/>
    <w:rsid w:val="009D5A99"/>
    <w:rsid w:val="009D5AE7"/>
    <w:rsid w:val="009D5BD5"/>
    <w:rsid w:val="009D5F2B"/>
    <w:rsid w:val="009D60C7"/>
    <w:rsid w:val="009D6169"/>
    <w:rsid w:val="009D6840"/>
    <w:rsid w:val="009D6C76"/>
    <w:rsid w:val="009D7B55"/>
    <w:rsid w:val="009D7F57"/>
    <w:rsid w:val="009E09BA"/>
    <w:rsid w:val="009E0FC3"/>
    <w:rsid w:val="009E1280"/>
    <w:rsid w:val="009E1341"/>
    <w:rsid w:val="009E17AC"/>
    <w:rsid w:val="009E1883"/>
    <w:rsid w:val="009E192B"/>
    <w:rsid w:val="009E1998"/>
    <w:rsid w:val="009E1CF6"/>
    <w:rsid w:val="009E1D9B"/>
    <w:rsid w:val="009E227D"/>
    <w:rsid w:val="009E3498"/>
    <w:rsid w:val="009E37F9"/>
    <w:rsid w:val="009E393C"/>
    <w:rsid w:val="009E3B8B"/>
    <w:rsid w:val="009E3C67"/>
    <w:rsid w:val="009E3FF0"/>
    <w:rsid w:val="009E42C7"/>
    <w:rsid w:val="009E5019"/>
    <w:rsid w:val="009E527D"/>
    <w:rsid w:val="009E5425"/>
    <w:rsid w:val="009E5519"/>
    <w:rsid w:val="009E587C"/>
    <w:rsid w:val="009E63FA"/>
    <w:rsid w:val="009E680B"/>
    <w:rsid w:val="009E69D1"/>
    <w:rsid w:val="009E6A41"/>
    <w:rsid w:val="009E7579"/>
    <w:rsid w:val="009E795E"/>
    <w:rsid w:val="009E7DD8"/>
    <w:rsid w:val="009F039F"/>
    <w:rsid w:val="009F0438"/>
    <w:rsid w:val="009F04AE"/>
    <w:rsid w:val="009F069F"/>
    <w:rsid w:val="009F06A7"/>
    <w:rsid w:val="009F098E"/>
    <w:rsid w:val="009F0A13"/>
    <w:rsid w:val="009F0A36"/>
    <w:rsid w:val="009F0F8B"/>
    <w:rsid w:val="009F0FAF"/>
    <w:rsid w:val="009F1070"/>
    <w:rsid w:val="009F163D"/>
    <w:rsid w:val="009F2AFF"/>
    <w:rsid w:val="009F3FFB"/>
    <w:rsid w:val="009F43D6"/>
    <w:rsid w:val="009F4519"/>
    <w:rsid w:val="009F47C6"/>
    <w:rsid w:val="009F4854"/>
    <w:rsid w:val="009F4C02"/>
    <w:rsid w:val="009F544B"/>
    <w:rsid w:val="009F56D8"/>
    <w:rsid w:val="009F6157"/>
    <w:rsid w:val="009F6279"/>
    <w:rsid w:val="009F68F4"/>
    <w:rsid w:val="009F700A"/>
    <w:rsid w:val="009F712A"/>
    <w:rsid w:val="009F71A1"/>
    <w:rsid w:val="009F7C6D"/>
    <w:rsid w:val="00A00548"/>
    <w:rsid w:val="00A00A14"/>
    <w:rsid w:val="00A00B3D"/>
    <w:rsid w:val="00A00C41"/>
    <w:rsid w:val="00A018D2"/>
    <w:rsid w:val="00A0190F"/>
    <w:rsid w:val="00A026DC"/>
    <w:rsid w:val="00A02843"/>
    <w:rsid w:val="00A02849"/>
    <w:rsid w:val="00A029AB"/>
    <w:rsid w:val="00A02A08"/>
    <w:rsid w:val="00A02D65"/>
    <w:rsid w:val="00A03079"/>
    <w:rsid w:val="00A036BB"/>
    <w:rsid w:val="00A04BC0"/>
    <w:rsid w:val="00A04F1B"/>
    <w:rsid w:val="00A0501B"/>
    <w:rsid w:val="00A0581C"/>
    <w:rsid w:val="00A05C9E"/>
    <w:rsid w:val="00A05CED"/>
    <w:rsid w:val="00A06751"/>
    <w:rsid w:val="00A06C04"/>
    <w:rsid w:val="00A06CE7"/>
    <w:rsid w:val="00A06DAC"/>
    <w:rsid w:val="00A06E83"/>
    <w:rsid w:val="00A07A6C"/>
    <w:rsid w:val="00A07FA4"/>
    <w:rsid w:val="00A106F2"/>
    <w:rsid w:val="00A10F6C"/>
    <w:rsid w:val="00A118A5"/>
    <w:rsid w:val="00A11C57"/>
    <w:rsid w:val="00A120D2"/>
    <w:rsid w:val="00A121A7"/>
    <w:rsid w:val="00A12756"/>
    <w:rsid w:val="00A129C9"/>
    <w:rsid w:val="00A12ED0"/>
    <w:rsid w:val="00A1327B"/>
    <w:rsid w:val="00A13746"/>
    <w:rsid w:val="00A13B44"/>
    <w:rsid w:val="00A13ECE"/>
    <w:rsid w:val="00A142B1"/>
    <w:rsid w:val="00A14772"/>
    <w:rsid w:val="00A14947"/>
    <w:rsid w:val="00A149E6"/>
    <w:rsid w:val="00A15BB1"/>
    <w:rsid w:val="00A16988"/>
    <w:rsid w:val="00A16FE9"/>
    <w:rsid w:val="00A170F7"/>
    <w:rsid w:val="00A17356"/>
    <w:rsid w:val="00A17D86"/>
    <w:rsid w:val="00A17DBE"/>
    <w:rsid w:val="00A202C6"/>
    <w:rsid w:val="00A21240"/>
    <w:rsid w:val="00A2197A"/>
    <w:rsid w:val="00A224DC"/>
    <w:rsid w:val="00A22684"/>
    <w:rsid w:val="00A22801"/>
    <w:rsid w:val="00A22B36"/>
    <w:rsid w:val="00A22E9E"/>
    <w:rsid w:val="00A239FB"/>
    <w:rsid w:val="00A23B35"/>
    <w:rsid w:val="00A23ED4"/>
    <w:rsid w:val="00A24A2C"/>
    <w:rsid w:val="00A24F11"/>
    <w:rsid w:val="00A25236"/>
    <w:rsid w:val="00A25251"/>
    <w:rsid w:val="00A253B6"/>
    <w:rsid w:val="00A25486"/>
    <w:rsid w:val="00A25BFD"/>
    <w:rsid w:val="00A26129"/>
    <w:rsid w:val="00A26392"/>
    <w:rsid w:val="00A265D0"/>
    <w:rsid w:val="00A269CB"/>
    <w:rsid w:val="00A26AF8"/>
    <w:rsid w:val="00A27703"/>
    <w:rsid w:val="00A2777D"/>
    <w:rsid w:val="00A27909"/>
    <w:rsid w:val="00A27A62"/>
    <w:rsid w:val="00A30185"/>
    <w:rsid w:val="00A30553"/>
    <w:rsid w:val="00A30EFE"/>
    <w:rsid w:val="00A31818"/>
    <w:rsid w:val="00A31B6B"/>
    <w:rsid w:val="00A31BA7"/>
    <w:rsid w:val="00A323AB"/>
    <w:rsid w:val="00A32A83"/>
    <w:rsid w:val="00A32EB4"/>
    <w:rsid w:val="00A332E1"/>
    <w:rsid w:val="00A33428"/>
    <w:rsid w:val="00A33901"/>
    <w:rsid w:val="00A33DC8"/>
    <w:rsid w:val="00A34310"/>
    <w:rsid w:val="00A343D6"/>
    <w:rsid w:val="00A3464A"/>
    <w:rsid w:val="00A3479E"/>
    <w:rsid w:val="00A347F2"/>
    <w:rsid w:val="00A3482B"/>
    <w:rsid w:val="00A348D2"/>
    <w:rsid w:val="00A35AA7"/>
    <w:rsid w:val="00A35B59"/>
    <w:rsid w:val="00A35B6C"/>
    <w:rsid w:val="00A36635"/>
    <w:rsid w:val="00A367FF"/>
    <w:rsid w:val="00A368DB"/>
    <w:rsid w:val="00A36B55"/>
    <w:rsid w:val="00A36BCC"/>
    <w:rsid w:val="00A36F07"/>
    <w:rsid w:val="00A371CE"/>
    <w:rsid w:val="00A374A5"/>
    <w:rsid w:val="00A3752F"/>
    <w:rsid w:val="00A3766B"/>
    <w:rsid w:val="00A37CDE"/>
    <w:rsid w:val="00A404C8"/>
    <w:rsid w:val="00A406E0"/>
    <w:rsid w:val="00A409FE"/>
    <w:rsid w:val="00A40B4E"/>
    <w:rsid w:val="00A420FD"/>
    <w:rsid w:val="00A423AA"/>
    <w:rsid w:val="00A4258C"/>
    <w:rsid w:val="00A4262A"/>
    <w:rsid w:val="00A42797"/>
    <w:rsid w:val="00A42F66"/>
    <w:rsid w:val="00A430CA"/>
    <w:rsid w:val="00A436E9"/>
    <w:rsid w:val="00A43755"/>
    <w:rsid w:val="00A438F1"/>
    <w:rsid w:val="00A4476C"/>
    <w:rsid w:val="00A449E0"/>
    <w:rsid w:val="00A44A77"/>
    <w:rsid w:val="00A44A97"/>
    <w:rsid w:val="00A4524B"/>
    <w:rsid w:val="00A4544B"/>
    <w:rsid w:val="00A4544F"/>
    <w:rsid w:val="00A456B9"/>
    <w:rsid w:val="00A4576C"/>
    <w:rsid w:val="00A45ED4"/>
    <w:rsid w:val="00A4617F"/>
    <w:rsid w:val="00A461C3"/>
    <w:rsid w:val="00A46402"/>
    <w:rsid w:val="00A46495"/>
    <w:rsid w:val="00A46C07"/>
    <w:rsid w:val="00A46DFB"/>
    <w:rsid w:val="00A46EED"/>
    <w:rsid w:val="00A470A9"/>
    <w:rsid w:val="00A4745D"/>
    <w:rsid w:val="00A47D68"/>
    <w:rsid w:val="00A50284"/>
    <w:rsid w:val="00A50330"/>
    <w:rsid w:val="00A503CB"/>
    <w:rsid w:val="00A50564"/>
    <w:rsid w:val="00A50A03"/>
    <w:rsid w:val="00A51326"/>
    <w:rsid w:val="00A51B57"/>
    <w:rsid w:val="00A51F4C"/>
    <w:rsid w:val="00A51FB1"/>
    <w:rsid w:val="00A5227B"/>
    <w:rsid w:val="00A523D5"/>
    <w:rsid w:val="00A527F7"/>
    <w:rsid w:val="00A52965"/>
    <w:rsid w:val="00A52B6B"/>
    <w:rsid w:val="00A535C0"/>
    <w:rsid w:val="00A5397C"/>
    <w:rsid w:val="00A53B32"/>
    <w:rsid w:val="00A53D9A"/>
    <w:rsid w:val="00A53EC6"/>
    <w:rsid w:val="00A54CE2"/>
    <w:rsid w:val="00A5508D"/>
    <w:rsid w:val="00A556A3"/>
    <w:rsid w:val="00A55C0F"/>
    <w:rsid w:val="00A55D10"/>
    <w:rsid w:val="00A56263"/>
    <w:rsid w:val="00A562DF"/>
    <w:rsid w:val="00A56492"/>
    <w:rsid w:val="00A56A89"/>
    <w:rsid w:val="00A56D9F"/>
    <w:rsid w:val="00A601D9"/>
    <w:rsid w:val="00A60892"/>
    <w:rsid w:val="00A610A5"/>
    <w:rsid w:val="00A61302"/>
    <w:rsid w:val="00A61783"/>
    <w:rsid w:val="00A61976"/>
    <w:rsid w:val="00A61FB9"/>
    <w:rsid w:val="00A6221A"/>
    <w:rsid w:val="00A62337"/>
    <w:rsid w:val="00A6252F"/>
    <w:rsid w:val="00A62DB1"/>
    <w:rsid w:val="00A63120"/>
    <w:rsid w:val="00A639F0"/>
    <w:rsid w:val="00A63F05"/>
    <w:rsid w:val="00A649C9"/>
    <w:rsid w:val="00A64C52"/>
    <w:rsid w:val="00A65BC2"/>
    <w:rsid w:val="00A66182"/>
    <w:rsid w:val="00A66480"/>
    <w:rsid w:val="00A66717"/>
    <w:rsid w:val="00A667AB"/>
    <w:rsid w:val="00A66F70"/>
    <w:rsid w:val="00A67009"/>
    <w:rsid w:val="00A670A0"/>
    <w:rsid w:val="00A67390"/>
    <w:rsid w:val="00A67407"/>
    <w:rsid w:val="00A674D2"/>
    <w:rsid w:val="00A67C11"/>
    <w:rsid w:val="00A67ED9"/>
    <w:rsid w:val="00A7080C"/>
    <w:rsid w:val="00A70906"/>
    <w:rsid w:val="00A709A5"/>
    <w:rsid w:val="00A70D72"/>
    <w:rsid w:val="00A71484"/>
    <w:rsid w:val="00A71710"/>
    <w:rsid w:val="00A718F3"/>
    <w:rsid w:val="00A71D1F"/>
    <w:rsid w:val="00A71E00"/>
    <w:rsid w:val="00A72620"/>
    <w:rsid w:val="00A72A31"/>
    <w:rsid w:val="00A730DF"/>
    <w:rsid w:val="00A7324C"/>
    <w:rsid w:val="00A73EEC"/>
    <w:rsid w:val="00A741F3"/>
    <w:rsid w:val="00A74774"/>
    <w:rsid w:val="00A74B2E"/>
    <w:rsid w:val="00A74ED0"/>
    <w:rsid w:val="00A75038"/>
    <w:rsid w:val="00A751B8"/>
    <w:rsid w:val="00A753B8"/>
    <w:rsid w:val="00A7578D"/>
    <w:rsid w:val="00A76078"/>
    <w:rsid w:val="00A76E1A"/>
    <w:rsid w:val="00A76F9C"/>
    <w:rsid w:val="00A770EF"/>
    <w:rsid w:val="00A7730E"/>
    <w:rsid w:val="00A77350"/>
    <w:rsid w:val="00A77950"/>
    <w:rsid w:val="00A779FE"/>
    <w:rsid w:val="00A77A12"/>
    <w:rsid w:val="00A77B4D"/>
    <w:rsid w:val="00A80255"/>
    <w:rsid w:val="00A802D1"/>
    <w:rsid w:val="00A80DB7"/>
    <w:rsid w:val="00A81206"/>
    <w:rsid w:val="00A8178F"/>
    <w:rsid w:val="00A819A2"/>
    <w:rsid w:val="00A819E4"/>
    <w:rsid w:val="00A81B16"/>
    <w:rsid w:val="00A81BD3"/>
    <w:rsid w:val="00A81BF4"/>
    <w:rsid w:val="00A820B0"/>
    <w:rsid w:val="00A82135"/>
    <w:rsid w:val="00A82458"/>
    <w:rsid w:val="00A8271F"/>
    <w:rsid w:val="00A82E7C"/>
    <w:rsid w:val="00A831F4"/>
    <w:rsid w:val="00A838AB"/>
    <w:rsid w:val="00A83B0B"/>
    <w:rsid w:val="00A84827"/>
    <w:rsid w:val="00A853BC"/>
    <w:rsid w:val="00A85F35"/>
    <w:rsid w:val="00A860BB"/>
    <w:rsid w:val="00A8616D"/>
    <w:rsid w:val="00A86BFA"/>
    <w:rsid w:val="00A86BFE"/>
    <w:rsid w:val="00A8706A"/>
    <w:rsid w:val="00A8713F"/>
    <w:rsid w:val="00A87567"/>
    <w:rsid w:val="00A87AEC"/>
    <w:rsid w:val="00A87ED6"/>
    <w:rsid w:val="00A9003A"/>
    <w:rsid w:val="00A90421"/>
    <w:rsid w:val="00A90BA1"/>
    <w:rsid w:val="00A90BE1"/>
    <w:rsid w:val="00A915B9"/>
    <w:rsid w:val="00A91743"/>
    <w:rsid w:val="00A91A16"/>
    <w:rsid w:val="00A91D14"/>
    <w:rsid w:val="00A922CF"/>
    <w:rsid w:val="00A928F1"/>
    <w:rsid w:val="00A92B7D"/>
    <w:rsid w:val="00A933A8"/>
    <w:rsid w:val="00A93580"/>
    <w:rsid w:val="00A935B5"/>
    <w:rsid w:val="00A93649"/>
    <w:rsid w:val="00A93655"/>
    <w:rsid w:val="00A93792"/>
    <w:rsid w:val="00A94B29"/>
    <w:rsid w:val="00A94FFE"/>
    <w:rsid w:val="00A950D3"/>
    <w:rsid w:val="00A95B7F"/>
    <w:rsid w:val="00A95C9E"/>
    <w:rsid w:val="00A96074"/>
    <w:rsid w:val="00A9689E"/>
    <w:rsid w:val="00A96CA9"/>
    <w:rsid w:val="00A96DF6"/>
    <w:rsid w:val="00A97184"/>
    <w:rsid w:val="00A97A9A"/>
    <w:rsid w:val="00AA0085"/>
    <w:rsid w:val="00AA00E9"/>
    <w:rsid w:val="00AA0671"/>
    <w:rsid w:val="00AA07E5"/>
    <w:rsid w:val="00AA0921"/>
    <w:rsid w:val="00AA0CD1"/>
    <w:rsid w:val="00AA0D6E"/>
    <w:rsid w:val="00AA11E9"/>
    <w:rsid w:val="00AA18DD"/>
    <w:rsid w:val="00AA1903"/>
    <w:rsid w:val="00AA1964"/>
    <w:rsid w:val="00AA1FEC"/>
    <w:rsid w:val="00AA24EB"/>
    <w:rsid w:val="00AA2531"/>
    <w:rsid w:val="00AA27D8"/>
    <w:rsid w:val="00AA386C"/>
    <w:rsid w:val="00AA39D2"/>
    <w:rsid w:val="00AA3BB7"/>
    <w:rsid w:val="00AA3EFB"/>
    <w:rsid w:val="00AA48D4"/>
    <w:rsid w:val="00AA4F4A"/>
    <w:rsid w:val="00AA54E2"/>
    <w:rsid w:val="00AA5501"/>
    <w:rsid w:val="00AA55FD"/>
    <w:rsid w:val="00AA58F4"/>
    <w:rsid w:val="00AA5D0C"/>
    <w:rsid w:val="00AA68F3"/>
    <w:rsid w:val="00AA778D"/>
    <w:rsid w:val="00AA78DF"/>
    <w:rsid w:val="00AA7A4E"/>
    <w:rsid w:val="00AA7CCB"/>
    <w:rsid w:val="00AB0959"/>
    <w:rsid w:val="00AB0AC2"/>
    <w:rsid w:val="00AB0C68"/>
    <w:rsid w:val="00AB0D85"/>
    <w:rsid w:val="00AB0FE2"/>
    <w:rsid w:val="00AB1D3C"/>
    <w:rsid w:val="00AB1E09"/>
    <w:rsid w:val="00AB36E7"/>
    <w:rsid w:val="00AB3F27"/>
    <w:rsid w:val="00AB44E5"/>
    <w:rsid w:val="00AB4844"/>
    <w:rsid w:val="00AB48F7"/>
    <w:rsid w:val="00AB49C9"/>
    <w:rsid w:val="00AB4ECB"/>
    <w:rsid w:val="00AB5276"/>
    <w:rsid w:val="00AB5330"/>
    <w:rsid w:val="00AB59A1"/>
    <w:rsid w:val="00AB5C34"/>
    <w:rsid w:val="00AB5F52"/>
    <w:rsid w:val="00AB6514"/>
    <w:rsid w:val="00AB6795"/>
    <w:rsid w:val="00AB75AD"/>
    <w:rsid w:val="00AB7747"/>
    <w:rsid w:val="00AB7ACC"/>
    <w:rsid w:val="00AB7C16"/>
    <w:rsid w:val="00AC02F2"/>
    <w:rsid w:val="00AC0888"/>
    <w:rsid w:val="00AC14CE"/>
    <w:rsid w:val="00AC15D5"/>
    <w:rsid w:val="00AC1FEF"/>
    <w:rsid w:val="00AC2767"/>
    <w:rsid w:val="00AC2A56"/>
    <w:rsid w:val="00AC2A93"/>
    <w:rsid w:val="00AC2C79"/>
    <w:rsid w:val="00AC2FF8"/>
    <w:rsid w:val="00AC39E5"/>
    <w:rsid w:val="00AC3B5A"/>
    <w:rsid w:val="00AC3E76"/>
    <w:rsid w:val="00AC4372"/>
    <w:rsid w:val="00AC463A"/>
    <w:rsid w:val="00AC46FA"/>
    <w:rsid w:val="00AC4BD5"/>
    <w:rsid w:val="00AC552B"/>
    <w:rsid w:val="00AC56CA"/>
    <w:rsid w:val="00AC62E0"/>
    <w:rsid w:val="00AC63AF"/>
    <w:rsid w:val="00AC6509"/>
    <w:rsid w:val="00AC6740"/>
    <w:rsid w:val="00AC6CAB"/>
    <w:rsid w:val="00AC758D"/>
    <w:rsid w:val="00AC75C6"/>
    <w:rsid w:val="00AC7791"/>
    <w:rsid w:val="00AC7D4F"/>
    <w:rsid w:val="00AD015E"/>
    <w:rsid w:val="00AD03F5"/>
    <w:rsid w:val="00AD055E"/>
    <w:rsid w:val="00AD0D56"/>
    <w:rsid w:val="00AD0DDD"/>
    <w:rsid w:val="00AD0E31"/>
    <w:rsid w:val="00AD16F4"/>
    <w:rsid w:val="00AD17B4"/>
    <w:rsid w:val="00AD1E1F"/>
    <w:rsid w:val="00AD1FDB"/>
    <w:rsid w:val="00AD1FF4"/>
    <w:rsid w:val="00AD21C9"/>
    <w:rsid w:val="00AD25B5"/>
    <w:rsid w:val="00AD3099"/>
    <w:rsid w:val="00AD30F1"/>
    <w:rsid w:val="00AD329B"/>
    <w:rsid w:val="00AD32D4"/>
    <w:rsid w:val="00AD351B"/>
    <w:rsid w:val="00AD3617"/>
    <w:rsid w:val="00AD3EEC"/>
    <w:rsid w:val="00AD3F16"/>
    <w:rsid w:val="00AD41A5"/>
    <w:rsid w:val="00AD47A7"/>
    <w:rsid w:val="00AD4D1B"/>
    <w:rsid w:val="00AD5515"/>
    <w:rsid w:val="00AD5FED"/>
    <w:rsid w:val="00AD689B"/>
    <w:rsid w:val="00AD72D3"/>
    <w:rsid w:val="00AD7994"/>
    <w:rsid w:val="00AD7BEE"/>
    <w:rsid w:val="00AD7E90"/>
    <w:rsid w:val="00AE0780"/>
    <w:rsid w:val="00AE0C1E"/>
    <w:rsid w:val="00AE0CFF"/>
    <w:rsid w:val="00AE0D80"/>
    <w:rsid w:val="00AE11AB"/>
    <w:rsid w:val="00AE155F"/>
    <w:rsid w:val="00AE1651"/>
    <w:rsid w:val="00AE1988"/>
    <w:rsid w:val="00AE2A1B"/>
    <w:rsid w:val="00AE2D0F"/>
    <w:rsid w:val="00AE2E55"/>
    <w:rsid w:val="00AE2F84"/>
    <w:rsid w:val="00AE3859"/>
    <w:rsid w:val="00AE3A14"/>
    <w:rsid w:val="00AE3FE8"/>
    <w:rsid w:val="00AE40DB"/>
    <w:rsid w:val="00AE455B"/>
    <w:rsid w:val="00AE4A93"/>
    <w:rsid w:val="00AE4B22"/>
    <w:rsid w:val="00AE4FD2"/>
    <w:rsid w:val="00AE50D2"/>
    <w:rsid w:val="00AE536C"/>
    <w:rsid w:val="00AE5495"/>
    <w:rsid w:val="00AE5805"/>
    <w:rsid w:val="00AE62C1"/>
    <w:rsid w:val="00AE68A6"/>
    <w:rsid w:val="00AE6F12"/>
    <w:rsid w:val="00AE711B"/>
    <w:rsid w:val="00AE7930"/>
    <w:rsid w:val="00AE7B03"/>
    <w:rsid w:val="00AE7B1F"/>
    <w:rsid w:val="00AF01D7"/>
    <w:rsid w:val="00AF030A"/>
    <w:rsid w:val="00AF0BBE"/>
    <w:rsid w:val="00AF0CBF"/>
    <w:rsid w:val="00AF1344"/>
    <w:rsid w:val="00AF1608"/>
    <w:rsid w:val="00AF17DC"/>
    <w:rsid w:val="00AF1808"/>
    <w:rsid w:val="00AF19B7"/>
    <w:rsid w:val="00AF1DBA"/>
    <w:rsid w:val="00AF1E62"/>
    <w:rsid w:val="00AF1F43"/>
    <w:rsid w:val="00AF2099"/>
    <w:rsid w:val="00AF257F"/>
    <w:rsid w:val="00AF27CF"/>
    <w:rsid w:val="00AF334E"/>
    <w:rsid w:val="00AF334F"/>
    <w:rsid w:val="00AF33CF"/>
    <w:rsid w:val="00AF352C"/>
    <w:rsid w:val="00AF376F"/>
    <w:rsid w:val="00AF4450"/>
    <w:rsid w:val="00AF4755"/>
    <w:rsid w:val="00AF4CB6"/>
    <w:rsid w:val="00AF4D50"/>
    <w:rsid w:val="00AF5363"/>
    <w:rsid w:val="00AF546C"/>
    <w:rsid w:val="00AF5999"/>
    <w:rsid w:val="00AF5E1D"/>
    <w:rsid w:val="00AF5E50"/>
    <w:rsid w:val="00AF6179"/>
    <w:rsid w:val="00AF61E9"/>
    <w:rsid w:val="00AF6352"/>
    <w:rsid w:val="00AF63C7"/>
    <w:rsid w:val="00AF6960"/>
    <w:rsid w:val="00AF70D9"/>
    <w:rsid w:val="00AF766D"/>
    <w:rsid w:val="00AF78A8"/>
    <w:rsid w:val="00AF79BE"/>
    <w:rsid w:val="00AF7FE8"/>
    <w:rsid w:val="00B00112"/>
    <w:rsid w:val="00B00B51"/>
    <w:rsid w:val="00B00B8F"/>
    <w:rsid w:val="00B00CE4"/>
    <w:rsid w:val="00B00F93"/>
    <w:rsid w:val="00B01CDD"/>
    <w:rsid w:val="00B0246C"/>
    <w:rsid w:val="00B0255D"/>
    <w:rsid w:val="00B02B8A"/>
    <w:rsid w:val="00B03192"/>
    <w:rsid w:val="00B03DD7"/>
    <w:rsid w:val="00B0428E"/>
    <w:rsid w:val="00B0451C"/>
    <w:rsid w:val="00B04D5F"/>
    <w:rsid w:val="00B04F90"/>
    <w:rsid w:val="00B0504E"/>
    <w:rsid w:val="00B0526D"/>
    <w:rsid w:val="00B058FF"/>
    <w:rsid w:val="00B05969"/>
    <w:rsid w:val="00B063C4"/>
    <w:rsid w:val="00B06B6F"/>
    <w:rsid w:val="00B06D8C"/>
    <w:rsid w:val="00B07F66"/>
    <w:rsid w:val="00B10A67"/>
    <w:rsid w:val="00B10BD7"/>
    <w:rsid w:val="00B117AC"/>
    <w:rsid w:val="00B11D60"/>
    <w:rsid w:val="00B121AB"/>
    <w:rsid w:val="00B121CA"/>
    <w:rsid w:val="00B1295A"/>
    <w:rsid w:val="00B12BB8"/>
    <w:rsid w:val="00B12C29"/>
    <w:rsid w:val="00B130C4"/>
    <w:rsid w:val="00B13135"/>
    <w:rsid w:val="00B13176"/>
    <w:rsid w:val="00B133C4"/>
    <w:rsid w:val="00B1346D"/>
    <w:rsid w:val="00B138EA"/>
    <w:rsid w:val="00B13EB5"/>
    <w:rsid w:val="00B141B3"/>
    <w:rsid w:val="00B14F9F"/>
    <w:rsid w:val="00B15487"/>
    <w:rsid w:val="00B15E77"/>
    <w:rsid w:val="00B1687F"/>
    <w:rsid w:val="00B16AA1"/>
    <w:rsid w:val="00B16BC0"/>
    <w:rsid w:val="00B170C0"/>
    <w:rsid w:val="00B17833"/>
    <w:rsid w:val="00B203ED"/>
    <w:rsid w:val="00B20895"/>
    <w:rsid w:val="00B20A45"/>
    <w:rsid w:val="00B20A7A"/>
    <w:rsid w:val="00B20ABE"/>
    <w:rsid w:val="00B21127"/>
    <w:rsid w:val="00B21237"/>
    <w:rsid w:val="00B2146B"/>
    <w:rsid w:val="00B219FA"/>
    <w:rsid w:val="00B2240D"/>
    <w:rsid w:val="00B226BB"/>
    <w:rsid w:val="00B226D9"/>
    <w:rsid w:val="00B22871"/>
    <w:rsid w:val="00B22C5C"/>
    <w:rsid w:val="00B233B0"/>
    <w:rsid w:val="00B235CE"/>
    <w:rsid w:val="00B23622"/>
    <w:rsid w:val="00B23C9B"/>
    <w:rsid w:val="00B2417D"/>
    <w:rsid w:val="00B247FA"/>
    <w:rsid w:val="00B24D70"/>
    <w:rsid w:val="00B24F30"/>
    <w:rsid w:val="00B25388"/>
    <w:rsid w:val="00B253C6"/>
    <w:rsid w:val="00B253F0"/>
    <w:rsid w:val="00B2544F"/>
    <w:rsid w:val="00B264DF"/>
    <w:rsid w:val="00B265C7"/>
    <w:rsid w:val="00B26969"/>
    <w:rsid w:val="00B30186"/>
    <w:rsid w:val="00B30195"/>
    <w:rsid w:val="00B30547"/>
    <w:rsid w:val="00B3070A"/>
    <w:rsid w:val="00B312A2"/>
    <w:rsid w:val="00B3152D"/>
    <w:rsid w:val="00B315DE"/>
    <w:rsid w:val="00B31ABF"/>
    <w:rsid w:val="00B3203F"/>
    <w:rsid w:val="00B32293"/>
    <w:rsid w:val="00B322CA"/>
    <w:rsid w:val="00B323BA"/>
    <w:rsid w:val="00B328EC"/>
    <w:rsid w:val="00B32D68"/>
    <w:rsid w:val="00B33066"/>
    <w:rsid w:val="00B33103"/>
    <w:rsid w:val="00B33512"/>
    <w:rsid w:val="00B3362B"/>
    <w:rsid w:val="00B33A50"/>
    <w:rsid w:val="00B33BE3"/>
    <w:rsid w:val="00B33F26"/>
    <w:rsid w:val="00B355B7"/>
    <w:rsid w:val="00B356B2"/>
    <w:rsid w:val="00B35898"/>
    <w:rsid w:val="00B358FA"/>
    <w:rsid w:val="00B359C7"/>
    <w:rsid w:val="00B35A6E"/>
    <w:rsid w:val="00B35AD8"/>
    <w:rsid w:val="00B36C34"/>
    <w:rsid w:val="00B36FF1"/>
    <w:rsid w:val="00B37BD6"/>
    <w:rsid w:val="00B40596"/>
    <w:rsid w:val="00B407CE"/>
    <w:rsid w:val="00B413AB"/>
    <w:rsid w:val="00B416DF"/>
    <w:rsid w:val="00B41701"/>
    <w:rsid w:val="00B41971"/>
    <w:rsid w:val="00B427FA"/>
    <w:rsid w:val="00B42FAF"/>
    <w:rsid w:val="00B43035"/>
    <w:rsid w:val="00B437CA"/>
    <w:rsid w:val="00B439DE"/>
    <w:rsid w:val="00B43C6B"/>
    <w:rsid w:val="00B43FD8"/>
    <w:rsid w:val="00B44331"/>
    <w:rsid w:val="00B4474A"/>
    <w:rsid w:val="00B44859"/>
    <w:rsid w:val="00B44B39"/>
    <w:rsid w:val="00B45332"/>
    <w:rsid w:val="00B45E35"/>
    <w:rsid w:val="00B45FA0"/>
    <w:rsid w:val="00B460FF"/>
    <w:rsid w:val="00B46262"/>
    <w:rsid w:val="00B4648C"/>
    <w:rsid w:val="00B46A83"/>
    <w:rsid w:val="00B47451"/>
    <w:rsid w:val="00B47491"/>
    <w:rsid w:val="00B475C0"/>
    <w:rsid w:val="00B4764B"/>
    <w:rsid w:val="00B478A1"/>
    <w:rsid w:val="00B50121"/>
    <w:rsid w:val="00B5068D"/>
    <w:rsid w:val="00B50708"/>
    <w:rsid w:val="00B5097B"/>
    <w:rsid w:val="00B50A81"/>
    <w:rsid w:val="00B50F5C"/>
    <w:rsid w:val="00B51724"/>
    <w:rsid w:val="00B5184A"/>
    <w:rsid w:val="00B51BF0"/>
    <w:rsid w:val="00B5220A"/>
    <w:rsid w:val="00B52309"/>
    <w:rsid w:val="00B524AF"/>
    <w:rsid w:val="00B53069"/>
    <w:rsid w:val="00B5336E"/>
    <w:rsid w:val="00B535FD"/>
    <w:rsid w:val="00B536EE"/>
    <w:rsid w:val="00B53B5D"/>
    <w:rsid w:val="00B542D8"/>
    <w:rsid w:val="00B54CBD"/>
    <w:rsid w:val="00B556D3"/>
    <w:rsid w:val="00B559EC"/>
    <w:rsid w:val="00B55BDB"/>
    <w:rsid w:val="00B55BFD"/>
    <w:rsid w:val="00B56159"/>
    <w:rsid w:val="00B5673D"/>
    <w:rsid w:val="00B569ED"/>
    <w:rsid w:val="00B56E02"/>
    <w:rsid w:val="00B57579"/>
    <w:rsid w:val="00B57AB0"/>
    <w:rsid w:val="00B6046B"/>
    <w:rsid w:val="00B6055E"/>
    <w:rsid w:val="00B60766"/>
    <w:rsid w:val="00B6095C"/>
    <w:rsid w:val="00B60C22"/>
    <w:rsid w:val="00B60FB3"/>
    <w:rsid w:val="00B6106B"/>
    <w:rsid w:val="00B6135D"/>
    <w:rsid w:val="00B613E9"/>
    <w:rsid w:val="00B61500"/>
    <w:rsid w:val="00B618C9"/>
    <w:rsid w:val="00B61A6B"/>
    <w:rsid w:val="00B61AD2"/>
    <w:rsid w:val="00B6317D"/>
    <w:rsid w:val="00B63B3D"/>
    <w:rsid w:val="00B63C51"/>
    <w:rsid w:val="00B64574"/>
    <w:rsid w:val="00B64924"/>
    <w:rsid w:val="00B64E40"/>
    <w:rsid w:val="00B65087"/>
    <w:rsid w:val="00B65324"/>
    <w:rsid w:val="00B653B6"/>
    <w:rsid w:val="00B65AAE"/>
    <w:rsid w:val="00B662B2"/>
    <w:rsid w:val="00B66988"/>
    <w:rsid w:val="00B670F1"/>
    <w:rsid w:val="00B67266"/>
    <w:rsid w:val="00B673A8"/>
    <w:rsid w:val="00B676E8"/>
    <w:rsid w:val="00B67D95"/>
    <w:rsid w:val="00B700D2"/>
    <w:rsid w:val="00B703B0"/>
    <w:rsid w:val="00B709A5"/>
    <w:rsid w:val="00B70F67"/>
    <w:rsid w:val="00B7179B"/>
    <w:rsid w:val="00B71B02"/>
    <w:rsid w:val="00B72FA6"/>
    <w:rsid w:val="00B734B0"/>
    <w:rsid w:val="00B7370D"/>
    <w:rsid w:val="00B73826"/>
    <w:rsid w:val="00B743B0"/>
    <w:rsid w:val="00B7475B"/>
    <w:rsid w:val="00B74803"/>
    <w:rsid w:val="00B74D52"/>
    <w:rsid w:val="00B74DE4"/>
    <w:rsid w:val="00B7557C"/>
    <w:rsid w:val="00B75D6D"/>
    <w:rsid w:val="00B75D96"/>
    <w:rsid w:val="00B76217"/>
    <w:rsid w:val="00B7665A"/>
    <w:rsid w:val="00B766B3"/>
    <w:rsid w:val="00B7676C"/>
    <w:rsid w:val="00B771DA"/>
    <w:rsid w:val="00B7723F"/>
    <w:rsid w:val="00B77255"/>
    <w:rsid w:val="00B77C55"/>
    <w:rsid w:val="00B800BA"/>
    <w:rsid w:val="00B80534"/>
    <w:rsid w:val="00B80735"/>
    <w:rsid w:val="00B81889"/>
    <w:rsid w:val="00B81B53"/>
    <w:rsid w:val="00B81FD7"/>
    <w:rsid w:val="00B820E9"/>
    <w:rsid w:val="00B820FE"/>
    <w:rsid w:val="00B82211"/>
    <w:rsid w:val="00B8252E"/>
    <w:rsid w:val="00B827A9"/>
    <w:rsid w:val="00B82D19"/>
    <w:rsid w:val="00B82EA1"/>
    <w:rsid w:val="00B83630"/>
    <w:rsid w:val="00B8399E"/>
    <w:rsid w:val="00B83ACF"/>
    <w:rsid w:val="00B83BBD"/>
    <w:rsid w:val="00B83E41"/>
    <w:rsid w:val="00B83E8D"/>
    <w:rsid w:val="00B84113"/>
    <w:rsid w:val="00B8426F"/>
    <w:rsid w:val="00B8433C"/>
    <w:rsid w:val="00B84B33"/>
    <w:rsid w:val="00B850DC"/>
    <w:rsid w:val="00B8562D"/>
    <w:rsid w:val="00B8586F"/>
    <w:rsid w:val="00B85B04"/>
    <w:rsid w:val="00B85C1F"/>
    <w:rsid w:val="00B85D29"/>
    <w:rsid w:val="00B86000"/>
    <w:rsid w:val="00B860D8"/>
    <w:rsid w:val="00B861E7"/>
    <w:rsid w:val="00B8679C"/>
    <w:rsid w:val="00B87491"/>
    <w:rsid w:val="00B87957"/>
    <w:rsid w:val="00B87B9B"/>
    <w:rsid w:val="00B900B7"/>
    <w:rsid w:val="00B909A6"/>
    <w:rsid w:val="00B90AF7"/>
    <w:rsid w:val="00B90D5F"/>
    <w:rsid w:val="00B911F4"/>
    <w:rsid w:val="00B913B2"/>
    <w:rsid w:val="00B9145B"/>
    <w:rsid w:val="00B91C51"/>
    <w:rsid w:val="00B92C08"/>
    <w:rsid w:val="00B9315B"/>
    <w:rsid w:val="00B932BD"/>
    <w:rsid w:val="00B93D64"/>
    <w:rsid w:val="00B93F7E"/>
    <w:rsid w:val="00B940CA"/>
    <w:rsid w:val="00B941B9"/>
    <w:rsid w:val="00B94737"/>
    <w:rsid w:val="00B949EF"/>
    <w:rsid w:val="00B94BA1"/>
    <w:rsid w:val="00B95561"/>
    <w:rsid w:val="00B95A66"/>
    <w:rsid w:val="00B962F5"/>
    <w:rsid w:val="00B96E34"/>
    <w:rsid w:val="00B97513"/>
    <w:rsid w:val="00B9787D"/>
    <w:rsid w:val="00B97CD8"/>
    <w:rsid w:val="00B97E71"/>
    <w:rsid w:val="00BA002E"/>
    <w:rsid w:val="00BA00D3"/>
    <w:rsid w:val="00BA0172"/>
    <w:rsid w:val="00BA07C8"/>
    <w:rsid w:val="00BA0E5F"/>
    <w:rsid w:val="00BA0F82"/>
    <w:rsid w:val="00BA15E9"/>
    <w:rsid w:val="00BA166C"/>
    <w:rsid w:val="00BA1B26"/>
    <w:rsid w:val="00BA1D1D"/>
    <w:rsid w:val="00BA1D53"/>
    <w:rsid w:val="00BA1E7F"/>
    <w:rsid w:val="00BA21C3"/>
    <w:rsid w:val="00BA2283"/>
    <w:rsid w:val="00BA2462"/>
    <w:rsid w:val="00BA253C"/>
    <w:rsid w:val="00BA289A"/>
    <w:rsid w:val="00BA2955"/>
    <w:rsid w:val="00BA29E9"/>
    <w:rsid w:val="00BA309D"/>
    <w:rsid w:val="00BA36DC"/>
    <w:rsid w:val="00BA3BAD"/>
    <w:rsid w:val="00BA4031"/>
    <w:rsid w:val="00BA442F"/>
    <w:rsid w:val="00BA4825"/>
    <w:rsid w:val="00BA4954"/>
    <w:rsid w:val="00BA4D4C"/>
    <w:rsid w:val="00BA5618"/>
    <w:rsid w:val="00BA58C7"/>
    <w:rsid w:val="00BA5FBF"/>
    <w:rsid w:val="00BA623B"/>
    <w:rsid w:val="00BA661D"/>
    <w:rsid w:val="00BA6676"/>
    <w:rsid w:val="00BA7142"/>
    <w:rsid w:val="00BA75CE"/>
    <w:rsid w:val="00BA7BCB"/>
    <w:rsid w:val="00BA7C83"/>
    <w:rsid w:val="00BB0202"/>
    <w:rsid w:val="00BB0C04"/>
    <w:rsid w:val="00BB0E98"/>
    <w:rsid w:val="00BB11AA"/>
    <w:rsid w:val="00BB1555"/>
    <w:rsid w:val="00BB1CCE"/>
    <w:rsid w:val="00BB237C"/>
    <w:rsid w:val="00BB2977"/>
    <w:rsid w:val="00BB2ADE"/>
    <w:rsid w:val="00BB2FA2"/>
    <w:rsid w:val="00BB393F"/>
    <w:rsid w:val="00BB39F2"/>
    <w:rsid w:val="00BB4067"/>
    <w:rsid w:val="00BB41A3"/>
    <w:rsid w:val="00BB4784"/>
    <w:rsid w:val="00BB48F6"/>
    <w:rsid w:val="00BB55B5"/>
    <w:rsid w:val="00BB58F3"/>
    <w:rsid w:val="00BB5A32"/>
    <w:rsid w:val="00BB6550"/>
    <w:rsid w:val="00BB678B"/>
    <w:rsid w:val="00BB6A0F"/>
    <w:rsid w:val="00BB6CB9"/>
    <w:rsid w:val="00BB6E53"/>
    <w:rsid w:val="00BB6F86"/>
    <w:rsid w:val="00BB74C8"/>
    <w:rsid w:val="00BB794A"/>
    <w:rsid w:val="00BC0008"/>
    <w:rsid w:val="00BC025E"/>
    <w:rsid w:val="00BC05DB"/>
    <w:rsid w:val="00BC0A1B"/>
    <w:rsid w:val="00BC0CFC"/>
    <w:rsid w:val="00BC0E03"/>
    <w:rsid w:val="00BC18DF"/>
    <w:rsid w:val="00BC1A46"/>
    <w:rsid w:val="00BC1F05"/>
    <w:rsid w:val="00BC23C2"/>
    <w:rsid w:val="00BC28D2"/>
    <w:rsid w:val="00BC2918"/>
    <w:rsid w:val="00BC2BBF"/>
    <w:rsid w:val="00BC328F"/>
    <w:rsid w:val="00BC32DC"/>
    <w:rsid w:val="00BC33A7"/>
    <w:rsid w:val="00BC35B6"/>
    <w:rsid w:val="00BC3DF8"/>
    <w:rsid w:val="00BC4224"/>
    <w:rsid w:val="00BC4DAC"/>
    <w:rsid w:val="00BC4F39"/>
    <w:rsid w:val="00BC5900"/>
    <w:rsid w:val="00BC5BFB"/>
    <w:rsid w:val="00BC5D74"/>
    <w:rsid w:val="00BC5FBB"/>
    <w:rsid w:val="00BC6443"/>
    <w:rsid w:val="00BC6670"/>
    <w:rsid w:val="00BC66CA"/>
    <w:rsid w:val="00BC66E1"/>
    <w:rsid w:val="00BC6FE5"/>
    <w:rsid w:val="00BD0248"/>
    <w:rsid w:val="00BD0638"/>
    <w:rsid w:val="00BD071C"/>
    <w:rsid w:val="00BD0959"/>
    <w:rsid w:val="00BD0A75"/>
    <w:rsid w:val="00BD11A1"/>
    <w:rsid w:val="00BD1A84"/>
    <w:rsid w:val="00BD1B51"/>
    <w:rsid w:val="00BD283A"/>
    <w:rsid w:val="00BD2C9C"/>
    <w:rsid w:val="00BD36C6"/>
    <w:rsid w:val="00BD40AA"/>
    <w:rsid w:val="00BD4596"/>
    <w:rsid w:val="00BD4888"/>
    <w:rsid w:val="00BD52BC"/>
    <w:rsid w:val="00BD55A5"/>
    <w:rsid w:val="00BD5EB7"/>
    <w:rsid w:val="00BD5FE4"/>
    <w:rsid w:val="00BD618D"/>
    <w:rsid w:val="00BD63A5"/>
    <w:rsid w:val="00BD640F"/>
    <w:rsid w:val="00BD6634"/>
    <w:rsid w:val="00BD67A4"/>
    <w:rsid w:val="00BD77F6"/>
    <w:rsid w:val="00BE1405"/>
    <w:rsid w:val="00BE1D89"/>
    <w:rsid w:val="00BE242F"/>
    <w:rsid w:val="00BE2B02"/>
    <w:rsid w:val="00BE2B25"/>
    <w:rsid w:val="00BE2D55"/>
    <w:rsid w:val="00BE312D"/>
    <w:rsid w:val="00BE37B1"/>
    <w:rsid w:val="00BE3C89"/>
    <w:rsid w:val="00BE4188"/>
    <w:rsid w:val="00BE4336"/>
    <w:rsid w:val="00BE45B0"/>
    <w:rsid w:val="00BE4636"/>
    <w:rsid w:val="00BE4881"/>
    <w:rsid w:val="00BE4B41"/>
    <w:rsid w:val="00BE55AF"/>
    <w:rsid w:val="00BE5736"/>
    <w:rsid w:val="00BE5EE8"/>
    <w:rsid w:val="00BE5FA4"/>
    <w:rsid w:val="00BE6494"/>
    <w:rsid w:val="00BE6F74"/>
    <w:rsid w:val="00BE7D97"/>
    <w:rsid w:val="00BF024C"/>
    <w:rsid w:val="00BF031C"/>
    <w:rsid w:val="00BF086A"/>
    <w:rsid w:val="00BF157A"/>
    <w:rsid w:val="00BF1700"/>
    <w:rsid w:val="00BF18C1"/>
    <w:rsid w:val="00BF1AED"/>
    <w:rsid w:val="00BF1C20"/>
    <w:rsid w:val="00BF248D"/>
    <w:rsid w:val="00BF2490"/>
    <w:rsid w:val="00BF27B9"/>
    <w:rsid w:val="00BF288B"/>
    <w:rsid w:val="00BF28F3"/>
    <w:rsid w:val="00BF2B4E"/>
    <w:rsid w:val="00BF3068"/>
    <w:rsid w:val="00BF32A3"/>
    <w:rsid w:val="00BF35C9"/>
    <w:rsid w:val="00BF36B1"/>
    <w:rsid w:val="00BF38D3"/>
    <w:rsid w:val="00BF3996"/>
    <w:rsid w:val="00BF40CD"/>
    <w:rsid w:val="00BF4154"/>
    <w:rsid w:val="00BF4605"/>
    <w:rsid w:val="00BF495D"/>
    <w:rsid w:val="00BF5453"/>
    <w:rsid w:val="00BF5DF3"/>
    <w:rsid w:val="00BF6647"/>
    <w:rsid w:val="00BF6A4E"/>
    <w:rsid w:val="00BF6F2E"/>
    <w:rsid w:val="00C00046"/>
    <w:rsid w:val="00C0015F"/>
    <w:rsid w:val="00C0017B"/>
    <w:rsid w:val="00C00712"/>
    <w:rsid w:val="00C010DE"/>
    <w:rsid w:val="00C0175C"/>
    <w:rsid w:val="00C01ACF"/>
    <w:rsid w:val="00C01AF5"/>
    <w:rsid w:val="00C01C28"/>
    <w:rsid w:val="00C01D23"/>
    <w:rsid w:val="00C01F3E"/>
    <w:rsid w:val="00C02189"/>
    <w:rsid w:val="00C02727"/>
    <w:rsid w:val="00C0283F"/>
    <w:rsid w:val="00C0287B"/>
    <w:rsid w:val="00C03F89"/>
    <w:rsid w:val="00C0510B"/>
    <w:rsid w:val="00C0515F"/>
    <w:rsid w:val="00C05B04"/>
    <w:rsid w:val="00C05F5D"/>
    <w:rsid w:val="00C0622F"/>
    <w:rsid w:val="00C07026"/>
    <w:rsid w:val="00C07418"/>
    <w:rsid w:val="00C074C2"/>
    <w:rsid w:val="00C07C60"/>
    <w:rsid w:val="00C07D71"/>
    <w:rsid w:val="00C07D8D"/>
    <w:rsid w:val="00C07FD5"/>
    <w:rsid w:val="00C1005F"/>
    <w:rsid w:val="00C10578"/>
    <w:rsid w:val="00C10F54"/>
    <w:rsid w:val="00C11466"/>
    <w:rsid w:val="00C11507"/>
    <w:rsid w:val="00C11632"/>
    <w:rsid w:val="00C116D1"/>
    <w:rsid w:val="00C1170D"/>
    <w:rsid w:val="00C122F8"/>
    <w:rsid w:val="00C12C10"/>
    <w:rsid w:val="00C12D80"/>
    <w:rsid w:val="00C130A0"/>
    <w:rsid w:val="00C1352E"/>
    <w:rsid w:val="00C135BC"/>
    <w:rsid w:val="00C13E48"/>
    <w:rsid w:val="00C14643"/>
    <w:rsid w:val="00C1561A"/>
    <w:rsid w:val="00C15C4A"/>
    <w:rsid w:val="00C15C95"/>
    <w:rsid w:val="00C16999"/>
    <w:rsid w:val="00C17E55"/>
    <w:rsid w:val="00C212B6"/>
    <w:rsid w:val="00C212D9"/>
    <w:rsid w:val="00C215F4"/>
    <w:rsid w:val="00C216B6"/>
    <w:rsid w:val="00C217BE"/>
    <w:rsid w:val="00C21979"/>
    <w:rsid w:val="00C21A76"/>
    <w:rsid w:val="00C21DAA"/>
    <w:rsid w:val="00C22370"/>
    <w:rsid w:val="00C223C3"/>
    <w:rsid w:val="00C22BA5"/>
    <w:rsid w:val="00C23309"/>
    <w:rsid w:val="00C237E0"/>
    <w:rsid w:val="00C23B3D"/>
    <w:rsid w:val="00C23C48"/>
    <w:rsid w:val="00C244C4"/>
    <w:rsid w:val="00C24536"/>
    <w:rsid w:val="00C24E06"/>
    <w:rsid w:val="00C2596A"/>
    <w:rsid w:val="00C26488"/>
    <w:rsid w:val="00C26ECF"/>
    <w:rsid w:val="00C27537"/>
    <w:rsid w:val="00C275DA"/>
    <w:rsid w:val="00C30912"/>
    <w:rsid w:val="00C312C9"/>
    <w:rsid w:val="00C31920"/>
    <w:rsid w:val="00C31AFF"/>
    <w:rsid w:val="00C31B34"/>
    <w:rsid w:val="00C31F5B"/>
    <w:rsid w:val="00C323E0"/>
    <w:rsid w:val="00C326C6"/>
    <w:rsid w:val="00C328FE"/>
    <w:rsid w:val="00C32A33"/>
    <w:rsid w:val="00C33507"/>
    <w:rsid w:val="00C33925"/>
    <w:rsid w:val="00C34034"/>
    <w:rsid w:val="00C34472"/>
    <w:rsid w:val="00C34568"/>
    <w:rsid w:val="00C34626"/>
    <w:rsid w:val="00C347C1"/>
    <w:rsid w:val="00C34AC7"/>
    <w:rsid w:val="00C34AFA"/>
    <w:rsid w:val="00C34BD0"/>
    <w:rsid w:val="00C34C80"/>
    <w:rsid w:val="00C3560C"/>
    <w:rsid w:val="00C35D67"/>
    <w:rsid w:val="00C3607D"/>
    <w:rsid w:val="00C36CB8"/>
    <w:rsid w:val="00C37A90"/>
    <w:rsid w:val="00C37E02"/>
    <w:rsid w:val="00C40499"/>
    <w:rsid w:val="00C40B57"/>
    <w:rsid w:val="00C4110E"/>
    <w:rsid w:val="00C41A90"/>
    <w:rsid w:val="00C41D18"/>
    <w:rsid w:val="00C41E2B"/>
    <w:rsid w:val="00C4231B"/>
    <w:rsid w:val="00C42A4B"/>
    <w:rsid w:val="00C4321E"/>
    <w:rsid w:val="00C43694"/>
    <w:rsid w:val="00C436B6"/>
    <w:rsid w:val="00C43C86"/>
    <w:rsid w:val="00C4409D"/>
    <w:rsid w:val="00C44E72"/>
    <w:rsid w:val="00C44F30"/>
    <w:rsid w:val="00C45078"/>
    <w:rsid w:val="00C45519"/>
    <w:rsid w:val="00C459E0"/>
    <w:rsid w:val="00C45A06"/>
    <w:rsid w:val="00C45E7F"/>
    <w:rsid w:val="00C4613E"/>
    <w:rsid w:val="00C46513"/>
    <w:rsid w:val="00C46B17"/>
    <w:rsid w:val="00C46E83"/>
    <w:rsid w:val="00C46FC1"/>
    <w:rsid w:val="00C47A67"/>
    <w:rsid w:val="00C47E5B"/>
    <w:rsid w:val="00C50E07"/>
    <w:rsid w:val="00C51B2D"/>
    <w:rsid w:val="00C521EB"/>
    <w:rsid w:val="00C52371"/>
    <w:rsid w:val="00C53245"/>
    <w:rsid w:val="00C53E62"/>
    <w:rsid w:val="00C549DD"/>
    <w:rsid w:val="00C54C1B"/>
    <w:rsid w:val="00C54E49"/>
    <w:rsid w:val="00C5586D"/>
    <w:rsid w:val="00C55B4E"/>
    <w:rsid w:val="00C55D46"/>
    <w:rsid w:val="00C55E50"/>
    <w:rsid w:val="00C5677E"/>
    <w:rsid w:val="00C56CC5"/>
    <w:rsid w:val="00C56EBD"/>
    <w:rsid w:val="00C56EE9"/>
    <w:rsid w:val="00C570D0"/>
    <w:rsid w:val="00C570DB"/>
    <w:rsid w:val="00C572AE"/>
    <w:rsid w:val="00C577FF"/>
    <w:rsid w:val="00C57DF0"/>
    <w:rsid w:val="00C6018F"/>
    <w:rsid w:val="00C60B55"/>
    <w:rsid w:val="00C60ECC"/>
    <w:rsid w:val="00C6183E"/>
    <w:rsid w:val="00C61E4B"/>
    <w:rsid w:val="00C622B1"/>
    <w:rsid w:val="00C62D08"/>
    <w:rsid w:val="00C62E32"/>
    <w:rsid w:val="00C62F9E"/>
    <w:rsid w:val="00C6313F"/>
    <w:rsid w:val="00C63B4E"/>
    <w:rsid w:val="00C63D4A"/>
    <w:rsid w:val="00C64265"/>
    <w:rsid w:val="00C64530"/>
    <w:rsid w:val="00C64BFF"/>
    <w:rsid w:val="00C64C83"/>
    <w:rsid w:val="00C65008"/>
    <w:rsid w:val="00C65E9B"/>
    <w:rsid w:val="00C65EAD"/>
    <w:rsid w:val="00C66117"/>
    <w:rsid w:val="00C663FD"/>
    <w:rsid w:val="00C6680A"/>
    <w:rsid w:val="00C672B8"/>
    <w:rsid w:val="00C677A7"/>
    <w:rsid w:val="00C67D7A"/>
    <w:rsid w:val="00C70108"/>
    <w:rsid w:val="00C704E9"/>
    <w:rsid w:val="00C70785"/>
    <w:rsid w:val="00C70A39"/>
    <w:rsid w:val="00C70EAD"/>
    <w:rsid w:val="00C71239"/>
    <w:rsid w:val="00C71BA9"/>
    <w:rsid w:val="00C71E1D"/>
    <w:rsid w:val="00C722FE"/>
    <w:rsid w:val="00C72B1F"/>
    <w:rsid w:val="00C72F5F"/>
    <w:rsid w:val="00C73A1E"/>
    <w:rsid w:val="00C74290"/>
    <w:rsid w:val="00C749F0"/>
    <w:rsid w:val="00C753B3"/>
    <w:rsid w:val="00C7587D"/>
    <w:rsid w:val="00C75B60"/>
    <w:rsid w:val="00C7604C"/>
    <w:rsid w:val="00C76070"/>
    <w:rsid w:val="00C76253"/>
    <w:rsid w:val="00C763C9"/>
    <w:rsid w:val="00C765A5"/>
    <w:rsid w:val="00C76D16"/>
    <w:rsid w:val="00C76FE0"/>
    <w:rsid w:val="00C77522"/>
    <w:rsid w:val="00C7752C"/>
    <w:rsid w:val="00C776AD"/>
    <w:rsid w:val="00C7794F"/>
    <w:rsid w:val="00C77E4E"/>
    <w:rsid w:val="00C80057"/>
    <w:rsid w:val="00C8063D"/>
    <w:rsid w:val="00C808AA"/>
    <w:rsid w:val="00C808D3"/>
    <w:rsid w:val="00C80943"/>
    <w:rsid w:val="00C819EC"/>
    <w:rsid w:val="00C81B16"/>
    <w:rsid w:val="00C81E73"/>
    <w:rsid w:val="00C82164"/>
    <w:rsid w:val="00C82232"/>
    <w:rsid w:val="00C82641"/>
    <w:rsid w:val="00C827C1"/>
    <w:rsid w:val="00C827E7"/>
    <w:rsid w:val="00C82913"/>
    <w:rsid w:val="00C83462"/>
    <w:rsid w:val="00C834FB"/>
    <w:rsid w:val="00C83B49"/>
    <w:rsid w:val="00C84696"/>
    <w:rsid w:val="00C85381"/>
    <w:rsid w:val="00C858AB"/>
    <w:rsid w:val="00C86721"/>
    <w:rsid w:val="00C8672D"/>
    <w:rsid w:val="00C86F0B"/>
    <w:rsid w:val="00C871FC"/>
    <w:rsid w:val="00C879F8"/>
    <w:rsid w:val="00C9022F"/>
    <w:rsid w:val="00C909A6"/>
    <w:rsid w:val="00C90C97"/>
    <w:rsid w:val="00C90F88"/>
    <w:rsid w:val="00C9217C"/>
    <w:rsid w:val="00C92181"/>
    <w:rsid w:val="00C922BE"/>
    <w:rsid w:val="00C92753"/>
    <w:rsid w:val="00C92DBB"/>
    <w:rsid w:val="00C92E9D"/>
    <w:rsid w:val="00C92F4C"/>
    <w:rsid w:val="00C931FA"/>
    <w:rsid w:val="00C93398"/>
    <w:rsid w:val="00C9342E"/>
    <w:rsid w:val="00C9392B"/>
    <w:rsid w:val="00C93C43"/>
    <w:rsid w:val="00C93C90"/>
    <w:rsid w:val="00C93D2B"/>
    <w:rsid w:val="00C940FC"/>
    <w:rsid w:val="00C941BD"/>
    <w:rsid w:val="00C956C9"/>
    <w:rsid w:val="00C95E0E"/>
    <w:rsid w:val="00C95FE0"/>
    <w:rsid w:val="00C961C2"/>
    <w:rsid w:val="00C961DE"/>
    <w:rsid w:val="00C966F9"/>
    <w:rsid w:val="00C96DD3"/>
    <w:rsid w:val="00C96E98"/>
    <w:rsid w:val="00C96F7A"/>
    <w:rsid w:val="00C972B1"/>
    <w:rsid w:val="00C975FF"/>
    <w:rsid w:val="00C97E73"/>
    <w:rsid w:val="00CA00B3"/>
    <w:rsid w:val="00CA0275"/>
    <w:rsid w:val="00CA02DE"/>
    <w:rsid w:val="00CA0415"/>
    <w:rsid w:val="00CA046E"/>
    <w:rsid w:val="00CA0575"/>
    <w:rsid w:val="00CA0840"/>
    <w:rsid w:val="00CA0F84"/>
    <w:rsid w:val="00CA15C7"/>
    <w:rsid w:val="00CA18F1"/>
    <w:rsid w:val="00CA28F2"/>
    <w:rsid w:val="00CA2AD7"/>
    <w:rsid w:val="00CA2B47"/>
    <w:rsid w:val="00CA2CCE"/>
    <w:rsid w:val="00CA2EF3"/>
    <w:rsid w:val="00CA30BF"/>
    <w:rsid w:val="00CA37EF"/>
    <w:rsid w:val="00CA39BB"/>
    <w:rsid w:val="00CA3DFE"/>
    <w:rsid w:val="00CA3F0C"/>
    <w:rsid w:val="00CA43FD"/>
    <w:rsid w:val="00CA4755"/>
    <w:rsid w:val="00CA52FC"/>
    <w:rsid w:val="00CA5680"/>
    <w:rsid w:val="00CA5C63"/>
    <w:rsid w:val="00CA5F8D"/>
    <w:rsid w:val="00CA60BD"/>
    <w:rsid w:val="00CA60FF"/>
    <w:rsid w:val="00CA6207"/>
    <w:rsid w:val="00CA6868"/>
    <w:rsid w:val="00CA6C62"/>
    <w:rsid w:val="00CA72BE"/>
    <w:rsid w:val="00CA736A"/>
    <w:rsid w:val="00CA740C"/>
    <w:rsid w:val="00CA7ABE"/>
    <w:rsid w:val="00CA7EF8"/>
    <w:rsid w:val="00CB04FE"/>
    <w:rsid w:val="00CB0957"/>
    <w:rsid w:val="00CB09E7"/>
    <w:rsid w:val="00CB0AB8"/>
    <w:rsid w:val="00CB0C82"/>
    <w:rsid w:val="00CB0E0A"/>
    <w:rsid w:val="00CB12F0"/>
    <w:rsid w:val="00CB1E23"/>
    <w:rsid w:val="00CB2342"/>
    <w:rsid w:val="00CB2B5C"/>
    <w:rsid w:val="00CB3971"/>
    <w:rsid w:val="00CB43B9"/>
    <w:rsid w:val="00CB4E9D"/>
    <w:rsid w:val="00CB531D"/>
    <w:rsid w:val="00CB5337"/>
    <w:rsid w:val="00CB5A0C"/>
    <w:rsid w:val="00CB5B3F"/>
    <w:rsid w:val="00CB6009"/>
    <w:rsid w:val="00CB6802"/>
    <w:rsid w:val="00CB6B9A"/>
    <w:rsid w:val="00CB6E8D"/>
    <w:rsid w:val="00CB701F"/>
    <w:rsid w:val="00CB723B"/>
    <w:rsid w:val="00CB746E"/>
    <w:rsid w:val="00CB74A6"/>
    <w:rsid w:val="00CB7892"/>
    <w:rsid w:val="00CB79FA"/>
    <w:rsid w:val="00CC0112"/>
    <w:rsid w:val="00CC026C"/>
    <w:rsid w:val="00CC03AC"/>
    <w:rsid w:val="00CC0612"/>
    <w:rsid w:val="00CC0DFE"/>
    <w:rsid w:val="00CC1794"/>
    <w:rsid w:val="00CC18B9"/>
    <w:rsid w:val="00CC196F"/>
    <w:rsid w:val="00CC330E"/>
    <w:rsid w:val="00CC3D19"/>
    <w:rsid w:val="00CC3FFB"/>
    <w:rsid w:val="00CC40DE"/>
    <w:rsid w:val="00CC4715"/>
    <w:rsid w:val="00CC47FC"/>
    <w:rsid w:val="00CC489B"/>
    <w:rsid w:val="00CC4BF8"/>
    <w:rsid w:val="00CC5D02"/>
    <w:rsid w:val="00CC5DF0"/>
    <w:rsid w:val="00CC66A4"/>
    <w:rsid w:val="00CC7081"/>
    <w:rsid w:val="00CC7661"/>
    <w:rsid w:val="00CC7CBE"/>
    <w:rsid w:val="00CC7E88"/>
    <w:rsid w:val="00CD005D"/>
    <w:rsid w:val="00CD0124"/>
    <w:rsid w:val="00CD0357"/>
    <w:rsid w:val="00CD0793"/>
    <w:rsid w:val="00CD0F2D"/>
    <w:rsid w:val="00CD113C"/>
    <w:rsid w:val="00CD1B7A"/>
    <w:rsid w:val="00CD26F9"/>
    <w:rsid w:val="00CD2BB2"/>
    <w:rsid w:val="00CD2BCD"/>
    <w:rsid w:val="00CD31AA"/>
    <w:rsid w:val="00CD3201"/>
    <w:rsid w:val="00CD351B"/>
    <w:rsid w:val="00CD3584"/>
    <w:rsid w:val="00CD3836"/>
    <w:rsid w:val="00CD3A4C"/>
    <w:rsid w:val="00CD3A5A"/>
    <w:rsid w:val="00CD3AC3"/>
    <w:rsid w:val="00CD3DC2"/>
    <w:rsid w:val="00CD4004"/>
    <w:rsid w:val="00CD4B94"/>
    <w:rsid w:val="00CD53C9"/>
    <w:rsid w:val="00CD690B"/>
    <w:rsid w:val="00CD69B3"/>
    <w:rsid w:val="00CE0474"/>
    <w:rsid w:val="00CE04F7"/>
    <w:rsid w:val="00CE0684"/>
    <w:rsid w:val="00CE0FC3"/>
    <w:rsid w:val="00CE10E9"/>
    <w:rsid w:val="00CE1899"/>
    <w:rsid w:val="00CE190F"/>
    <w:rsid w:val="00CE1A83"/>
    <w:rsid w:val="00CE20E7"/>
    <w:rsid w:val="00CE23E8"/>
    <w:rsid w:val="00CE262F"/>
    <w:rsid w:val="00CE2910"/>
    <w:rsid w:val="00CE3367"/>
    <w:rsid w:val="00CE382B"/>
    <w:rsid w:val="00CE454F"/>
    <w:rsid w:val="00CE4948"/>
    <w:rsid w:val="00CE4AD7"/>
    <w:rsid w:val="00CE5393"/>
    <w:rsid w:val="00CE5C56"/>
    <w:rsid w:val="00CE5F73"/>
    <w:rsid w:val="00CE60A1"/>
    <w:rsid w:val="00CE6128"/>
    <w:rsid w:val="00CE67CE"/>
    <w:rsid w:val="00CE6EE3"/>
    <w:rsid w:val="00CE72EF"/>
    <w:rsid w:val="00CE76EC"/>
    <w:rsid w:val="00CE7BF2"/>
    <w:rsid w:val="00CE7CC9"/>
    <w:rsid w:val="00CF0015"/>
    <w:rsid w:val="00CF073C"/>
    <w:rsid w:val="00CF09FD"/>
    <w:rsid w:val="00CF19C8"/>
    <w:rsid w:val="00CF1ADE"/>
    <w:rsid w:val="00CF1C7E"/>
    <w:rsid w:val="00CF1CE9"/>
    <w:rsid w:val="00CF1DBA"/>
    <w:rsid w:val="00CF27A9"/>
    <w:rsid w:val="00CF287E"/>
    <w:rsid w:val="00CF2C74"/>
    <w:rsid w:val="00CF2D5A"/>
    <w:rsid w:val="00CF36BE"/>
    <w:rsid w:val="00CF37C9"/>
    <w:rsid w:val="00CF3C35"/>
    <w:rsid w:val="00CF3C5D"/>
    <w:rsid w:val="00CF493F"/>
    <w:rsid w:val="00CF4F4F"/>
    <w:rsid w:val="00CF57BD"/>
    <w:rsid w:val="00CF5B4B"/>
    <w:rsid w:val="00CF5E1A"/>
    <w:rsid w:val="00CF6000"/>
    <w:rsid w:val="00CF6A1B"/>
    <w:rsid w:val="00CF6FA7"/>
    <w:rsid w:val="00CF741F"/>
    <w:rsid w:val="00CF7A3D"/>
    <w:rsid w:val="00CF7B21"/>
    <w:rsid w:val="00D0026B"/>
    <w:rsid w:val="00D003F3"/>
    <w:rsid w:val="00D01034"/>
    <w:rsid w:val="00D0150E"/>
    <w:rsid w:val="00D017EF"/>
    <w:rsid w:val="00D01CB7"/>
    <w:rsid w:val="00D01E09"/>
    <w:rsid w:val="00D02132"/>
    <w:rsid w:val="00D023F3"/>
    <w:rsid w:val="00D033BD"/>
    <w:rsid w:val="00D0364F"/>
    <w:rsid w:val="00D036E6"/>
    <w:rsid w:val="00D03A5F"/>
    <w:rsid w:val="00D04171"/>
    <w:rsid w:val="00D042FC"/>
    <w:rsid w:val="00D04523"/>
    <w:rsid w:val="00D046B1"/>
    <w:rsid w:val="00D04DF3"/>
    <w:rsid w:val="00D05918"/>
    <w:rsid w:val="00D0595F"/>
    <w:rsid w:val="00D05FBE"/>
    <w:rsid w:val="00D0608B"/>
    <w:rsid w:val="00D0615E"/>
    <w:rsid w:val="00D06224"/>
    <w:rsid w:val="00D064AD"/>
    <w:rsid w:val="00D06834"/>
    <w:rsid w:val="00D06CED"/>
    <w:rsid w:val="00D06F8F"/>
    <w:rsid w:val="00D072B8"/>
    <w:rsid w:val="00D07C88"/>
    <w:rsid w:val="00D07D3E"/>
    <w:rsid w:val="00D10373"/>
    <w:rsid w:val="00D106E8"/>
    <w:rsid w:val="00D10AD2"/>
    <w:rsid w:val="00D10CC4"/>
    <w:rsid w:val="00D10DE5"/>
    <w:rsid w:val="00D11382"/>
    <w:rsid w:val="00D11748"/>
    <w:rsid w:val="00D11BFE"/>
    <w:rsid w:val="00D11EF9"/>
    <w:rsid w:val="00D12082"/>
    <w:rsid w:val="00D1213C"/>
    <w:rsid w:val="00D121BE"/>
    <w:rsid w:val="00D12463"/>
    <w:rsid w:val="00D124F0"/>
    <w:rsid w:val="00D12E11"/>
    <w:rsid w:val="00D1381D"/>
    <w:rsid w:val="00D13836"/>
    <w:rsid w:val="00D13CC8"/>
    <w:rsid w:val="00D1402C"/>
    <w:rsid w:val="00D140E0"/>
    <w:rsid w:val="00D1418A"/>
    <w:rsid w:val="00D14338"/>
    <w:rsid w:val="00D1448E"/>
    <w:rsid w:val="00D15A41"/>
    <w:rsid w:val="00D15FD9"/>
    <w:rsid w:val="00D15FFC"/>
    <w:rsid w:val="00D16BA7"/>
    <w:rsid w:val="00D16C67"/>
    <w:rsid w:val="00D16E15"/>
    <w:rsid w:val="00D17275"/>
    <w:rsid w:val="00D17596"/>
    <w:rsid w:val="00D17A5A"/>
    <w:rsid w:val="00D17C01"/>
    <w:rsid w:val="00D201C6"/>
    <w:rsid w:val="00D2056E"/>
    <w:rsid w:val="00D20A71"/>
    <w:rsid w:val="00D21262"/>
    <w:rsid w:val="00D21763"/>
    <w:rsid w:val="00D21A89"/>
    <w:rsid w:val="00D21C42"/>
    <w:rsid w:val="00D22035"/>
    <w:rsid w:val="00D22064"/>
    <w:rsid w:val="00D22446"/>
    <w:rsid w:val="00D234B2"/>
    <w:rsid w:val="00D23624"/>
    <w:rsid w:val="00D23CDD"/>
    <w:rsid w:val="00D244BB"/>
    <w:rsid w:val="00D244C8"/>
    <w:rsid w:val="00D24EF0"/>
    <w:rsid w:val="00D25434"/>
    <w:rsid w:val="00D25540"/>
    <w:rsid w:val="00D25A80"/>
    <w:rsid w:val="00D25AA7"/>
    <w:rsid w:val="00D26899"/>
    <w:rsid w:val="00D27224"/>
    <w:rsid w:val="00D27DB8"/>
    <w:rsid w:val="00D3048B"/>
    <w:rsid w:val="00D30730"/>
    <w:rsid w:val="00D308ED"/>
    <w:rsid w:val="00D30B1A"/>
    <w:rsid w:val="00D30F15"/>
    <w:rsid w:val="00D3101E"/>
    <w:rsid w:val="00D316A9"/>
    <w:rsid w:val="00D32273"/>
    <w:rsid w:val="00D3233E"/>
    <w:rsid w:val="00D3290A"/>
    <w:rsid w:val="00D329F9"/>
    <w:rsid w:val="00D32D81"/>
    <w:rsid w:val="00D3328F"/>
    <w:rsid w:val="00D33FB6"/>
    <w:rsid w:val="00D3453A"/>
    <w:rsid w:val="00D345D1"/>
    <w:rsid w:val="00D34614"/>
    <w:rsid w:val="00D34A25"/>
    <w:rsid w:val="00D34E6D"/>
    <w:rsid w:val="00D34FF7"/>
    <w:rsid w:val="00D3528A"/>
    <w:rsid w:val="00D35697"/>
    <w:rsid w:val="00D3581E"/>
    <w:rsid w:val="00D35919"/>
    <w:rsid w:val="00D36084"/>
    <w:rsid w:val="00D364D7"/>
    <w:rsid w:val="00D36A50"/>
    <w:rsid w:val="00D36D86"/>
    <w:rsid w:val="00D36FA9"/>
    <w:rsid w:val="00D3770D"/>
    <w:rsid w:val="00D37717"/>
    <w:rsid w:val="00D37EF5"/>
    <w:rsid w:val="00D40180"/>
    <w:rsid w:val="00D4059C"/>
    <w:rsid w:val="00D406A3"/>
    <w:rsid w:val="00D40F28"/>
    <w:rsid w:val="00D4105E"/>
    <w:rsid w:val="00D415DB"/>
    <w:rsid w:val="00D4174C"/>
    <w:rsid w:val="00D41C81"/>
    <w:rsid w:val="00D41E2D"/>
    <w:rsid w:val="00D41E45"/>
    <w:rsid w:val="00D42656"/>
    <w:rsid w:val="00D428AA"/>
    <w:rsid w:val="00D4323D"/>
    <w:rsid w:val="00D433FF"/>
    <w:rsid w:val="00D4393A"/>
    <w:rsid w:val="00D44039"/>
    <w:rsid w:val="00D44097"/>
    <w:rsid w:val="00D44B8C"/>
    <w:rsid w:val="00D45E6A"/>
    <w:rsid w:val="00D45F73"/>
    <w:rsid w:val="00D460C5"/>
    <w:rsid w:val="00D4620B"/>
    <w:rsid w:val="00D462C9"/>
    <w:rsid w:val="00D467E3"/>
    <w:rsid w:val="00D46B47"/>
    <w:rsid w:val="00D46E08"/>
    <w:rsid w:val="00D47079"/>
    <w:rsid w:val="00D47876"/>
    <w:rsid w:val="00D479C6"/>
    <w:rsid w:val="00D47BDE"/>
    <w:rsid w:val="00D47EF7"/>
    <w:rsid w:val="00D50167"/>
    <w:rsid w:val="00D50A34"/>
    <w:rsid w:val="00D50D76"/>
    <w:rsid w:val="00D51451"/>
    <w:rsid w:val="00D5163A"/>
    <w:rsid w:val="00D51C59"/>
    <w:rsid w:val="00D520A9"/>
    <w:rsid w:val="00D52AD3"/>
    <w:rsid w:val="00D52B81"/>
    <w:rsid w:val="00D5349D"/>
    <w:rsid w:val="00D53EFA"/>
    <w:rsid w:val="00D540C8"/>
    <w:rsid w:val="00D5416E"/>
    <w:rsid w:val="00D5441E"/>
    <w:rsid w:val="00D5493A"/>
    <w:rsid w:val="00D54C32"/>
    <w:rsid w:val="00D54DC3"/>
    <w:rsid w:val="00D54EF2"/>
    <w:rsid w:val="00D550E7"/>
    <w:rsid w:val="00D55132"/>
    <w:rsid w:val="00D55329"/>
    <w:rsid w:val="00D55648"/>
    <w:rsid w:val="00D55DF8"/>
    <w:rsid w:val="00D56344"/>
    <w:rsid w:val="00D565CC"/>
    <w:rsid w:val="00D56756"/>
    <w:rsid w:val="00D56ABE"/>
    <w:rsid w:val="00D57BA6"/>
    <w:rsid w:val="00D57BC3"/>
    <w:rsid w:val="00D6004F"/>
    <w:rsid w:val="00D60291"/>
    <w:rsid w:val="00D60668"/>
    <w:rsid w:val="00D608D4"/>
    <w:rsid w:val="00D612F2"/>
    <w:rsid w:val="00D61478"/>
    <w:rsid w:val="00D614D9"/>
    <w:rsid w:val="00D61543"/>
    <w:rsid w:val="00D61CB4"/>
    <w:rsid w:val="00D61E36"/>
    <w:rsid w:val="00D61F3C"/>
    <w:rsid w:val="00D622BC"/>
    <w:rsid w:val="00D625EE"/>
    <w:rsid w:val="00D6290F"/>
    <w:rsid w:val="00D63313"/>
    <w:rsid w:val="00D6446F"/>
    <w:rsid w:val="00D645EA"/>
    <w:rsid w:val="00D64CB3"/>
    <w:rsid w:val="00D656E0"/>
    <w:rsid w:val="00D65A63"/>
    <w:rsid w:val="00D66259"/>
    <w:rsid w:val="00D66368"/>
    <w:rsid w:val="00D66EF0"/>
    <w:rsid w:val="00D673EB"/>
    <w:rsid w:val="00D67551"/>
    <w:rsid w:val="00D676D5"/>
    <w:rsid w:val="00D67944"/>
    <w:rsid w:val="00D679EF"/>
    <w:rsid w:val="00D67C44"/>
    <w:rsid w:val="00D67E3E"/>
    <w:rsid w:val="00D70AB8"/>
    <w:rsid w:val="00D70C8F"/>
    <w:rsid w:val="00D70CA7"/>
    <w:rsid w:val="00D70E42"/>
    <w:rsid w:val="00D71255"/>
    <w:rsid w:val="00D71331"/>
    <w:rsid w:val="00D71B6E"/>
    <w:rsid w:val="00D71F1D"/>
    <w:rsid w:val="00D7210A"/>
    <w:rsid w:val="00D7217C"/>
    <w:rsid w:val="00D729E5"/>
    <w:rsid w:val="00D72AA3"/>
    <w:rsid w:val="00D72D38"/>
    <w:rsid w:val="00D72FB7"/>
    <w:rsid w:val="00D73540"/>
    <w:rsid w:val="00D73563"/>
    <w:rsid w:val="00D735D6"/>
    <w:rsid w:val="00D7366E"/>
    <w:rsid w:val="00D73C45"/>
    <w:rsid w:val="00D7427B"/>
    <w:rsid w:val="00D74829"/>
    <w:rsid w:val="00D74D6C"/>
    <w:rsid w:val="00D74E79"/>
    <w:rsid w:val="00D75035"/>
    <w:rsid w:val="00D751ED"/>
    <w:rsid w:val="00D754F6"/>
    <w:rsid w:val="00D75A25"/>
    <w:rsid w:val="00D75ADE"/>
    <w:rsid w:val="00D75CD7"/>
    <w:rsid w:val="00D75E9D"/>
    <w:rsid w:val="00D7626C"/>
    <w:rsid w:val="00D764BE"/>
    <w:rsid w:val="00D7670A"/>
    <w:rsid w:val="00D76C72"/>
    <w:rsid w:val="00D76FCE"/>
    <w:rsid w:val="00D770CE"/>
    <w:rsid w:val="00D77346"/>
    <w:rsid w:val="00D77EDD"/>
    <w:rsid w:val="00D800AE"/>
    <w:rsid w:val="00D8090C"/>
    <w:rsid w:val="00D80A64"/>
    <w:rsid w:val="00D80AFE"/>
    <w:rsid w:val="00D81019"/>
    <w:rsid w:val="00D81614"/>
    <w:rsid w:val="00D82510"/>
    <w:rsid w:val="00D828C1"/>
    <w:rsid w:val="00D82A37"/>
    <w:rsid w:val="00D82CE7"/>
    <w:rsid w:val="00D82D91"/>
    <w:rsid w:val="00D82FBB"/>
    <w:rsid w:val="00D8342D"/>
    <w:rsid w:val="00D83E7D"/>
    <w:rsid w:val="00D8453F"/>
    <w:rsid w:val="00D84573"/>
    <w:rsid w:val="00D845F1"/>
    <w:rsid w:val="00D84736"/>
    <w:rsid w:val="00D856F0"/>
    <w:rsid w:val="00D86D4D"/>
    <w:rsid w:val="00D86E34"/>
    <w:rsid w:val="00D870DA"/>
    <w:rsid w:val="00D87411"/>
    <w:rsid w:val="00D8760A"/>
    <w:rsid w:val="00D87DA7"/>
    <w:rsid w:val="00D901B9"/>
    <w:rsid w:val="00D90AA3"/>
    <w:rsid w:val="00D90DD7"/>
    <w:rsid w:val="00D91B99"/>
    <w:rsid w:val="00D91CAA"/>
    <w:rsid w:val="00D9218E"/>
    <w:rsid w:val="00D924F2"/>
    <w:rsid w:val="00D929EB"/>
    <w:rsid w:val="00D92E2E"/>
    <w:rsid w:val="00D933DD"/>
    <w:rsid w:val="00D93783"/>
    <w:rsid w:val="00D93AF0"/>
    <w:rsid w:val="00D93B27"/>
    <w:rsid w:val="00D9404A"/>
    <w:rsid w:val="00D948EE"/>
    <w:rsid w:val="00D94A7C"/>
    <w:rsid w:val="00D94AEC"/>
    <w:rsid w:val="00D94C64"/>
    <w:rsid w:val="00D9517A"/>
    <w:rsid w:val="00D954F9"/>
    <w:rsid w:val="00D95739"/>
    <w:rsid w:val="00D95896"/>
    <w:rsid w:val="00D9590A"/>
    <w:rsid w:val="00D95BC4"/>
    <w:rsid w:val="00D95CBE"/>
    <w:rsid w:val="00D962EE"/>
    <w:rsid w:val="00D96511"/>
    <w:rsid w:val="00D967F7"/>
    <w:rsid w:val="00D96885"/>
    <w:rsid w:val="00D96AFF"/>
    <w:rsid w:val="00D96E9B"/>
    <w:rsid w:val="00D97582"/>
    <w:rsid w:val="00D97584"/>
    <w:rsid w:val="00D97837"/>
    <w:rsid w:val="00D97EB8"/>
    <w:rsid w:val="00DA01A3"/>
    <w:rsid w:val="00DA03D2"/>
    <w:rsid w:val="00DA0447"/>
    <w:rsid w:val="00DA09A9"/>
    <w:rsid w:val="00DA0B6B"/>
    <w:rsid w:val="00DA155D"/>
    <w:rsid w:val="00DA1978"/>
    <w:rsid w:val="00DA1E0C"/>
    <w:rsid w:val="00DA219B"/>
    <w:rsid w:val="00DA2554"/>
    <w:rsid w:val="00DA2E39"/>
    <w:rsid w:val="00DA2E83"/>
    <w:rsid w:val="00DA2E9E"/>
    <w:rsid w:val="00DA390E"/>
    <w:rsid w:val="00DA431F"/>
    <w:rsid w:val="00DA4326"/>
    <w:rsid w:val="00DA43B5"/>
    <w:rsid w:val="00DA43F8"/>
    <w:rsid w:val="00DA459C"/>
    <w:rsid w:val="00DA577B"/>
    <w:rsid w:val="00DA5B61"/>
    <w:rsid w:val="00DA5FF8"/>
    <w:rsid w:val="00DA6360"/>
    <w:rsid w:val="00DA6CFD"/>
    <w:rsid w:val="00DA6D08"/>
    <w:rsid w:val="00DA6DAB"/>
    <w:rsid w:val="00DA6F4C"/>
    <w:rsid w:val="00DA7101"/>
    <w:rsid w:val="00DA728C"/>
    <w:rsid w:val="00DA73D3"/>
    <w:rsid w:val="00DA74BB"/>
    <w:rsid w:val="00DA7AD9"/>
    <w:rsid w:val="00DB0235"/>
    <w:rsid w:val="00DB037D"/>
    <w:rsid w:val="00DB0584"/>
    <w:rsid w:val="00DB06E5"/>
    <w:rsid w:val="00DB0719"/>
    <w:rsid w:val="00DB0BF5"/>
    <w:rsid w:val="00DB0C70"/>
    <w:rsid w:val="00DB0F01"/>
    <w:rsid w:val="00DB0F88"/>
    <w:rsid w:val="00DB104E"/>
    <w:rsid w:val="00DB10C4"/>
    <w:rsid w:val="00DB1762"/>
    <w:rsid w:val="00DB203C"/>
    <w:rsid w:val="00DB2983"/>
    <w:rsid w:val="00DB2ACE"/>
    <w:rsid w:val="00DB2CA5"/>
    <w:rsid w:val="00DB31E9"/>
    <w:rsid w:val="00DB4511"/>
    <w:rsid w:val="00DB45EF"/>
    <w:rsid w:val="00DB49D1"/>
    <w:rsid w:val="00DB4B93"/>
    <w:rsid w:val="00DB5271"/>
    <w:rsid w:val="00DB5D69"/>
    <w:rsid w:val="00DB619F"/>
    <w:rsid w:val="00DB679D"/>
    <w:rsid w:val="00DB6FFB"/>
    <w:rsid w:val="00DB71EB"/>
    <w:rsid w:val="00DB757D"/>
    <w:rsid w:val="00DB7701"/>
    <w:rsid w:val="00DB7B16"/>
    <w:rsid w:val="00DC0138"/>
    <w:rsid w:val="00DC01DD"/>
    <w:rsid w:val="00DC01F8"/>
    <w:rsid w:val="00DC0499"/>
    <w:rsid w:val="00DC1257"/>
    <w:rsid w:val="00DC1937"/>
    <w:rsid w:val="00DC22EC"/>
    <w:rsid w:val="00DC2973"/>
    <w:rsid w:val="00DC3369"/>
    <w:rsid w:val="00DC339C"/>
    <w:rsid w:val="00DC35EE"/>
    <w:rsid w:val="00DC371A"/>
    <w:rsid w:val="00DC3737"/>
    <w:rsid w:val="00DC3A02"/>
    <w:rsid w:val="00DC3A49"/>
    <w:rsid w:val="00DC3DC0"/>
    <w:rsid w:val="00DC4585"/>
    <w:rsid w:val="00DC4849"/>
    <w:rsid w:val="00DC5040"/>
    <w:rsid w:val="00DC5081"/>
    <w:rsid w:val="00DC5247"/>
    <w:rsid w:val="00DC535A"/>
    <w:rsid w:val="00DC5407"/>
    <w:rsid w:val="00DC5606"/>
    <w:rsid w:val="00DC5B2B"/>
    <w:rsid w:val="00DC620B"/>
    <w:rsid w:val="00DC6297"/>
    <w:rsid w:val="00DC6CA3"/>
    <w:rsid w:val="00DC6E40"/>
    <w:rsid w:val="00DC6F77"/>
    <w:rsid w:val="00DC71B8"/>
    <w:rsid w:val="00DC724F"/>
    <w:rsid w:val="00DC7E25"/>
    <w:rsid w:val="00DD0CA9"/>
    <w:rsid w:val="00DD14BC"/>
    <w:rsid w:val="00DD1ABF"/>
    <w:rsid w:val="00DD1CA5"/>
    <w:rsid w:val="00DD2422"/>
    <w:rsid w:val="00DD318D"/>
    <w:rsid w:val="00DD36E8"/>
    <w:rsid w:val="00DD372F"/>
    <w:rsid w:val="00DD38A7"/>
    <w:rsid w:val="00DD4071"/>
    <w:rsid w:val="00DD4112"/>
    <w:rsid w:val="00DD4853"/>
    <w:rsid w:val="00DD49BF"/>
    <w:rsid w:val="00DD4A88"/>
    <w:rsid w:val="00DD4FBF"/>
    <w:rsid w:val="00DD527C"/>
    <w:rsid w:val="00DD576C"/>
    <w:rsid w:val="00DD5A67"/>
    <w:rsid w:val="00DD6042"/>
    <w:rsid w:val="00DD672C"/>
    <w:rsid w:val="00DD7600"/>
    <w:rsid w:val="00DE0543"/>
    <w:rsid w:val="00DE0BDF"/>
    <w:rsid w:val="00DE0BEA"/>
    <w:rsid w:val="00DE0EEC"/>
    <w:rsid w:val="00DE1397"/>
    <w:rsid w:val="00DE1925"/>
    <w:rsid w:val="00DE23F3"/>
    <w:rsid w:val="00DE2875"/>
    <w:rsid w:val="00DE3235"/>
    <w:rsid w:val="00DE335D"/>
    <w:rsid w:val="00DE3576"/>
    <w:rsid w:val="00DE35DA"/>
    <w:rsid w:val="00DE42B7"/>
    <w:rsid w:val="00DE4451"/>
    <w:rsid w:val="00DE45E0"/>
    <w:rsid w:val="00DE46E5"/>
    <w:rsid w:val="00DE5267"/>
    <w:rsid w:val="00DE5C9E"/>
    <w:rsid w:val="00DE6EC9"/>
    <w:rsid w:val="00DE78E3"/>
    <w:rsid w:val="00DE7ACA"/>
    <w:rsid w:val="00DE7B31"/>
    <w:rsid w:val="00DE7DD2"/>
    <w:rsid w:val="00DE7E90"/>
    <w:rsid w:val="00DE7FA5"/>
    <w:rsid w:val="00DF05C6"/>
    <w:rsid w:val="00DF0A56"/>
    <w:rsid w:val="00DF0B75"/>
    <w:rsid w:val="00DF1333"/>
    <w:rsid w:val="00DF162D"/>
    <w:rsid w:val="00DF16B2"/>
    <w:rsid w:val="00DF17BD"/>
    <w:rsid w:val="00DF2480"/>
    <w:rsid w:val="00DF270D"/>
    <w:rsid w:val="00DF271F"/>
    <w:rsid w:val="00DF2B0A"/>
    <w:rsid w:val="00DF2C42"/>
    <w:rsid w:val="00DF2E12"/>
    <w:rsid w:val="00DF2E13"/>
    <w:rsid w:val="00DF2F83"/>
    <w:rsid w:val="00DF35C5"/>
    <w:rsid w:val="00DF36AE"/>
    <w:rsid w:val="00DF50D7"/>
    <w:rsid w:val="00DF50F4"/>
    <w:rsid w:val="00DF514A"/>
    <w:rsid w:val="00DF5B35"/>
    <w:rsid w:val="00DF5BF5"/>
    <w:rsid w:val="00DF6162"/>
    <w:rsid w:val="00DF6690"/>
    <w:rsid w:val="00DF66AA"/>
    <w:rsid w:val="00DF6804"/>
    <w:rsid w:val="00DF6F3D"/>
    <w:rsid w:val="00DF70C0"/>
    <w:rsid w:val="00DF7864"/>
    <w:rsid w:val="00DF78C5"/>
    <w:rsid w:val="00DF79F0"/>
    <w:rsid w:val="00DF7B27"/>
    <w:rsid w:val="00E0002C"/>
    <w:rsid w:val="00E000CB"/>
    <w:rsid w:val="00E00133"/>
    <w:rsid w:val="00E00CDD"/>
    <w:rsid w:val="00E00F4F"/>
    <w:rsid w:val="00E01014"/>
    <w:rsid w:val="00E016B5"/>
    <w:rsid w:val="00E020E4"/>
    <w:rsid w:val="00E023C2"/>
    <w:rsid w:val="00E026AB"/>
    <w:rsid w:val="00E02C34"/>
    <w:rsid w:val="00E02CE7"/>
    <w:rsid w:val="00E0358D"/>
    <w:rsid w:val="00E03C21"/>
    <w:rsid w:val="00E04323"/>
    <w:rsid w:val="00E04A5F"/>
    <w:rsid w:val="00E0556B"/>
    <w:rsid w:val="00E05CD9"/>
    <w:rsid w:val="00E05F9F"/>
    <w:rsid w:val="00E06137"/>
    <w:rsid w:val="00E06186"/>
    <w:rsid w:val="00E06631"/>
    <w:rsid w:val="00E066C5"/>
    <w:rsid w:val="00E06714"/>
    <w:rsid w:val="00E070A2"/>
    <w:rsid w:val="00E072D7"/>
    <w:rsid w:val="00E07B9F"/>
    <w:rsid w:val="00E07F73"/>
    <w:rsid w:val="00E10CEB"/>
    <w:rsid w:val="00E10E99"/>
    <w:rsid w:val="00E11BFA"/>
    <w:rsid w:val="00E12200"/>
    <w:rsid w:val="00E12536"/>
    <w:rsid w:val="00E12A10"/>
    <w:rsid w:val="00E12D81"/>
    <w:rsid w:val="00E133D3"/>
    <w:rsid w:val="00E136DC"/>
    <w:rsid w:val="00E139F5"/>
    <w:rsid w:val="00E13CDF"/>
    <w:rsid w:val="00E140AD"/>
    <w:rsid w:val="00E1483F"/>
    <w:rsid w:val="00E148DB"/>
    <w:rsid w:val="00E14EFC"/>
    <w:rsid w:val="00E1570F"/>
    <w:rsid w:val="00E15835"/>
    <w:rsid w:val="00E15E5E"/>
    <w:rsid w:val="00E174AE"/>
    <w:rsid w:val="00E17A07"/>
    <w:rsid w:val="00E17B97"/>
    <w:rsid w:val="00E17FDD"/>
    <w:rsid w:val="00E205E3"/>
    <w:rsid w:val="00E20A9D"/>
    <w:rsid w:val="00E217C4"/>
    <w:rsid w:val="00E21BAF"/>
    <w:rsid w:val="00E223CB"/>
    <w:rsid w:val="00E22517"/>
    <w:rsid w:val="00E22CEA"/>
    <w:rsid w:val="00E24343"/>
    <w:rsid w:val="00E247AF"/>
    <w:rsid w:val="00E250CB"/>
    <w:rsid w:val="00E25CFE"/>
    <w:rsid w:val="00E260F5"/>
    <w:rsid w:val="00E2656A"/>
    <w:rsid w:val="00E2683C"/>
    <w:rsid w:val="00E26E48"/>
    <w:rsid w:val="00E26ED3"/>
    <w:rsid w:val="00E26F58"/>
    <w:rsid w:val="00E26F95"/>
    <w:rsid w:val="00E27D02"/>
    <w:rsid w:val="00E27EA2"/>
    <w:rsid w:val="00E3061D"/>
    <w:rsid w:val="00E30C13"/>
    <w:rsid w:val="00E30E8E"/>
    <w:rsid w:val="00E31266"/>
    <w:rsid w:val="00E312DC"/>
    <w:rsid w:val="00E3187B"/>
    <w:rsid w:val="00E31ABB"/>
    <w:rsid w:val="00E31E9B"/>
    <w:rsid w:val="00E32A89"/>
    <w:rsid w:val="00E32ADA"/>
    <w:rsid w:val="00E32BDF"/>
    <w:rsid w:val="00E3345E"/>
    <w:rsid w:val="00E339AF"/>
    <w:rsid w:val="00E339D2"/>
    <w:rsid w:val="00E33BFA"/>
    <w:rsid w:val="00E3427F"/>
    <w:rsid w:val="00E34D59"/>
    <w:rsid w:val="00E34E0A"/>
    <w:rsid w:val="00E354A9"/>
    <w:rsid w:val="00E36100"/>
    <w:rsid w:val="00E36323"/>
    <w:rsid w:val="00E3634C"/>
    <w:rsid w:val="00E363B3"/>
    <w:rsid w:val="00E36537"/>
    <w:rsid w:val="00E369A0"/>
    <w:rsid w:val="00E37032"/>
    <w:rsid w:val="00E370D0"/>
    <w:rsid w:val="00E40888"/>
    <w:rsid w:val="00E40BB0"/>
    <w:rsid w:val="00E412D0"/>
    <w:rsid w:val="00E412D6"/>
    <w:rsid w:val="00E4137B"/>
    <w:rsid w:val="00E413EF"/>
    <w:rsid w:val="00E41A9A"/>
    <w:rsid w:val="00E41CF3"/>
    <w:rsid w:val="00E41D07"/>
    <w:rsid w:val="00E4243C"/>
    <w:rsid w:val="00E4280C"/>
    <w:rsid w:val="00E428C2"/>
    <w:rsid w:val="00E42C14"/>
    <w:rsid w:val="00E42C3C"/>
    <w:rsid w:val="00E42DA8"/>
    <w:rsid w:val="00E42E69"/>
    <w:rsid w:val="00E4310F"/>
    <w:rsid w:val="00E43D18"/>
    <w:rsid w:val="00E44382"/>
    <w:rsid w:val="00E448DB"/>
    <w:rsid w:val="00E44DE3"/>
    <w:rsid w:val="00E45478"/>
    <w:rsid w:val="00E4549A"/>
    <w:rsid w:val="00E45645"/>
    <w:rsid w:val="00E4595D"/>
    <w:rsid w:val="00E45A05"/>
    <w:rsid w:val="00E45B4D"/>
    <w:rsid w:val="00E46093"/>
    <w:rsid w:val="00E4618E"/>
    <w:rsid w:val="00E46DD6"/>
    <w:rsid w:val="00E47A07"/>
    <w:rsid w:val="00E47BC7"/>
    <w:rsid w:val="00E47CB5"/>
    <w:rsid w:val="00E47EF8"/>
    <w:rsid w:val="00E503B9"/>
    <w:rsid w:val="00E50499"/>
    <w:rsid w:val="00E50FE6"/>
    <w:rsid w:val="00E5127F"/>
    <w:rsid w:val="00E51416"/>
    <w:rsid w:val="00E5154E"/>
    <w:rsid w:val="00E51901"/>
    <w:rsid w:val="00E51D20"/>
    <w:rsid w:val="00E51DB9"/>
    <w:rsid w:val="00E51E0A"/>
    <w:rsid w:val="00E521E2"/>
    <w:rsid w:val="00E522DD"/>
    <w:rsid w:val="00E52815"/>
    <w:rsid w:val="00E53E49"/>
    <w:rsid w:val="00E5470C"/>
    <w:rsid w:val="00E547A1"/>
    <w:rsid w:val="00E548EE"/>
    <w:rsid w:val="00E54BB2"/>
    <w:rsid w:val="00E552BC"/>
    <w:rsid w:val="00E55372"/>
    <w:rsid w:val="00E555B8"/>
    <w:rsid w:val="00E559C6"/>
    <w:rsid w:val="00E55DCB"/>
    <w:rsid w:val="00E56322"/>
    <w:rsid w:val="00E56998"/>
    <w:rsid w:val="00E56F3C"/>
    <w:rsid w:val="00E575E7"/>
    <w:rsid w:val="00E57935"/>
    <w:rsid w:val="00E57B84"/>
    <w:rsid w:val="00E6035F"/>
    <w:rsid w:val="00E60982"/>
    <w:rsid w:val="00E60CE7"/>
    <w:rsid w:val="00E60FC2"/>
    <w:rsid w:val="00E6104F"/>
    <w:rsid w:val="00E61081"/>
    <w:rsid w:val="00E61A40"/>
    <w:rsid w:val="00E62000"/>
    <w:rsid w:val="00E620C4"/>
    <w:rsid w:val="00E62569"/>
    <w:rsid w:val="00E625FB"/>
    <w:rsid w:val="00E62C62"/>
    <w:rsid w:val="00E62F58"/>
    <w:rsid w:val="00E63125"/>
    <w:rsid w:val="00E633D1"/>
    <w:rsid w:val="00E6344F"/>
    <w:rsid w:val="00E63799"/>
    <w:rsid w:val="00E645BB"/>
    <w:rsid w:val="00E650A9"/>
    <w:rsid w:val="00E6536A"/>
    <w:rsid w:val="00E654C1"/>
    <w:rsid w:val="00E65500"/>
    <w:rsid w:val="00E65AE9"/>
    <w:rsid w:val="00E65D97"/>
    <w:rsid w:val="00E65F93"/>
    <w:rsid w:val="00E66098"/>
    <w:rsid w:val="00E66781"/>
    <w:rsid w:val="00E66BC9"/>
    <w:rsid w:val="00E66D12"/>
    <w:rsid w:val="00E671C6"/>
    <w:rsid w:val="00E67231"/>
    <w:rsid w:val="00E675EC"/>
    <w:rsid w:val="00E677DD"/>
    <w:rsid w:val="00E70022"/>
    <w:rsid w:val="00E700E4"/>
    <w:rsid w:val="00E701AC"/>
    <w:rsid w:val="00E70532"/>
    <w:rsid w:val="00E706F0"/>
    <w:rsid w:val="00E70EA7"/>
    <w:rsid w:val="00E71276"/>
    <w:rsid w:val="00E714F5"/>
    <w:rsid w:val="00E719A4"/>
    <w:rsid w:val="00E71E2E"/>
    <w:rsid w:val="00E71F2E"/>
    <w:rsid w:val="00E720BD"/>
    <w:rsid w:val="00E7223F"/>
    <w:rsid w:val="00E72A5A"/>
    <w:rsid w:val="00E72C4D"/>
    <w:rsid w:val="00E72D9F"/>
    <w:rsid w:val="00E72E94"/>
    <w:rsid w:val="00E73354"/>
    <w:rsid w:val="00E73381"/>
    <w:rsid w:val="00E73E10"/>
    <w:rsid w:val="00E7410E"/>
    <w:rsid w:val="00E74559"/>
    <w:rsid w:val="00E74F62"/>
    <w:rsid w:val="00E762E4"/>
    <w:rsid w:val="00E768B4"/>
    <w:rsid w:val="00E76C86"/>
    <w:rsid w:val="00E76EF3"/>
    <w:rsid w:val="00E77573"/>
    <w:rsid w:val="00E77870"/>
    <w:rsid w:val="00E8023F"/>
    <w:rsid w:val="00E80266"/>
    <w:rsid w:val="00E8080D"/>
    <w:rsid w:val="00E80D8F"/>
    <w:rsid w:val="00E81008"/>
    <w:rsid w:val="00E815E9"/>
    <w:rsid w:val="00E81F0E"/>
    <w:rsid w:val="00E82384"/>
    <w:rsid w:val="00E824CF"/>
    <w:rsid w:val="00E826BE"/>
    <w:rsid w:val="00E826D4"/>
    <w:rsid w:val="00E8280B"/>
    <w:rsid w:val="00E8379C"/>
    <w:rsid w:val="00E84BD5"/>
    <w:rsid w:val="00E85200"/>
    <w:rsid w:val="00E85393"/>
    <w:rsid w:val="00E85612"/>
    <w:rsid w:val="00E863BB"/>
    <w:rsid w:val="00E8734E"/>
    <w:rsid w:val="00E87692"/>
    <w:rsid w:val="00E87750"/>
    <w:rsid w:val="00E87FEB"/>
    <w:rsid w:val="00E90048"/>
    <w:rsid w:val="00E90246"/>
    <w:rsid w:val="00E90421"/>
    <w:rsid w:val="00E90E81"/>
    <w:rsid w:val="00E9112B"/>
    <w:rsid w:val="00E91DCA"/>
    <w:rsid w:val="00E9242D"/>
    <w:rsid w:val="00E929F5"/>
    <w:rsid w:val="00E92F79"/>
    <w:rsid w:val="00E933B4"/>
    <w:rsid w:val="00E93CEC"/>
    <w:rsid w:val="00E93F88"/>
    <w:rsid w:val="00E9463B"/>
    <w:rsid w:val="00E946A2"/>
    <w:rsid w:val="00E95178"/>
    <w:rsid w:val="00E95408"/>
    <w:rsid w:val="00E9541D"/>
    <w:rsid w:val="00E96544"/>
    <w:rsid w:val="00E972E6"/>
    <w:rsid w:val="00EA0BA7"/>
    <w:rsid w:val="00EA0D36"/>
    <w:rsid w:val="00EA0D4F"/>
    <w:rsid w:val="00EA11BE"/>
    <w:rsid w:val="00EA1939"/>
    <w:rsid w:val="00EA2C5A"/>
    <w:rsid w:val="00EA3653"/>
    <w:rsid w:val="00EA4756"/>
    <w:rsid w:val="00EA4C69"/>
    <w:rsid w:val="00EA4D4D"/>
    <w:rsid w:val="00EA5E53"/>
    <w:rsid w:val="00EA6059"/>
    <w:rsid w:val="00EA62F0"/>
    <w:rsid w:val="00EA6711"/>
    <w:rsid w:val="00EA6886"/>
    <w:rsid w:val="00EA6D89"/>
    <w:rsid w:val="00EA761C"/>
    <w:rsid w:val="00EA784E"/>
    <w:rsid w:val="00EA7CDB"/>
    <w:rsid w:val="00EA7FC7"/>
    <w:rsid w:val="00EB060C"/>
    <w:rsid w:val="00EB0C1E"/>
    <w:rsid w:val="00EB1078"/>
    <w:rsid w:val="00EB1552"/>
    <w:rsid w:val="00EB1DC6"/>
    <w:rsid w:val="00EB1E31"/>
    <w:rsid w:val="00EB1FBA"/>
    <w:rsid w:val="00EB2B43"/>
    <w:rsid w:val="00EB3A1B"/>
    <w:rsid w:val="00EB4604"/>
    <w:rsid w:val="00EB4C22"/>
    <w:rsid w:val="00EB4E9F"/>
    <w:rsid w:val="00EB512D"/>
    <w:rsid w:val="00EB5255"/>
    <w:rsid w:val="00EB5C47"/>
    <w:rsid w:val="00EB5F16"/>
    <w:rsid w:val="00EB5F4D"/>
    <w:rsid w:val="00EB60C2"/>
    <w:rsid w:val="00EB68E3"/>
    <w:rsid w:val="00EB6925"/>
    <w:rsid w:val="00EB6AF7"/>
    <w:rsid w:val="00EB6BD3"/>
    <w:rsid w:val="00EB6C28"/>
    <w:rsid w:val="00EC0876"/>
    <w:rsid w:val="00EC1CD9"/>
    <w:rsid w:val="00EC23CB"/>
    <w:rsid w:val="00EC303B"/>
    <w:rsid w:val="00EC303D"/>
    <w:rsid w:val="00EC3802"/>
    <w:rsid w:val="00EC3860"/>
    <w:rsid w:val="00EC3AD1"/>
    <w:rsid w:val="00EC3D15"/>
    <w:rsid w:val="00EC4249"/>
    <w:rsid w:val="00EC4279"/>
    <w:rsid w:val="00EC4688"/>
    <w:rsid w:val="00EC4A2A"/>
    <w:rsid w:val="00EC519C"/>
    <w:rsid w:val="00EC54D0"/>
    <w:rsid w:val="00EC562B"/>
    <w:rsid w:val="00EC5AF9"/>
    <w:rsid w:val="00EC5D5D"/>
    <w:rsid w:val="00EC6320"/>
    <w:rsid w:val="00EC63F4"/>
    <w:rsid w:val="00EC65AF"/>
    <w:rsid w:val="00EC68E0"/>
    <w:rsid w:val="00EC702B"/>
    <w:rsid w:val="00EC7608"/>
    <w:rsid w:val="00EC77E8"/>
    <w:rsid w:val="00EC7F8F"/>
    <w:rsid w:val="00EC7FE8"/>
    <w:rsid w:val="00ED0639"/>
    <w:rsid w:val="00ED06D0"/>
    <w:rsid w:val="00ED093C"/>
    <w:rsid w:val="00ED09E0"/>
    <w:rsid w:val="00ED0EE4"/>
    <w:rsid w:val="00ED1C56"/>
    <w:rsid w:val="00ED271B"/>
    <w:rsid w:val="00ED2F77"/>
    <w:rsid w:val="00ED373B"/>
    <w:rsid w:val="00ED41C2"/>
    <w:rsid w:val="00ED41F7"/>
    <w:rsid w:val="00ED4697"/>
    <w:rsid w:val="00ED4774"/>
    <w:rsid w:val="00ED4A48"/>
    <w:rsid w:val="00ED4E72"/>
    <w:rsid w:val="00ED4E75"/>
    <w:rsid w:val="00ED54F7"/>
    <w:rsid w:val="00ED5740"/>
    <w:rsid w:val="00ED6018"/>
    <w:rsid w:val="00ED62ED"/>
    <w:rsid w:val="00ED6433"/>
    <w:rsid w:val="00ED6437"/>
    <w:rsid w:val="00ED6710"/>
    <w:rsid w:val="00ED71E6"/>
    <w:rsid w:val="00ED7C7D"/>
    <w:rsid w:val="00EE02CE"/>
    <w:rsid w:val="00EE02F7"/>
    <w:rsid w:val="00EE02FE"/>
    <w:rsid w:val="00EE03CD"/>
    <w:rsid w:val="00EE1190"/>
    <w:rsid w:val="00EE1285"/>
    <w:rsid w:val="00EE1E55"/>
    <w:rsid w:val="00EE1E9B"/>
    <w:rsid w:val="00EE1F4A"/>
    <w:rsid w:val="00EE2048"/>
    <w:rsid w:val="00EE242B"/>
    <w:rsid w:val="00EE2527"/>
    <w:rsid w:val="00EE26EC"/>
    <w:rsid w:val="00EE3146"/>
    <w:rsid w:val="00EE3F65"/>
    <w:rsid w:val="00EE4132"/>
    <w:rsid w:val="00EE4274"/>
    <w:rsid w:val="00EE43AA"/>
    <w:rsid w:val="00EE4AEC"/>
    <w:rsid w:val="00EE4EDE"/>
    <w:rsid w:val="00EE53D0"/>
    <w:rsid w:val="00EE584D"/>
    <w:rsid w:val="00EE58B8"/>
    <w:rsid w:val="00EE5EB7"/>
    <w:rsid w:val="00EE6F1C"/>
    <w:rsid w:val="00EE72C3"/>
    <w:rsid w:val="00EE7E66"/>
    <w:rsid w:val="00EE7ECC"/>
    <w:rsid w:val="00EE7F70"/>
    <w:rsid w:val="00EF0052"/>
    <w:rsid w:val="00EF08D6"/>
    <w:rsid w:val="00EF0966"/>
    <w:rsid w:val="00EF09BD"/>
    <w:rsid w:val="00EF09F5"/>
    <w:rsid w:val="00EF0FDD"/>
    <w:rsid w:val="00EF1B5E"/>
    <w:rsid w:val="00EF1E72"/>
    <w:rsid w:val="00EF25B4"/>
    <w:rsid w:val="00EF25CD"/>
    <w:rsid w:val="00EF2C37"/>
    <w:rsid w:val="00EF3BA7"/>
    <w:rsid w:val="00EF3C5B"/>
    <w:rsid w:val="00EF3C8B"/>
    <w:rsid w:val="00EF3FEB"/>
    <w:rsid w:val="00EF4755"/>
    <w:rsid w:val="00EF4872"/>
    <w:rsid w:val="00EF50B5"/>
    <w:rsid w:val="00EF55FA"/>
    <w:rsid w:val="00EF5A21"/>
    <w:rsid w:val="00EF5CE5"/>
    <w:rsid w:val="00EF6806"/>
    <w:rsid w:val="00EF6B10"/>
    <w:rsid w:val="00EF6CE2"/>
    <w:rsid w:val="00EF7135"/>
    <w:rsid w:val="00EF7C2F"/>
    <w:rsid w:val="00F002C9"/>
    <w:rsid w:val="00F006C1"/>
    <w:rsid w:val="00F00941"/>
    <w:rsid w:val="00F009EC"/>
    <w:rsid w:val="00F013E9"/>
    <w:rsid w:val="00F01CC7"/>
    <w:rsid w:val="00F02277"/>
    <w:rsid w:val="00F027DB"/>
    <w:rsid w:val="00F02F67"/>
    <w:rsid w:val="00F03917"/>
    <w:rsid w:val="00F03D02"/>
    <w:rsid w:val="00F046D0"/>
    <w:rsid w:val="00F049DD"/>
    <w:rsid w:val="00F04B46"/>
    <w:rsid w:val="00F04C2F"/>
    <w:rsid w:val="00F0548F"/>
    <w:rsid w:val="00F0558D"/>
    <w:rsid w:val="00F05886"/>
    <w:rsid w:val="00F059D5"/>
    <w:rsid w:val="00F0643F"/>
    <w:rsid w:val="00F064D4"/>
    <w:rsid w:val="00F06DD1"/>
    <w:rsid w:val="00F0721B"/>
    <w:rsid w:val="00F07CA7"/>
    <w:rsid w:val="00F102D0"/>
    <w:rsid w:val="00F105C5"/>
    <w:rsid w:val="00F10EAD"/>
    <w:rsid w:val="00F10EB4"/>
    <w:rsid w:val="00F10FA0"/>
    <w:rsid w:val="00F11229"/>
    <w:rsid w:val="00F112B7"/>
    <w:rsid w:val="00F118C6"/>
    <w:rsid w:val="00F11ED9"/>
    <w:rsid w:val="00F125E1"/>
    <w:rsid w:val="00F12B99"/>
    <w:rsid w:val="00F12CB6"/>
    <w:rsid w:val="00F12EAD"/>
    <w:rsid w:val="00F1345E"/>
    <w:rsid w:val="00F13F77"/>
    <w:rsid w:val="00F1468A"/>
    <w:rsid w:val="00F1475B"/>
    <w:rsid w:val="00F147D4"/>
    <w:rsid w:val="00F14A7A"/>
    <w:rsid w:val="00F14CC1"/>
    <w:rsid w:val="00F156EB"/>
    <w:rsid w:val="00F15B4B"/>
    <w:rsid w:val="00F16254"/>
    <w:rsid w:val="00F16603"/>
    <w:rsid w:val="00F16BF1"/>
    <w:rsid w:val="00F17355"/>
    <w:rsid w:val="00F17DF1"/>
    <w:rsid w:val="00F17EEA"/>
    <w:rsid w:val="00F20053"/>
    <w:rsid w:val="00F201B9"/>
    <w:rsid w:val="00F2021F"/>
    <w:rsid w:val="00F20364"/>
    <w:rsid w:val="00F20727"/>
    <w:rsid w:val="00F20E6C"/>
    <w:rsid w:val="00F20FE7"/>
    <w:rsid w:val="00F2125E"/>
    <w:rsid w:val="00F2191B"/>
    <w:rsid w:val="00F219B4"/>
    <w:rsid w:val="00F21CFA"/>
    <w:rsid w:val="00F22388"/>
    <w:rsid w:val="00F22847"/>
    <w:rsid w:val="00F22985"/>
    <w:rsid w:val="00F23045"/>
    <w:rsid w:val="00F232B8"/>
    <w:rsid w:val="00F2370B"/>
    <w:rsid w:val="00F238C1"/>
    <w:rsid w:val="00F24318"/>
    <w:rsid w:val="00F24981"/>
    <w:rsid w:val="00F24B06"/>
    <w:rsid w:val="00F24DCC"/>
    <w:rsid w:val="00F25266"/>
    <w:rsid w:val="00F25707"/>
    <w:rsid w:val="00F259AB"/>
    <w:rsid w:val="00F25A75"/>
    <w:rsid w:val="00F264BD"/>
    <w:rsid w:val="00F26581"/>
    <w:rsid w:val="00F268E6"/>
    <w:rsid w:val="00F27357"/>
    <w:rsid w:val="00F27CBF"/>
    <w:rsid w:val="00F27D64"/>
    <w:rsid w:val="00F27DDF"/>
    <w:rsid w:val="00F301F5"/>
    <w:rsid w:val="00F30A58"/>
    <w:rsid w:val="00F312F2"/>
    <w:rsid w:val="00F32821"/>
    <w:rsid w:val="00F32A58"/>
    <w:rsid w:val="00F32F46"/>
    <w:rsid w:val="00F33013"/>
    <w:rsid w:val="00F33414"/>
    <w:rsid w:val="00F337E2"/>
    <w:rsid w:val="00F3383E"/>
    <w:rsid w:val="00F33ABB"/>
    <w:rsid w:val="00F33AD9"/>
    <w:rsid w:val="00F33B00"/>
    <w:rsid w:val="00F33D2B"/>
    <w:rsid w:val="00F34087"/>
    <w:rsid w:val="00F34264"/>
    <w:rsid w:val="00F34288"/>
    <w:rsid w:val="00F343C0"/>
    <w:rsid w:val="00F35229"/>
    <w:rsid w:val="00F35C05"/>
    <w:rsid w:val="00F35FE0"/>
    <w:rsid w:val="00F3607C"/>
    <w:rsid w:val="00F36163"/>
    <w:rsid w:val="00F36571"/>
    <w:rsid w:val="00F3685D"/>
    <w:rsid w:val="00F36A7E"/>
    <w:rsid w:val="00F36A86"/>
    <w:rsid w:val="00F36C59"/>
    <w:rsid w:val="00F36D53"/>
    <w:rsid w:val="00F36F31"/>
    <w:rsid w:val="00F370C9"/>
    <w:rsid w:val="00F370ED"/>
    <w:rsid w:val="00F3746F"/>
    <w:rsid w:val="00F37DDE"/>
    <w:rsid w:val="00F4004C"/>
    <w:rsid w:val="00F40118"/>
    <w:rsid w:val="00F40926"/>
    <w:rsid w:val="00F41054"/>
    <w:rsid w:val="00F41516"/>
    <w:rsid w:val="00F41F23"/>
    <w:rsid w:val="00F42C44"/>
    <w:rsid w:val="00F431C9"/>
    <w:rsid w:val="00F43208"/>
    <w:rsid w:val="00F432AA"/>
    <w:rsid w:val="00F4396E"/>
    <w:rsid w:val="00F440AE"/>
    <w:rsid w:val="00F442E0"/>
    <w:rsid w:val="00F44D71"/>
    <w:rsid w:val="00F45292"/>
    <w:rsid w:val="00F45BEF"/>
    <w:rsid w:val="00F45F2A"/>
    <w:rsid w:val="00F46108"/>
    <w:rsid w:val="00F465A7"/>
    <w:rsid w:val="00F467EC"/>
    <w:rsid w:val="00F469F9"/>
    <w:rsid w:val="00F47223"/>
    <w:rsid w:val="00F47686"/>
    <w:rsid w:val="00F5008F"/>
    <w:rsid w:val="00F501EA"/>
    <w:rsid w:val="00F507AC"/>
    <w:rsid w:val="00F50B7C"/>
    <w:rsid w:val="00F50D2E"/>
    <w:rsid w:val="00F50DC5"/>
    <w:rsid w:val="00F50ED1"/>
    <w:rsid w:val="00F50EF1"/>
    <w:rsid w:val="00F5149A"/>
    <w:rsid w:val="00F515FB"/>
    <w:rsid w:val="00F51A2D"/>
    <w:rsid w:val="00F5243F"/>
    <w:rsid w:val="00F528F8"/>
    <w:rsid w:val="00F52F4B"/>
    <w:rsid w:val="00F544C8"/>
    <w:rsid w:val="00F54603"/>
    <w:rsid w:val="00F54952"/>
    <w:rsid w:val="00F54AFA"/>
    <w:rsid w:val="00F550E6"/>
    <w:rsid w:val="00F550F9"/>
    <w:rsid w:val="00F55DDE"/>
    <w:rsid w:val="00F55E9C"/>
    <w:rsid w:val="00F56498"/>
    <w:rsid w:val="00F57BF9"/>
    <w:rsid w:val="00F57DB4"/>
    <w:rsid w:val="00F60506"/>
    <w:rsid w:val="00F608E8"/>
    <w:rsid w:val="00F60E6D"/>
    <w:rsid w:val="00F60E77"/>
    <w:rsid w:val="00F61478"/>
    <w:rsid w:val="00F6167B"/>
    <w:rsid w:val="00F61A71"/>
    <w:rsid w:val="00F61E5A"/>
    <w:rsid w:val="00F61F64"/>
    <w:rsid w:val="00F61FE2"/>
    <w:rsid w:val="00F621B6"/>
    <w:rsid w:val="00F6269F"/>
    <w:rsid w:val="00F62C8E"/>
    <w:rsid w:val="00F62D4C"/>
    <w:rsid w:val="00F62F2C"/>
    <w:rsid w:val="00F63019"/>
    <w:rsid w:val="00F63134"/>
    <w:rsid w:val="00F636DF"/>
    <w:rsid w:val="00F6375F"/>
    <w:rsid w:val="00F63B03"/>
    <w:rsid w:val="00F6438B"/>
    <w:rsid w:val="00F645A1"/>
    <w:rsid w:val="00F647FD"/>
    <w:rsid w:val="00F64804"/>
    <w:rsid w:val="00F65134"/>
    <w:rsid w:val="00F65504"/>
    <w:rsid w:val="00F65DF7"/>
    <w:rsid w:val="00F65E8A"/>
    <w:rsid w:val="00F66195"/>
    <w:rsid w:val="00F66782"/>
    <w:rsid w:val="00F66A4A"/>
    <w:rsid w:val="00F66D0B"/>
    <w:rsid w:val="00F66D79"/>
    <w:rsid w:val="00F670C0"/>
    <w:rsid w:val="00F67177"/>
    <w:rsid w:val="00F67D71"/>
    <w:rsid w:val="00F67E42"/>
    <w:rsid w:val="00F701B1"/>
    <w:rsid w:val="00F715C7"/>
    <w:rsid w:val="00F71C91"/>
    <w:rsid w:val="00F71CC0"/>
    <w:rsid w:val="00F7241A"/>
    <w:rsid w:val="00F7273D"/>
    <w:rsid w:val="00F72CDB"/>
    <w:rsid w:val="00F72E67"/>
    <w:rsid w:val="00F73144"/>
    <w:rsid w:val="00F73756"/>
    <w:rsid w:val="00F74345"/>
    <w:rsid w:val="00F746B8"/>
    <w:rsid w:val="00F7495E"/>
    <w:rsid w:val="00F74B7C"/>
    <w:rsid w:val="00F758A1"/>
    <w:rsid w:val="00F75F04"/>
    <w:rsid w:val="00F7614D"/>
    <w:rsid w:val="00F76902"/>
    <w:rsid w:val="00F770AC"/>
    <w:rsid w:val="00F772A9"/>
    <w:rsid w:val="00F7744F"/>
    <w:rsid w:val="00F7758F"/>
    <w:rsid w:val="00F776A7"/>
    <w:rsid w:val="00F77838"/>
    <w:rsid w:val="00F80643"/>
    <w:rsid w:val="00F80A0A"/>
    <w:rsid w:val="00F80EBE"/>
    <w:rsid w:val="00F811FD"/>
    <w:rsid w:val="00F8125D"/>
    <w:rsid w:val="00F816B7"/>
    <w:rsid w:val="00F81753"/>
    <w:rsid w:val="00F81947"/>
    <w:rsid w:val="00F81CAD"/>
    <w:rsid w:val="00F81D72"/>
    <w:rsid w:val="00F82743"/>
    <w:rsid w:val="00F82AE3"/>
    <w:rsid w:val="00F82B19"/>
    <w:rsid w:val="00F82E24"/>
    <w:rsid w:val="00F82E27"/>
    <w:rsid w:val="00F8350A"/>
    <w:rsid w:val="00F8356B"/>
    <w:rsid w:val="00F8362A"/>
    <w:rsid w:val="00F8374C"/>
    <w:rsid w:val="00F83AD3"/>
    <w:rsid w:val="00F83B9D"/>
    <w:rsid w:val="00F84D80"/>
    <w:rsid w:val="00F84FBE"/>
    <w:rsid w:val="00F85651"/>
    <w:rsid w:val="00F85DA9"/>
    <w:rsid w:val="00F86001"/>
    <w:rsid w:val="00F860C4"/>
    <w:rsid w:val="00F8628D"/>
    <w:rsid w:val="00F865BD"/>
    <w:rsid w:val="00F866B2"/>
    <w:rsid w:val="00F871CF"/>
    <w:rsid w:val="00F87607"/>
    <w:rsid w:val="00F876DD"/>
    <w:rsid w:val="00F879E0"/>
    <w:rsid w:val="00F87A9F"/>
    <w:rsid w:val="00F87D71"/>
    <w:rsid w:val="00F904CF"/>
    <w:rsid w:val="00F90ACA"/>
    <w:rsid w:val="00F90ACF"/>
    <w:rsid w:val="00F910E0"/>
    <w:rsid w:val="00F9130F"/>
    <w:rsid w:val="00F91719"/>
    <w:rsid w:val="00F9212D"/>
    <w:rsid w:val="00F931AC"/>
    <w:rsid w:val="00F93355"/>
    <w:rsid w:val="00F93B0B"/>
    <w:rsid w:val="00F94748"/>
    <w:rsid w:val="00F948F7"/>
    <w:rsid w:val="00F94B06"/>
    <w:rsid w:val="00F957E5"/>
    <w:rsid w:val="00F95ADF"/>
    <w:rsid w:val="00F95BB9"/>
    <w:rsid w:val="00F96468"/>
    <w:rsid w:val="00F965DA"/>
    <w:rsid w:val="00F966F4"/>
    <w:rsid w:val="00F96926"/>
    <w:rsid w:val="00F96C02"/>
    <w:rsid w:val="00F96CF1"/>
    <w:rsid w:val="00F96F1F"/>
    <w:rsid w:val="00F971C1"/>
    <w:rsid w:val="00F973E5"/>
    <w:rsid w:val="00F973F3"/>
    <w:rsid w:val="00F976DC"/>
    <w:rsid w:val="00F97A5C"/>
    <w:rsid w:val="00F97E39"/>
    <w:rsid w:val="00F97F27"/>
    <w:rsid w:val="00FA095E"/>
    <w:rsid w:val="00FA15DA"/>
    <w:rsid w:val="00FA19EB"/>
    <w:rsid w:val="00FA1AA5"/>
    <w:rsid w:val="00FA1F59"/>
    <w:rsid w:val="00FA2BFB"/>
    <w:rsid w:val="00FA2D52"/>
    <w:rsid w:val="00FA2DD4"/>
    <w:rsid w:val="00FA3267"/>
    <w:rsid w:val="00FA32D0"/>
    <w:rsid w:val="00FA33B9"/>
    <w:rsid w:val="00FA387E"/>
    <w:rsid w:val="00FA406A"/>
    <w:rsid w:val="00FA429A"/>
    <w:rsid w:val="00FA42A1"/>
    <w:rsid w:val="00FA49A6"/>
    <w:rsid w:val="00FA4CA6"/>
    <w:rsid w:val="00FA4E4D"/>
    <w:rsid w:val="00FA4F72"/>
    <w:rsid w:val="00FA510C"/>
    <w:rsid w:val="00FA53EA"/>
    <w:rsid w:val="00FA55A1"/>
    <w:rsid w:val="00FA57A6"/>
    <w:rsid w:val="00FA57B7"/>
    <w:rsid w:val="00FA5F06"/>
    <w:rsid w:val="00FA60D1"/>
    <w:rsid w:val="00FA6451"/>
    <w:rsid w:val="00FA686B"/>
    <w:rsid w:val="00FA7ABA"/>
    <w:rsid w:val="00FB00D2"/>
    <w:rsid w:val="00FB0ECA"/>
    <w:rsid w:val="00FB108B"/>
    <w:rsid w:val="00FB184F"/>
    <w:rsid w:val="00FB1973"/>
    <w:rsid w:val="00FB19F8"/>
    <w:rsid w:val="00FB20CD"/>
    <w:rsid w:val="00FB25E3"/>
    <w:rsid w:val="00FB2A71"/>
    <w:rsid w:val="00FB3216"/>
    <w:rsid w:val="00FB34F6"/>
    <w:rsid w:val="00FB3F15"/>
    <w:rsid w:val="00FB3F3E"/>
    <w:rsid w:val="00FB461C"/>
    <w:rsid w:val="00FB4BAF"/>
    <w:rsid w:val="00FB503A"/>
    <w:rsid w:val="00FB516C"/>
    <w:rsid w:val="00FB5404"/>
    <w:rsid w:val="00FB6523"/>
    <w:rsid w:val="00FB7040"/>
    <w:rsid w:val="00FB7083"/>
    <w:rsid w:val="00FB7235"/>
    <w:rsid w:val="00FB724F"/>
    <w:rsid w:val="00FB78FC"/>
    <w:rsid w:val="00FC031B"/>
    <w:rsid w:val="00FC041B"/>
    <w:rsid w:val="00FC04D1"/>
    <w:rsid w:val="00FC0739"/>
    <w:rsid w:val="00FC0A60"/>
    <w:rsid w:val="00FC0BF1"/>
    <w:rsid w:val="00FC1759"/>
    <w:rsid w:val="00FC2992"/>
    <w:rsid w:val="00FC2C2D"/>
    <w:rsid w:val="00FC2E27"/>
    <w:rsid w:val="00FC3A4A"/>
    <w:rsid w:val="00FC4106"/>
    <w:rsid w:val="00FC41DB"/>
    <w:rsid w:val="00FC45A6"/>
    <w:rsid w:val="00FC4774"/>
    <w:rsid w:val="00FC48DD"/>
    <w:rsid w:val="00FC4AB5"/>
    <w:rsid w:val="00FC4E76"/>
    <w:rsid w:val="00FC51B1"/>
    <w:rsid w:val="00FC523C"/>
    <w:rsid w:val="00FC53C2"/>
    <w:rsid w:val="00FC57A6"/>
    <w:rsid w:val="00FC7295"/>
    <w:rsid w:val="00FC73AC"/>
    <w:rsid w:val="00FC7801"/>
    <w:rsid w:val="00FC7AC0"/>
    <w:rsid w:val="00FC7C4C"/>
    <w:rsid w:val="00FD0001"/>
    <w:rsid w:val="00FD0236"/>
    <w:rsid w:val="00FD0355"/>
    <w:rsid w:val="00FD035C"/>
    <w:rsid w:val="00FD05C8"/>
    <w:rsid w:val="00FD0673"/>
    <w:rsid w:val="00FD0781"/>
    <w:rsid w:val="00FD13DF"/>
    <w:rsid w:val="00FD17E0"/>
    <w:rsid w:val="00FD18AF"/>
    <w:rsid w:val="00FD18F4"/>
    <w:rsid w:val="00FD197D"/>
    <w:rsid w:val="00FD1C7F"/>
    <w:rsid w:val="00FD1F58"/>
    <w:rsid w:val="00FD1FA3"/>
    <w:rsid w:val="00FD2164"/>
    <w:rsid w:val="00FD2238"/>
    <w:rsid w:val="00FD24D8"/>
    <w:rsid w:val="00FD2710"/>
    <w:rsid w:val="00FD2866"/>
    <w:rsid w:val="00FD2976"/>
    <w:rsid w:val="00FD2A5C"/>
    <w:rsid w:val="00FD2B24"/>
    <w:rsid w:val="00FD2BBF"/>
    <w:rsid w:val="00FD2CA2"/>
    <w:rsid w:val="00FD2CCF"/>
    <w:rsid w:val="00FD35E2"/>
    <w:rsid w:val="00FD375F"/>
    <w:rsid w:val="00FD3D91"/>
    <w:rsid w:val="00FD3F4F"/>
    <w:rsid w:val="00FD4347"/>
    <w:rsid w:val="00FD5490"/>
    <w:rsid w:val="00FD54DB"/>
    <w:rsid w:val="00FD55FF"/>
    <w:rsid w:val="00FD5746"/>
    <w:rsid w:val="00FD5C30"/>
    <w:rsid w:val="00FD619F"/>
    <w:rsid w:val="00FD61A7"/>
    <w:rsid w:val="00FD68BD"/>
    <w:rsid w:val="00FD69A7"/>
    <w:rsid w:val="00FD71A2"/>
    <w:rsid w:val="00FD7487"/>
    <w:rsid w:val="00FD761F"/>
    <w:rsid w:val="00FD78BF"/>
    <w:rsid w:val="00FD79AF"/>
    <w:rsid w:val="00FD7B79"/>
    <w:rsid w:val="00FD7D2F"/>
    <w:rsid w:val="00FD7D76"/>
    <w:rsid w:val="00FD7E97"/>
    <w:rsid w:val="00FE03EF"/>
    <w:rsid w:val="00FE047C"/>
    <w:rsid w:val="00FE052D"/>
    <w:rsid w:val="00FE0BB2"/>
    <w:rsid w:val="00FE0D8A"/>
    <w:rsid w:val="00FE0F6D"/>
    <w:rsid w:val="00FE0FDC"/>
    <w:rsid w:val="00FE194C"/>
    <w:rsid w:val="00FE1CAC"/>
    <w:rsid w:val="00FE2285"/>
    <w:rsid w:val="00FE25A7"/>
    <w:rsid w:val="00FE2D09"/>
    <w:rsid w:val="00FE2EC9"/>
    <w:rsid w:val="00FE2ECC"/>
    <w:rsid w:val="00FE3010"/>
    <w:rsid w:val="00FE43BB"/>
    <w:rsid w:val="00FE4B73"/>
    <w:rsid w:val="00FE4F85"/>
    <w:rsid w:val="00FE5EEB"/>
    <w:rsid w:val="00FE602B"/>
    <w:rsid w:val="00FE6280"/>
    <w:rsid w:val="00FE6E8D"/>
    <w:rsid w:val="00FE78C6"/>
    <w:rsid w:val="00FF07A1"/>
    <w:rsid w:val="00FF0E27"/>
    <w:rsid w:val="00FF0E91"/>
    <w:rsid w:val="00FF0F2B"/>
    <w:rsid w:val="00FF17B3"/>
    <w:rsid w:val="00FF1BF9"/>
    <w:rsid w:val="00FF2C46"/>
    <w:rsid w:val="00FF2EB0"/>
    <w:rsid w:val="00FF3253"/>
    <w:rsid w:val="00FF3392"/>
    <w:rsid w:val="00FF3448"/>
    <w:rsid w:val="00FF354C"/>
    <w:rsid w:val="00FF37B0"/>
    <w:rsid w:val="00FF4225"/>
    <w:rsid w:val="00FF484E"/>
    <w:rsid w:val="00FF489E"/>
    <w:rsid w:val="00FF48AD"/>
    <w:rsid w:val="00FF4C6B"/>
    <w:rsid w:val="00FF6495"/>
    <w:rsid w:val="00FF6CCE"/>
    <w:rsid w:val="00FF6F60"/>
    <w:rsid w:val="00FF70AB"/>
    <w:rsid w:val="00FF7E81"/>
    <w:rsid w:val="01290F7E"/>
    <w:rsid w:val="013839A0"/>
    <w:rsid w:val="015D1E09"/>
    <w:rsid w:val="02274EC8"/>
    <w:rsid w:val="023E7660"/>
    <w:rsid w:val="02532988"/>
    <w:rsid w:val="02697903"/>
    <w:rsid w:val="02F96569"/>
    <w:rsid w:val="03EA7B21"/>
    <w:rsid w:val="0475505E"/>
    <w:rsid w:val="05A20E1D"/>
    <w:rsid w:val="05AE0EA7"/>
    <w:rsid w:val="05F83EAE"/>
    <w:rsid w:val="063E7D85"/>
    <w:rsid w:val="06C453DB"/>
    <w:rsid w:val="070F6F89"/>
    <w:rsid w:val="07293586"/>
    <w:rsid w:val="07295285"/>
    <w:rsid w:val="07636392"/>
    <w:rsid w:val="07770C56"/>
    <w:rsid w:val="092217DD"/>
    <w:rsid w:val="093A7294"/>
    <w:rsid w:val="09520B10"/>
    <w:rsid w:val="09957C8D"/>
    <w:rsid w:val="0A263993"/>
    <w:rsid w:val="0A2D3AC2"/>
    <w:rsid w:val="0A734477"/>
    <w:rsid w:val="0AA755DF"/>
    <w:rsid w:val="0B120D44"/>
    <w:rsid w:val="0B6B22C9"/>
    <w:rsid w:val="0B890740"/>
    <w:rsid w:val="0BD27BF6"/>
    <w:rsid w:val="0BF1199A"/>
    <w:rsid w:val="0C000C64"/>
    <w:rsid w:val="0C3B3C7D"/>
    <w:rsid w:val="0C3F7A6E"/>
    <w:rsid w:val="0CAB2EAE"/>
    <w:rsid w:val="0D621C7D"/>
    <w:rsid w:val="0DE75875"/>
    <w:rsid w:val="0E1F1335"/>
    <w:rsid w:val="0E394548"/>
    <w:rsid w:val="0E73034D"/>
    <w:rsid w:val="0E926AEA"/>
    <w:rsid w:val="0ED12D2B"/>
    <w:rsid w:val="0F13775A"/>
    <w:rsid w:val="0F5F45FE"/>
    <w:rsid w:val="0F9A112B"/>
    <w:rsid w:val="106D2F64"/>
    <w:rsid w:val="10B63710"/>
    <w:rsid w:val="10F10820"/>
    <w:rsid w:val="111C2F7A"/>
    <w:rsid w:val="11665CA1"/>
    <w:rsid w:val="124B69B1"/>
    <w:rsid w:val="13653AA2"/>
    <w:rsid w:val="13951726"/>
    <w:rsid w:val="14396509"/>
    <w:rsid w:val="14DD2C3C"/>
    <w:rsid w:val="151C29BA"/>
    <w:rsid w:val="15771544"/>
    <w:rsid w:val="15EC4E58"/>
    <w:rsid w:val="16087E1D"/>
    <w:rsid w:val="17424B40"/>
    <w:rsid w:val="17701D14"/>
    <w:rsid w:val="17735226"/>
    <w:rsid w:val="184A3778"/>
    <w:rsid w:val="18906C7B"/>
    <w:rsid w:val="189F624C"/>
    <w:rsid w:val="19753BF8"/>
    <w:rsid w:val="1A1C66C0"/>
    <w:rsid w:val="1A42393B"/>
    <w:rsid w:val="1AAD45DE"/>
    <w:rsid w:val="1AFC3FF5"/>
    <w:rsid w:val="1B046F80"/>
    <w:rsid w:val="1B3267B5"/>
    <w:rsid w:val="1B40161D"/>
    <w:rsid w:val="1B441859"/>
    <w:rsid w:val="1B6606B1"/>
    <w:rsid w:val="1C5E7925"/>
    <w:rsid w:val="1CFD070F"/>
    <w:rsid w:val="1D5F6196"/>
    <w:rsid w:val="1D6132A5"/>
    <w:rsid w:val="1D721295"/>
    <w:rsid w:val="1D8E56D5"/>
    <w:rsid w:val="1DB344BD"/>
    <w:rsid w:val="1DF67AEA"/>
    <w:rsid w:val="1E7A43DA"/>
    <w:rsid w:val="1E7E2FDB"/>
    <w:rsid w:val="1EDC730E"/>
    <w:rsid w:val="1FE7539E"/>
    <w:rsid w:val="20671BE0"/>
    <w:rsid w:val="20963CB8"/>
    <w:rsid w:val="20A81A1B"/>
    <w:rsid w:val="20B07FB6"/>
    <w:rsid w:val="20B646FB"/>
    <w:rsid w:val="20E401C3"/>
    <w:rsid w:val="213B74B1"/>
    <w:rsid w:val="215A2310"/>
    <w:rsid w:val="216A3D90"/>
    <w:rsid w:val="21BD5EC9"/>
    <w:rsid w:val="21DE318A"/>
    <w:rsid w:val="21EF5B80"/>
    <w:rsid w:val="22354357"/>
    <w:rsid w:val="22576990"/>
    <w:rsid w:val="22F47480"/>
    <w:rsid w:val="22FA1EAB"/>
    <w:rsid w:val="23BF1172"/>
    <w:rsid w:val="23DE1C48"/>
    <w:rsid w:val="240210CD"/>
    <w:rsid w:val="248B056E"/>
    <w:rsid w:val="24BF09F7"/>
    <w:rsid w:val="24ED38F7"/>
    <w:rsid w:val="252D53FE"/>
    <w:rsid w:val="253543DF"/>
    <w:rsid w:val="253F3022"/>
    <w:rsid w:val="255120D8"/>
    <w:rsid w:val="25EC2D81"/>
    <w:rsid w:val="262A68B7"/>
    <w:rsid w:val="26C90FCD"/>
    <w:rsid w:val="270A7393"/>
    <w:rsid w:val="277057A2"/>
    <w:rsid w:val="28C66596"/>
    <w:rsid w:val="29206EB8"/>
    <w:rsid w:val="29595666"/>
    <w:rsid w:val="29874881"/>
    <w:rsid w:val="29C15657"/>
    <w:rsid w:val="29E325E0"/>
    <w:rsid w:val="2A3A75DF"/>
    <w:rsid w:val="2A452503"/>
    <w:rsid w:val="2A6868B8"/>
    <w:rsid w:val="2B472321"/>
    <w:rsid w:val="2BA936A8"/>
    <w:rsid w:val="2BB32384"/>
    <w:rsid w:val="2BB66FC6"/>
    <w:rsid w:val="2C315A5A"/>
    <w:rsid w:val="2C4B1C25"/>
    <w:rsid w:val="2C592A9F"/>
    <w:rsid w:val="2CD43553"/>
    <w:rsid w:val="2D14107A"/>
    <w:rsid w:val="2D9E56F5"/>
    <w:rsid w:val="2DA32220"/>
    <w:rsid w:val="2DA639C2"/>
    <w:rsid w:val="2E667F96"/>
    <w:rsid w:val="2E8226AB"/>
    <w:rsid w:val="2ED764C5"/>
    <w:rsid w:val="2F92709C"/>
    <w:rsid w:val="2FD065E6"/>
    <w:rsid w:val="2FD96870"/>
    <w:rsid w:val="2FFD3E72"/>
    <w:rsid w:val="302A5A00"/>
    <w:rsid w:val="30580BC9"/>
    <w:rsid w:val="311E2ED7"/>
    <w:rsid w:val="315619EE"/>
    <w:rsid w:val="315C449C"/>
    <w:rsid w:val="31B82709"/>
    <w:rsid w:val="31D05482"/>
    <w:rsid w:val="31F84007"/>
    <w:rsid w:val="322B2389"/>
    <w:rsid w:val="32400B34"/>
    <w:rsid w:val="326C4A6E"/>
    <w:rsid w:val="327746CB"/>
    <w:rsid w:val="329E6876"/>
    <w:rsid w:val="32A32BBF"/>
    <w:rsid w:val="333015F2"/>
    <w:rsid w:val="334B6320"/>
    <w:rsid w:val="3353369B"/>
    <w:rsid w:val="33752ADF"/>
    <w:rsid w:val="33885336"/>
    <w:rsid w:val="33D934D4"/>
    <w:rsid w:val="33EF2135"/>
    <w:rsid w:val="33FE2F6A"/>
    <w:rsid w:val="340E07E5"/>
    <w:rsid w:val="34235BF7"/>
    <w:rsid w:val="34F137E7"/>
    <w:rsid w:val="358C5FA8"/>
    <w:rsid w:val="35C15DF1"/>
    <w:rsid w:val="36074A7F"/>
    <w:rsid w:val="36786596"/>
    <w:rsid w:val="36923549"/>
    <w:rsid w:val="36B75FBF"/>
    <w:rsid w:val="36BD0C45"/>
    <w:rsid w:val="36F30A33"/>
    <w:rsid w:val="377E6767"/>
    <w:rsid w:val="37E00298"/>
    <w:rsid w:val="38B302F9"/>
    <w:rsid w:val="38C35A2C"/>
    <w:rsid w:val="38F12CD3"/>
    <w:rsid w:val="38F94775"/>
    <w:rsid w:val="392971ED"/>
    <w:rsid w:val="39325651"/>
    <w:rsid w:val="393A31E4"/>
    <w:rsid w:val="39D53409"/>
    <w:rsid w:val="39D57452"/>
    <w:rsid w:val="3A0B7122"/>
    <w:rsid w:val="3A872856"/>
    <w:rsid w:val="3B131EB2"/>
    <w:rsid w:val="3B3763D1"/>
    <w:rsid w:val="3C2A18CE"/>
    <w:rsid w:val="3C2F6E1E"/>
    <w:rsid w:val="3C3B0A87"/>
    <w:rsid w:val="3C4F64BA"/>
    <w:rsid w:val="3C574901"/>
    <w:rsid w:val="3CA96374"/>
    <w:rsid w:val="3CB171D4"/>
    <w:rsid w:val="3CCB32E1"/>
    <w:rsid w:val="3CDA245A"/>
    <w:rsid w:val="3D1E06B7"/>
    <w:rsid w:val="3D7529B0"/>
    <w:rsid w:val="3EDA0523"/>
    <w:rsid w:val="407A6407"/>
    <w:rsid w:val="40B41F1C"/>
    <w:rsid w:val="40E907ED"/>
    <w:rsid w:val="412A3D52"/>
    <w:rsid w:val="4200449D"/>
    <w:rsid w:val="423A3BCC"/>
    <w:rsid w:val="424E57D2"/>
    <w:rsid w:val="42AD6A50"/>
    <w:rsid w:val="42B26C49"/>
    <w:rsid w:val="433A6FE6"/>
    <w:rsid w:val="43480868"/>
    <w:rsid w:val="434D4595"/>
    <w:rsid w:val="4350713C"/>
    <w:rsid w:val="43583959"/>
    <w:rsid w:val="436653E0"/>
    <w:rsid w:val="4387343D"/>
    <w:rsid w:val="43C4431A"/>
    <w:rsid w:val="444C286E"/>
    <w:rsid w:val="44B951CC"/>
    <w:rsid w:val="44CD14E0"/>
    <w:rsid w:val="44F20B0B"/>
    <w:rsid w:val="452E5F4C"/>
    <w:rsid w:val="45612018"/>
    <w:rsid w:val="458946E9"/>
    <w:rsid w:val="45A47C0E"/>
    <w:rsid w:val="45F90B2B"/>
    <w:rsid w:val="46577FD6"/>
    <w:rsid w:val="46B74E5E"/>
    <w:rsid w:val="46D955A7"/>
    <w:rsid w:val="46EA6905"/>
    <w:rsid w:val="47133957"/>
    <w:rsid w:val="471B2089"/>
    <w:rsid w:val="474A2637"/>
    <w:rsid w:val="478D0277"/>
    <w:rsid w:val="47A07E0C"/>
    <w:rsid w:val="47D20DAD"/>
    <w:rsid w:val="4800053F"/>
    <w:rsid w:val="4870272E"/>
    <w:rsid w:val="48B53C3E"/>
    <w:rsid w:val="48D47A82"/>
    <w:rsid w:val="49DC7715"/>
    <w:rsid w:val="4A023139"/>
    <w:rsid w:val="4A7B576F"/>
    <w:rsid w:val="4AD17ED9"/>
    <w:rsid w:val="4AF561A9"/>
    <w:rsid w:val="4B4734B2"/>
    <w:rsid w:val="4BA6306E"/>
    <w:rsid w:val="4BFA2651"/>
    <w:rsid w:val="4C4A0649"/>
    <w:rsid w:val="4C7E5ECA"/>
    <w:rsid w:val="4C876AA5"/>
    <w:rsid w:val="4CFE4859"/>
    <w:rsid w:val="4D0E00FB"/>
    <w:rsid w:val="4D176606"/>
    <w:rsid w:val="4D6367F7"/>
    <w:rsid w:val="4DD26FF8"/>
    <w:rsid w:val="4DEC4FB0"/>
    <w:rsid w:val="4E075D8A"/>
    <w:rsid w:val="4E1869BE"/>
    <w:rsid w:val="4E465CA3"/>
    <w:rsid w:val="4EC00FAD"/>
    <w:rsid w:val="4F1801C5"/>
    <w:rsid w:val="4F9843DC"/>
    <w:rsid w:val="4FC62A8C"/>
    <w:rsid w:val="4FE20F0D"/>
    <w:rsid w:val="4FE51552"/>
    <w:rsid w:val="50504C4B"/>
    <w:rsid w:val="50655961"/>
    <w:rsid w:val="509C6E7C"/>
    <w:rsid w:val="513B7AE0"/>
    <w:rsid w:val="5162104E"/>
    <w:rsid w:val="51E07692"/>
    <w:rsid w:val="529325A3"/>
    <w:rsid w:val="53A039CC"/>
    <w:rsid w:val="53A1505A"/>
    <w:rsid w:val="54063E08"/>
    <w:rsid w:val="540962D4"/>
    <w:rsid w:val="543437E8"/>
    <w:rsid w:val="54EE090D"/>
    <w:rsid w:val="54F73313"/>
    <w:rsid w:val="54F80955"/>
    <w:rsid w:val="555170A7"/>
    <w:rsid w:val="5552519B"/>
    <w:rsid w:val="5587536D"/>
    <w:rsid w:val="559B174B"/>
    <w:rsid w:val="55CE0CF4"/>
    <w:rsid w:val="55FA1FB5"/>
    <w:rsid w:val="56B22A9C"/>
    <w:rsid w:val="56CD114D"/>
    <w:rsid w:val="57B72A76"/>
    <w:rsid w:val="57BA4FE7"/>
    <w:rsid w:val="57BF5577"/>
    <w:rsid w:val="57C3426C"/>
    <w:rsid w:val="57C422AF"/>
    <w:rsid w:val="57CE1F93"/>
    <w:rsid w:val="57F11AED"/>
    <w:rsid w:val="57FB9EFB"/>
    <w:rsid w:val="58105225"/>
    <w:rsid w:val="588743D1"/>
    <w:rsid w:val="5887701A"/>
    <w:rsid w:val="58D87217"/>
    <w:rsid w:val="594B46E7"/>
    <w:rsid w:val="597A5343"/>
    <w:rsid w:val="59C0439F"/>
    <w:rsid w:val="5ABE2233"/>
    <w:rsid w:val="5AE15D22"/>
    <w:rsid w:val="5B1E08A3"/>
    <w:rsid w:val="5B63283D"/>
    <w:rsid w:val="5BDF14F7"/>
    <w:rsid w:val="5BDF5D95"/>
    <w:rsid w:val="5BFE7528"/>
    <w:rsid w:val="5C732441"/>
    <w:rsid w:val="5CF170F5"/>
    <w:rsid w:val="5D0A66F1"/>
    <w:rsid w:val="5DE575FB"/>
    <w:rsid w:val="5E1F2BF0"/>
    <w:rsid w:val="5E2467F1"/>
    <w:rsid w:val="5F1A2B43"/>
    <w:rsid w:val="5F622294"/>
    <w:rsid w:val="5FB837BB"/>
    <w:rsid w:val="5FBF25BC"/>
    <w:rsid w:val="603F5B01"/>
    <w:rsid w:val="603F6BBF"/>
    <w:rsid w:val="60CC405A"/>
    <w:rsid w:val="60E402A1"/>
    <w:rsid w:val="612A14CB"/>
    <w:rsid w:val="61E215D8"/>
    <w:rsid w:val="621B3775"/>
    <w:rsid w:val="62345DBF"/>
    <w:rsid w:val="62364782"/>
    <w:rsid w:val="62722D9B"/>
    <w:rsid w:val="62AD2BB2"/>
    <w:rsid w:val="6394356A"/>
    <w:rsid w:val="63C61B2C"/>
    <w:rsid w:val="63D40BE9"/>
    <w:rsid w:val="64102431"/>
    <w:rsid w:val="646B3EBF"/>
    <w:rsid w:val="64A5243A"/>
    <w:rsid w:val="64F531DE"/>
    <w:rsid w:val="65373578"/>
    <w:rsid w:val="671F124A"/>
    <w:rsid w:val="677A33C6"/>
    <w:rsid w:val="67A90D50"/>
    <w:rsid w:val="681F6961"/>
    <w:rsid w:val="6835482E"/>
    <w:rsid w:val="68610A2F"/>
    <w:rsid w:val="68805514"/>
    <w:rsid w:val="68AB7B1C"/>
    <w:rsid w:val="69316E2F"/>
    <w:rsid w:val="694E2071"/>
    <w:rsid w:val="69766163"/>
    <w:rsid w:val="697A3B33"/>
    <w:rsid w:val="69D44760"/>
    <w:rsid w:val="6A520EC7"/>
    <w:rsid w:val="6AF87E20"/>
    <w:rsid w:val="6B322639"/>
    <w:rsid w:val="6C636C38"/>
    <w:rsid w:val="6D6B6423"/>
    <w:rsid w:val="6DB34098"/>
    <w:rsid w:val="6DB545B6"/>
    <w:rsid w:val="6DE02FB4"/>
    <w:rsid w:val="6E514CED"/>
    <w:rsid w:val="6EB563D5"/>
    <w:rsid w:val="6ED92677"/>
    <w:rsid w:val="6F225983"/>
    <w:rsid w:val="6F914B78"/>
    <w:rsid w:val="6FFC5590"/>
    <w:rsid w:val="706D1DD0"/>
    <w:rsid w:val="70856B87"/>
    <w:rsid w:val="70B53A42"/>
    <w:rsid w:val="70D527EE"/>
    <w:rsid w:val="7150636D"/>
    <w:rsid w:val="715B5300"/>
    <w:rsid w:val="71D27F8A"/>
    <w:rsid w:val="72053B49"/>
    <w:rsid w:val="72553024"/>
    <w:rsid w:val="72ED0AB6"/>
    <w:rsid w:val="73122968"/>
    <w:rsid w:val="731F5D5E"/>
    <w:rsid w:val="73211D53"/>
    <w:rsid w:val="7330291D"/>
    <w:rsid w:val="735D008F"/>
    <w:rsid w:val="73C51AD5"/>
    <w:rsid w:val="741E793C"/>
    <w:rsid w:val="745E3944"/>
    <w:rsid w:val="74B96D14"/>
    <w:rsid w:val="754F3215"/>
    <w:rsid w:val="75F513B2"/>
    <w:rsid w:val="75FC2D3C"/>
    <w:rsid w:val="7635099D"/>
    <w:rsid w:val="76560A55"/>
    <w:rsid w:val="768A3CB4"/>
    <w:rsid w:val="76F53C3E"/>
    <w:rsid w:val="77056789"/>
    <w:rsid w:val="77762421"/>
    <w:rsid w:val="777714D8"/>
    <w:rsid w:val="777D59E2"/>
    <w:rsid w:val="778A7AEB"/>
    <w:rsid w:val="77B56B1F"/>
    <w:rsid w:val="780F09F4"/>
    <w:rsid w:val="78811A57"/>
    <w:rsid w:val="78A90480"/>
    <w:rsid w:val="78C54EC3"/>
    <w:rsid w:val="790610A9"/>
    <w:rsid w:val="793E0D1E"/>
    <w:rsid w:val="7A364017"/>
    <w:rsid w:val="7A692C65"/>
    <w:rsid w:val="7A8265E1"/>
    <w:rsid w:val="7A9279F6"/>
    <w:rsid w:val="7B3B20D6"/>
    <w:rsid w:val="7B686D42"/>
    <w:rsid w:val="7B6C3EB6"/>
    <w:rsid w:val="7B7E4EF2"/>
    <w:rsid w:val="7B841746"/>
    <w:rsid w:val="7C490766"/>
    <w:rsid w:val="7C6C5AC7"/>
    <w:rsid w:val="7C836BC1"/>
    <w:rsid w:val="7C8A2076"/>
    <w:rsid w:val="7C98250F"/>
    <w:rsid w:val="7CC6544B"/>
    <w:rsid w:val="7CFF031D"/>
    <w:rsid w:val="7D0239FF"/>
    <w:rsid w:val="7D5E40CD"/>
    <w:rsid w:val="7DCD56F2"/>
    <w:rsid w:val="7EC525FE"/>
    <w:rsid w:val="7F001CE7"/>
    <w:rsid w:val="7F022EFF"/>
    <w:rsid w:val="7FBF303C"/>
    <w:rsid w:val="7FE47E50"/>
    <w:rsid w:val="7FF36AD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f">
      <v:fill on="t" focussize="0,0"/>
      <v:stroke on="f"/>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0" w:semiHidden="0" w:name="heading 2" w:locked="1"/>
    <w:lsdException w:qFormat="1" w:unhideWhenUsed="0" w:uiPriority="0" w:semiHidden="0" w:name="heading 3" w:locked="1"/>
    <w:lsdException w:qFormat="1" w:unhideWhenUsed="0" w:uiPriority="0" w:semiHidden="0" w:name="heading 4" w:locked="1"/>
    <w:lsdException w:qFormat="1" w:unhideWhenUsed="0" w:uiPriority="9" w:semiHidden="0" w:name="heading 5"/>
    <w:lsdException w:qFormat="1" w:uiPriority="9" w:semiHidden="0" w:name="heading 6"/>
    <w:lsdException w:qFormat="1" w:uiPriority="0" w:name="heading 7"/>
    <w:lsdException w:qFormat="1" w:uiPriority="0" w:name="heading 8"/>
    <w:lsdException w:qFormat="1" w:uiPriority="0" w:name="heading 9"/>
    <w:lsdException w:qFormat="1" w:unhideWhenUsed="0" w:uiPriority="0" w:semiHidden="0" w:name="index 1" w:locked="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ocked="1"/>
    <w:lsdException w:qFormat="1" w:unhideWhenUsed="0" w:uiPriority="99" w:semiHidden="0" w:name="Normal Indent" w:locked="1"/>
    <w:lsdException w:qFormat="1"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ocked="1"/>
    <w:lsdException w:qFormat="1" w:uiPriority="0" w:semiHidden="0" w:name="table of figures" w:locked="1"/>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ocked="1"/>
    <w:lsdException w:unhideWhenUsed="0" w:uiPriority="0" w:semiHidden="0" w:name="endnote reference"/>
    <w:lsdException w:unhideWhenUsed="0" w:uiPriority="0" w:semiHidden="0" w:name="endnote text"/>
    <w:lsdException w:unhideWhenUsed="0" w:uiPriority="0" w:semiHidden="0" w:name="table of authorities"/>
    <w:lsdException w:qFormat="1" w:unhideWhenUsed="0" w:uiPriority="0" w:semiHidden="0" w:name="macro"/>
    <w:lsdException w:unhideWhenUsed="0" w:uiPriority="0" w:semiHidden="0" w:name="toa heading"/>
    <w:lsdException w:qFormat="1" w:unhideWhenUsed="0" w:uiPriority="0" w:semiHidden="0" w:name="List" w:locked="1"/>
    <w:lsdException w:qFormat="1" w:unhideWhenUsed="0" w:uiPriority="0" w:semiHidden="0" w:name="List Bullet"/>
    <w:lsdException w:unhideWhenUsed="0" w:uiPriority="0" w:semiHidden="0" w:name="List Number"/>
    <w:lsdException w:qFormat="1" w:unhideWhenUsed="0" w:uiPriority="0" w:semiHidden="0" w:name="List 2" w:locked="1"/>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qFormat="1" w:unhideWhenUsed="0" w:uiPriority="0" w:semiHidden="0" w:name="List Bullet 5" w:locked="1"/>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ocked="1"/>
    <w:lsdException w:qFormat="1" w:uiPriority="0" w:semiHidden="0" w:name="Salutation" w:locked="1"/>
    <w:lsdException w:qFormat="1" w:unhideWhenUsed="0" w:uiPriority="0" w:semiHidden="0" w:name="Date"/>
    <w:lsdException w:qFormat="1" w:unhideWhenUsed="0" w:uiPriority="0" w:semiHidden="0" w:name="Body Text First Indent" w:locked="1"/>
    <w:lsdException w:qFormat="1" w:unhideWhenUsed="0" w:uiPriority="99" w:semiHidden="0" w:name="Body Text First Indent 2" w:locked="1"/>
    <w:lsdException w:qFormat="1" w:unhideWhenUsed="0" w:uiPriority="0" w:semiHidden="0" w:name="Note Heading" w:locked="1"/>
    <w:lsdException w:qFormat="1" w:unhideWhenUsed="0" w:uiPriority="0" w:semiHidden="0" w:name="Body Text 2" w:locked="1"/>
    <w:lsdException w:qFormat="1" w:unhideWhenUsed="0" w:uiPriority="0" w:semiHidden="0" w:name="Body Text 3"/>
    <w:lsdException w:qFormat="1" w:unhideWhenUsed="0" w:uiPriority="0" w:semiHidden="0" w:name="Body Text Indent 2" w:locked="1"/>
    <w:lsdException w:qFormat="1" w:unhideWhenUsed="0" w:uiPriority="0" w:semiHidden="0" w:name="Body Text Indent 3" w:locked="1"/>
    <w:lsdException w:qFormat="1" w:unhideWhenUsed="0" w:uiPriority="0" w:semiHidden="0" w:name="Block Text" w:locked="1"/>
    <w:lsdException w:qFormat="1" w:unhideWhenUsed="0" w:uiPriority="99" w:semiHidden="0" w:name="Hyperlink" w:locked="1"/>
    <w:lsdException w:qFormat="1" w:unhideWhenUsed="0" w:uiPriority="0" w:semiHidden="0" w:name="FollowedHyperlink"/>
    <w:lsdException w:qFormat="1" w:unhideWhenUsed="0" w:uiPriority="22" w:semiHidden="0" w:name="Strong" w:locked="1"/>
    <w:lsdException w:qFormat="1" w:unhideWhenUsed="0" w:uiPriority="0" w:semiHidden="0" w:name="Emphasis" w:locked="1"/>
    <w:lsdException w:qFormat="1" w:unhideWhenUsed="0" w:uiPriority="0" w:semiHidden="0" w:name="Document Map" w:locked="1"/>
    <w:lsdException w:qFormat="1" w:unhideWhenUsed="0" w:uiPriority="0" w:semiHidden="0" w:name="Plain Text" w:locked="1"/>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jc w:val="both"/>
    </w:pPr>
    <w:rPr>
      <w:rFonts w:ascii="Times New Roman" w:hAnsi="Times New Roman" w:eastAsia="宋体" w:cs="Times New Roman"/>
      <w:sz w:val="24"/>
      <w:lang w:val="en-US" w:eastAsia="zh-CN" w:bidi="ar-SA"/>
    </w:rPr>
  </w:style>
  <w:style w:type="paragraph" w:styleId="3">
    <w:name w:val="heading 1"/>
    <w:basedOn w:val="1"/>
    <w:next w:val="1"/>
    <w:link w:val="80"/>
    <w:autoRedefine/>
    <w:qFormat/>
    <w:locked/>
    <w:uiPriority w:val="99"/>
    <w:pPr>
      <w:framePr w:hSpace="180" w:wrap="around" w:vAnchor="text" w:hAnchor="text" w:xAlign="center" w:y="1"/>
      <w:pBdr>
        <w:top w:val="none" w:color="auto" w:sz="0" w:space="1"/>
        <w:left w:val="none" w:color="auto" w:sz="0" w:space="4"/>
        <w:bottom w:val="none" w:color="auto" w:sz="0" w:space="1"/>
        <w:right w:val="none" w:color="auto" w:sz="0" w:space="4"/>
      </w:pBdr>
      <w:adjustRightInd w:val="0"/>
      <w:snapToGrid w:val="0"/>
      <w:spacing w:line="360" w:lineRule="auto"/>
      <w:jc w:val="center"/>
      <w:outlineLvl w:val="0"/>
    </w:pPr>
    <w:rPr>
      <w:rFonts w:ascii="Times New Roman" w:hAnsi="Times New Roman" w:eastAsia="宋体"/>
      <w:sz w:val="28"/>
      <w:szCs w:val="28"/>
      <w:lang w:val="zh-CN"/>
    </w:rPr>
  </w:style>
  <w:style w:type="paragraph" w:styleId="4">
    <w:name w:val="heading 2"/>
    <w:basedOn w:val="5"/>
    <w:next w:val="1"/>
    <w:link w:val="81"/>
    <w:autoRedefine/>
    <w:qFormat/>
    <w:locked/>
    <w:uiPriority w:val="0"/>
    <w:pPr>
      <w:framePr w:hSpace="180" w:wrap="around" w:vAnchor="text" w:hAnchor="text" w:xAlign="center" w:y="1"/>
      <w:snapToGrid w:val="0"/>
      <w:spacing w:line="440" w:lineRule="exact"/>
      <w:ind w:firstLine="0"/>
      <w:outlineLvl w:val="1"/>
    </w:pPr>
    <w:rPr>
      <w:rFonts w:ascii="Times New Roman"/>
      <w:b/>
      <w:sz w:val="24"/>
      <w:szCs w:val="24"/>
      <w:lang w:val="zh-CN"/>
    </w:rPr>
  </w:style>
  <w:style w:type="paragraph" w:styleId="6">
    <w:name w:val="heading 3"/>
    <w:basedOn w:val="1"/>
    <w:next w:val="1"/>
    <w:link w:val="82"/>
    <w:qFormat/>
    <w:locked/>
    <w:uiPriority w:val="0"/>
    <w:pPr>
      <w:keepNext/>
      <w:keepLines/>
      <w:spacing w:before="260" w:after="260" w:line="416" w:lineRule="auto"/>
      <w:outlineLvl w:val="2"/>
    </w:pPr>
    <w:rPr>
      <w:b/>
      <w:bCs/>
      <w:sz w:val="32"/>
      <w:szCs w:val="32"/>
    </w:rPr>
  </w:style>
  <w:style w:type="paragraph" w:styleId="7">
    <w:name w:val="heading 4"/>
    <w:basedOn w:val="1"/>
    <w:next w:val="1"/>
    <w:link w:val="83"/>
    <w:autoRedefine/>
    <w:qFormat/>
    <w:locked/>
    <w:uiPriority w:val="0"/>
    <w:pPr>
      <w:keepNext/>
      <w:keepLines/>
      <w:spacing w:before="280" w:after="290" w:line="376" w:lineRule="auto"/>
      <w:outlineLvl w:val="3"/>
    </w:pPr>
    <w:rPr>
      <w:rFonts w:ascii="Arial" w:hAnsi="Arial" w:eastAsia="黑体"/>
      <w:b/>
      <w:bCs/>
      <w:sz w:val="28"/>
      <w:szCs w:val="28"/>
      <w:lang w:val="zh-CN"/>
    </w:rPr>
  </w:style>
  <w:style w:type="paragraph" w:styleId="8">
    <w:name w:val="heading 5"/>
    <w:basedOn w:val="1"/>
    <w:next w:val="1"/>
    <w:link w:val="84"/>
    <w:qFormat/>
    <w:uiPriority w:val="9"/>
    <w:pPr>
      <w:keepNext/>
      <w:keepLines/>
      <w:wordWrap w:val="0"/>
      <w:spacing w:before="280" w:after="290" w:line="372" w:lineRule="auto"/>
      <w:ind w:firstLine="480" w:firstLineChars="200"/>
      <w:jc w:val="left"/>
      <w:outlineLvl w:val="4"/>
    </w:pPr>
    <w:rPr>
      <w:b/>
      <w:sz w:val="28"/>
      <w:szCs w:val="24"/>
      <w:lang w:val="zh-CN"/>
    </w:rPr>
  </w:style>
  <w:style w:type="paragraph" w:styleId="9">
    <w:name w:val="heading 6"/>
    <w:basedOn w:val="1"/>
    <w:next w:val="1"/>
    <w:link w:val="753"/>
    <w:unhideWhenUsed/>
    <w:qFormat/>
    <w:uiPriority w:val="9"/>
    <w:pPr>
      <w:keepNext/>
      <w:keepLines/>
      <w:autoSpaceDE w:val="0"/>
      <w:autoSpaceDN w:val="0"/>
      <w:spacing w:before="240" w:after="64" w:line="320" w:lineRule="auto"/>
      <w:jc w:val="left"/>
      <w:outlineLvl w:val="5"/>
    </w:pPr>
    <w:rPr>
      <w:rFonts w:asciiTheme="majorHAnsi" w:hAnsiTheme="majorHAnsi" w:eastAsiaTheme="majorEastAsia" w:cstheme="majorBidi"/>
      <w:b/>
      <w:bCs/>
      <w:szCs w:val="24"/>
      <w:lang w:eastAsia="en-US"/>
    </w:rPr>
  </w:style>
  <w:style w:type="paragraph" w:styleId="10">
    <w:name w:val="heading 7"/>
    <w:basedOn w:val="1"/>
    <w:next w:val="1"/>
    <w:link w:val="733"/>
    <w:semiHidden/>
    <w:unhideWhenUsed/>
    <w:qFormat/>
    <w:uiPriority w:val="0"/>
    <w:pPr>
      <w:keepNext/>
      <w:keepLines/>
      <w:spacing w:before="240" w:after="64" w:line="320" w:lineRule="auto"/>
      <w:outlineLvl w:val="6"/>
    </w:pPr>
    <w:rPr>
      <w:b/>
      <w:bCs/>
      <w:szCs w:val="24"/>
    </w:rPr>
  </w:style>
  <w:style w:type="character" w:default="1" w:styleId="56">
    <w:name w:val="Default Paragraph Font"/>
    <w:autoRedefine/>
    <w:semiHidden/>
    <w:unhideWhenUsed/>
    <w:qFormat/>
    <w:uiPriority w:val="1"/>
  </w:style>
  <w:style w:type="table" w:default="1" w:styleId="53">
    <w:name w:val="Normal Table"/>
    <w:semiHidden/>
    <w:unhideWhenUsed/>
    <w:qFormat/>
    <w:uiPriority w:val="99"/>
    <w:tblPr>
      <w:tblCellMar>
        <w:top w:w="0" w:type="dxa"/>
        <w:left w:w="108" w:type="dxa"/>
        <w:bottom w:w="0" w:type="dxa"/>
        <w:right w:w="108" w:type="dxa"/>
      </w:tblCellMar>
    </w:tblPr>
  </w:style>
  <w:style w:type="paragraph" w:styleId="2">
    <w:name w:val="macro"/>
    <w:link w:val="735"/>
    <w:autoRedefine/>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after="160" w:line="278" w:lineRule="auto"/>
      <w:textAlignment w:val="baseline"/>
    </w:pPr>
    <w:rPr>
      <w:rFonts w:ascii="Courier New" w:hAnsi="Courier New" w:eastAsia="宋体" w:cs="Times New Roman"/>
      <w:sz w:val="24"/>
      <w:szCs w:val="24"/>
      <w:lang w:val="en-US" w:eastAsia="zh-CN" w:bidi="ar-SA"/>
    </w:rPr>
  </w:style>
  <w:style w:type="paragraph" w:customStyle="1" w:styleId="5">
    <w:name w:val="样式35"/>
    <w:basedOn w:val="1"/>
    <w:autoRedefine/>
    <w:qFormat/>
    <w:uiPriority w:val="0"/>
    <w:pPr>
      <w:adjustRightInd w:val="0"/>
      <w:spacing w:line="312" w:lineRule="auto"/>
      <w:ind w:firstLine="567"/>
    </w:pPr>
    <w:rPr>
      <w:rFonts w:ascii="宋体"/>
      <w:sz w:val="28"/>
    </w:rPr>
  </w:style>
  <w:style w:type="paragraph" w:styleId="11">
    <w:name w:val="List 3"/>
    <w:basedOn w:val="1"/>
    <w:autoRedefine/>
    <w:qFormat/>
    <w:uiPriority w:val="0"/>
    <w:pPr>
      <w:ind w:left="100" w:leftChars="400" w:hanging="200" w:hangingChars="200"/>
      <w:contextualSpacing/>
    </w:pPr>
    <w:rPr>
      <w:rFonts w:ascii="Arial" w:hAnsi="Arial"/>
      <w:szCs w:val="24"/>
      <w:lang w:val="zh-CN"/>
    </w:rPr>
  </w:style>
  <w:style w:type="paragraph" w:styleId="12">
    <w:name w:val="toc 7"/>
    <w:basedOn w:val="1"/>
    <w:next w:val="1"/>
    <w:qFormat/>
    <w:uiPriority w:val="39"/>
    <w:pPr>
      <w:ind w:left="1260"/>
      <w:jc w:val="left"/>
    </w:pPr>
    <w:rPr>
      <w:rFonts w:ascii="Calibri" w:hAnsi="Calibri" w:cs="Calibri"/>
      <w:sz w:val="18"/>
      <w:szCs w:val="18"/>
    </w:rPr>
  </w:style>
  <w:style w:type="paragraph" w:styleId="13">
    <w:name w:val="Note Heading"/>
    <w:basedOn w:val="1"/>
    <w:next w:val="1"/>
    <w:qFormat/>
    <w:locked/>
    <w:uiPriority w:val="0"/>
    <w:pPr>
      <w:jc w:val="center"/>
    </w:pPr>
    <w:rPr>
      <w:sz w:val="28"/>
    </w:rPr>
  </w:style>
  <w:style w:type="paragraph" w:styleId="14">
    <w:name w:val="Normal Indent"/>
    <w:basedOn w:val="1"/>
    <w:next w:val="1"/>
    <w:link w:val="85"/>
    <w:qFormat/>
    <w:locked/>
    <w:uiPriority w:val="99"/>
    <w:pPr>
      <w:spacing w:line="440" w:lineRule="exact"/>
      <w:ind w:firstLine="652"/>
    </w:pPr>
    <w:rPr>
      <w:spacing w:val="20"/>
    </w:rPr>
  </w:style>
  <w:style w:type="paragraph" w:styleId="15">
    <w:name w:val="caption"/>
    <w:basedOn w:val="1"/>
    <w:next w:val="1"/>
    <w:link w:val="87"/>
    <w:autoRedefine/>
    <w:qFormat/>
    <w:locked/>
    <w:uiPriority w:val="0"/>
    <w:pPr>
      <w:adjustRightInd/>
      <w:snapToGrid/>
      <w:spacing w:line="240" w:lineRule="auto"/>
      <w:jc w:val="center"/>
    </w:pPr>
    <w:rPr>
      <w:rFonts w:ascii="Times New Roman" w:hAnsi="Times New Roman" w:eastAsia="宋体"/>
      <w:b/>
      <w:bCs/>
      <w:color w:val="auto"/>
      <w:sz w:val="21"/>
      <w:szCs w:val="21"/>
    </w:rPr>
  </w:style>
  <w:style w:type="paragraph" w:styleId="16">
    <w:name w:val="List Bullet"/>
    <w:basedOn w:val="1"/>
    <w:autoRedefine/>
    <w:qFormat/>
    <w:uiPriority w:val="0"/>
    <w:pPr>
      <w:numPr>
        <w:ilvl w:val="0"/>
        <w:numId w:val="1"/>
      </w:numPr>
      <w:contextualSpacing/>
    </w:pPr>
  </w:style>
  <w:style w:type="paragraph" w:styleId="17">
    <w:name w:val="Document Map"/>
    <w:basedOn w:val="1"/>
    <w:link w:val="88"/>
    <w:autoRedefine/>
    <w:qFormat/>
    <w:locked/>
    <w:uiPriority w:val="0"/>
    <w:rPr>
      <w:rFonts w:ascii="宋体"/>
      <w:sz w:val="18"/>
      <w:szCs w:val="18"/>
      <w:lang w:val="zh-CN"/>
    </w:rPr>
  </w:style>
  <w:style w:type="paragraph" w:styleId="18">
    <w:name w:val="annotation text"/>
    <w:basedOn w:val="1"/>
    <w:link w:val="89"/>
    <w:qFormat/>
    <w:uiPriority w:val="0"/>
    <w:pPr>
      <w:jc w:val="left"/>
    </w:pPr>
    <w:rPr>
      <w:lang w:val="zh-CN"/>
    </w:rPr>
  </w:style>
  <w:style w:type="paragraph" w:styleId="19">
    <w:name w:val="Salutation"/>
    <w:basedOn w:val="1"/>
    <w:next w:val="1"/>
    <w:link w:val="640"/>
    <w:unhideWhenUsed/>
    <w:qFormat/>
    <w:locked/>
    <w:uiPriority w:val="0"/>
    <w:rPr>
      <w:sz w:val="28"/>
    </w:rPr>
  </w:style>
  <w:style w:type="paragraph" w:styleId="20">
    <w:name w:val="Body Text 3"/>
    <w:basedOn w:val="1"/>
    <w:link w:val="606"/>
    <w:autoRedefine/>
    <w:qFormat/>
    <w:uiPriority w:val="0"/>
    <w:pPr>
      <w:spacing w:after="120"/>
    </w:pPr>
    <w:rPr>
      <w:sz w:val="16"/>
      <w:szCs w:val="16"/>
    </w:rPr>
  </w:style>
  <w:style w:type="paragraph" w:styleId="21">
    <w:name w:val="Body Text"/>
    <w:basedOn w:val="1"/>
    <w:next w:val="22"/>
    <w:link w:val="86"/>
    <w:qFormat/>
    <w:uiPriority w:val="1"/>
    <w:pPr>
      <w:widowControl/>
      <w:snapToGrid w:val="0"/>
      <w:spacing w:before="60" w:line="259" w:lineRule="auto"/>
      <w:ind w:right="113"/>
    </w:pPr>
    <w:rPr>
      <w:sz w:val="18"/>
      <w:lang w:val="zh-CN"/>
    </w:rPr>
  </w:style>
  <w:style w:type="paragraph" w:styleId="22">
    <w:name w:val="toc 5"/>
    <w:basedOn w:val="1"/>
    <w:next w:val="1"/>
    <w:autoRedefine/>
    <w:qFormat/>
    <w:uiPriority w:val="39"/>
    <w:pPr>
      <w:ind w:left="840"/>
      <w:jc w:val="left"/>
    </w:pPr>
    <w:rPr>
      <w:rFonts w:ascii="Calibri" w:hAnsi="Calibri" w:cs="Calibri"/>
      <w:sz w:val="18"/>
      <w:szCs w:val="18"/>
    </w:rPr>
  </w:style>
  <w:style w:type="paragraph" w:styleId="23">
    <w:name w:val="Body Text Indent"/>
    <w:basedOn w:val="1"/>
    <w:next w:val="24"/>
    <w:link w:val="90"/>
    <w:qFormat/>
    <w:uiPriority w:val="99"/>
    <w:pPr>
      <w:spacing w:after="120"/>
      <w:ind w:left="420" w:leftChars="200"/>
    </w:pPr>
    <w:rPr>
      <w:lang w:val="zh-CN"/>
    </w:rPr>
  </w:style>
  <w:style w:type="paragraph" w:styleId="24">
    <w:name w:val="Body Text Indent 2"/>
    <w:basedOn w:val="1"/>
    <w:next w:val="25"/>
    <w:link w:val="93"/>
    <w:qFormat/>
    <w:locked/>
    <w:uiPriority w:val="0"/>
    <w:pPr>
      <w:spacing w:after="120" w:line="480" w:lineRule="auto"/>
      <w:ind w:left="420" w:leftChars="200"/>
    </w:pPr>
    <w:rPr>
      <w:sz w:val="28"/>
      <w:szCs w:val="24"/>
      <w:lang w:val="zh-CN"/>
    </w:rPr>
  </w:style>
  <w:style w:type="paragraph" w:styleId="25">
    <w:name w:val="Body Text First Indent 2"/>
    <w:basedOn w:val="23"/>
    <w:next w:val="1"/>
    <w:link w:val="106"/>
    <w:autoRedefine/>
    <w:qFormat/>
    <w:locked/>
    <w:uiPriority w:val="99"/>
    <w:pPr>
      <w:ind w:firstLine="420" w:firstLineChars="200"/>
    </w:pPr>
    <w:rPr>
      <w:kern w:val="2"/>
      <w:sz w:val="21"/>
      <w:szCs w:val="24"/>
    </w:rPr>
  </w:style>
  <w:style w:type="paragraph" w:styleId="26">
    <w:name w:val="List 2"/>
    <w:basedOn w:val="1"/>
    <w:qFormat/>
    <w:locked/>
    <w:uiPriority w:val="0"/>
    <w:pPr>
      <w:ind w:left="100" w:leftChars="200" w:hanging="200" w:hangingChars="200"/>
    </w:pPr>
    <w:rPr>
      <w:sz w:val="28"/>
    </w:rPr>
  </w:style>
  <w:style w:type="paragraph" w:styleId="27">
    <w:name w:val="Block Text"/>
    <w:basedOn w:val="1"/>
    <w:qFormat/>
    <w:locked/>
    <w:uiPriority w:val="0"/>
    <w:pPr>
      <w:spacing w:after="120"/>
      <w:ind w:left="1440" w:leftChars="700" w:right="1440" w:rightChars="700"/>
    </w:pPr>
  </w:style>
  <w:style w:type="paragraph" w:styleId="28">
    <w:name w:val="toc 3"/>
    <w:basedOn w:val="1"/>
    <w:next w:val="1"/>
    <w:autoRedefine/>
    <w:qFormat/>
    <w:uiPriority w:val="39"/>
    <w:pPr>
      <w:ind w:left="420"/>
      <w:jc w:val="left"/>
    </w:pPr>
    <w:rPr>
      <w:rFonts w:ascii="Calibri" w:hAnsi="Calibri" w:cs="Calibri"/>
      <w:i/>
      <w:iCs/>
      <w:sz w:val="20"/>
    </w:rPr>
  </w:style>
  <w:style w:type="paragraph" w:styleId="29">
    <w:name w:val="Plain Text"/>
    <w:basedOn w:val="1"/>
    <w:link w:val="91"/>
    <w:qFormat/>
    <w:locked/>
    <w:uiPriority w:val="0"/>
    <w:rPr>
      <w:rFonts w:ascii="宋体" w:hAnsi="Courier New"/>
      <w:sz w:val="21"/>
    </w:rPr>
  </w:style>
  <w:style w:type="paragraph" w:styleId="30">
    <w:name w:val="List Bullet 5"/>
    <w:basedOn w:val="1"/>
    <w:autoRedefine/>
    <w:qFormat/>
    <w:locked/>
    <w:uiPriority w:val="0"/>
    <w:pPr>
      <w:widowControl/>
      <w:spacing w:line="360" w:lineRule="auto"/>
      <w:ind w:firstLine="480"/>
      <w:jc w:val="left"/>
    </w:pPr>
  </w:style>
  <w:style w:type="paragraph" w:styleId="31">
    <w:name w:val="toc 8"/>
    <w:basedOn w:val="1"/>
    <w:next w:val="1"/>
    <w:qFormat/>
    <w:uiPriority w:val="39"/>
    <w:pPr>
      <w:ind w:left="1470"/>
      <w:jc w:val="left"/>
    </w:pPr>
    <w:rPr>
      <w:rFonts w:ascii="Calibri" w:hAnsi="Calibri" w:cs="Calibri"/>
      <w:sz w:val="18"/>
      <w:szCs w:val="18"/>
    </w:rPr>
  </w:style>
  <w:style w:type="paragraph" w:styleId="32">
    <w:name w:val="Date"/>
    <w:basedOn w:val="1"/>
    <w:next w:val="1"/>
    <w:link w:val="92"/>
    <w:autoRedefine/>
    <w:qFormat/>
    <w:uiPriority w:val="0"/>
    <w:pPr>
      <w:ind w:left="100" w:leftChars="2500"/>
    </w:pPr>
    <w:rPr>
      <w:lang w:val="zh-CN"/>
    </w:rPr>
  </w:style>
  <w:style w:type="paragraph" w:styleId="33">
    <w:name w:val="Balloon Text"/>
    <w:basedOn w:val="1"/>
    <w:link w:val="94"/>
    <w:autoRedefine/>
    <w:qFormat/>
    <w:uiPriority w:val="0"/>
    <w:rPr>
      <w:sz w:val="18"/>
      <w:lang w:val="zh-CN"/>
    </w:rPr>
  </w:style>
  <w:style w:type="paragraph" w:styleId="34">
    <w:name w:val="footer"/>
    <w:basedOn w:val="1"/>
    <w:link w:val="95"/>
    <w:autoRedefine/>
    <w:qFormat/>
    <w:uiPriority w:val="0"/>
    <w:pPr>
      <w:tabs>
        <w:tab w:val="center" w:pos="4153"/>
        <w:tab w:val="right" w:pos="8306"/>
      </w:tabs>
      <w:snapToGrid w:val="0"/>
      <w:jc w:val="left"/>
    </w:pPr>
    <w:rPr>
      <w:sz w:val="18"/>
      <w:lang w:val="zh-CN"/>
    </w:rPr>
  </w:style>
  <w:style w:type="paragraph" w:styleId="35">
    <w:name w:val="header"/>
    <w:basedOn w:val="1"/>
    <w:link w:val="96"/>
    <w:autoRedefine/>
    <w:qFormat/>
    <w:uiPriority w:val="0"/>
    <w:pPr>
      <w:pBdr>
        <w:bottom w:val="single" w:color="auto" w:sz="6" w:space="1"/>
      </w:pBdr>
      <w:tabs>
        <w:tab w:val="center" w:pos="4153"/>
        <w:tab w:val="right" w:pos="8306"/>
      </w:tabs>
      <w:snapToGrid w:val="0"/>
      <w:jc w:val="center"/>
    </w:pPr>
    <w:rPr>
      <w:sz w:val="18"/>
      <w:lang w:val="zh-CN"/>
    </w:rPr>
  </w:style>
  <w:style w:type="paragraph" w:styleId="36">
    <w:name w:val="toc 1"/>
    <w:basedOn w:val="1"/>
    <w:next w:val="1"/>
    <w:qFormat/>
    <w:uiPriority w:val="39"/>
  </w:style>
  <w:style w:type="paragraph" w:styleId="37">
    <w:name w:val="toc 4"/>
    <w:basedOn w:val="1"/>
    <w:next w:val="1"/>
    <w:autoRedefine/>
    <w:qFormat/>
    <w:uiPriority w:val="39"/>
    <w:pPr>
      <w:ind w:left="630"/>
      <w:jc w:val="left"/>
    </w:pPr>
    <w:rPr>
      <w:rFonts w:ascii="Calibri" w:hAnsi="Calibri" w:cs="Calibri"/>
      <w:sz w:val="18"/>
      <w:szCs w:val="18"/>
    </w:rPr>
  </w:style>
  <w:style w:type="paragraph" w:styleId="38">
    <w:name w:val="Subtitle"/>
    <w:basedOn w:val="1"/>
    <w:link w:val="97"/>
    <w:autoRedefine/>
    <w:qFormat/>
    <w:locked/>
    <w:uiPriority w:val="0"/>
    <w:pPr>
      <w:adjustRightInd w:val="0"/>
      <w:snapToGrid w:val="0"/>
      <w:spacing w:line="360" w:lineRule="auto"/>
      <w:jc w:val="center"/>
    </w:pPr>
    <w:rPr>
      <w:rFonts w:ascii="宋体" w:hAnsi="宋体" w:eastAsia="仿宋"/>
      <w:spacing w:val="-16"/>
      <w:sz w:val="21"/>
      <w:lang w:val="zh-CN"/>
    </w:rPr>
  </w:style>
  <w:style w:type="paragraph" w:styleId="39">
    <w:name w:val="List"/>
    <w:basedOn w:val="1"/>
    <w:autoRedefine/>
    <w:qFormat/>
    <w:locked/>
    <w:uiPriority w:val="0"/>
    <w:pPr>
      <w:spacing w:line="360" w:lineRule="auto"/>
      <w:jc w:val="center"/>
    </w:pPr>
    <w:rPr>
      <w:rFonts w:eastAsia="黑体"/>
    </w:rPr>
  </w:style>
  <w:style w:type="paragraph" w:styleId="40">
    <w:name w:val="footnote text"/>
    <w:basedOn w:val="1"/>
    <w:link w:val="98"/>
    <w:autoRedefine/>
    <w:unhideWhenUsed/>
    <w:qFormat/>
    <w:uiPriority w:val="0"/>
    <w:pPr>
      <w:spacing w:before="60"/>
      <w:ind w:firstLine="482"/>
      <w:jc w:val="left"/>
    </w:pPr>
    <w:rPr>
      <w:rFonts w:ascii="Arial" w:hAnsi="Arial" w:eastAsia="仿宋_GB2312"/>
      <w:sz w:val="18"/>
      <w:szCs w:val="18"/>
      <w:lang w:val="zh-CN"/>
    </w:rPr>
  </w:style>
  <w:style w:type="paragraph" w:styleId="41">
    <w:name w:val="toc 6"/>
    <w:basedOn w:val="1"/>
    <w:next w:val="1"/>
    <w:autoRedefine/>
    <w:qFormat/>
    <w:uiPriority w:val="39"/>
    <w:pPr>
      <w:ind w:left="1050"/>
      <w:jc w:val="left"/>
    </w:pPr>
    <w:rPr>
      <w:rFonts w:ascii="Calibri" w:hAnsi="Calibri" w:cs="Calibri"/>
      <w:sz w:val="18"/>
      <w:szCs w:val="18"/>
    </w:rPr>
  </w:style>
  <w:style w:type="paragraph" w:styleId="42">
    <w:name w:val="Body Text Indent 3"/>
    <w:basedOn w:val="1"/>
    <w:link w:val="99"/>
    <w:autoRedefine/>
    <w:qFormat/>
    <w:locked/>
    <w:uiPriority w:val="0"/>
    <w:pPr>
      <w:spacing w:after="120"/>
      <w:ind w:left="420" w:leftChars="200"/>
    </w:pPr>
    <w:rPr>
      <w:sz w:val="16"/>
      <w:szCs w:val="16"/>
      <w:lang w:val="zh-CN"/>
    </w:rPr>
  </w:style>
  <w:style w:type="paragraph" w:styleId="43">
    <w:name w:val="table of figures"/>
    <w:basedOn w:val="1"/>
    <w:next w:val="1"/>
    <w:autoRedefine/>
    <w:unhideWhenUsed/>
    <w:qFormat/>
    <w:locked/>
    <w:uiPriority w:val="0"/>
    <w:pPr>
      <w:ind w:left="200" w:leftChars="200" w:hanging="200" w:hangingChars="200"/>
    </w:pPr>
    <w:rPr>
      <w:rFonts w:hint="eastAsia"/>
    </w:rPr>
  </w:style>
  <w:style w:type="paragraph" w:styleId="44">
    <w:name w:val="toc 2"/>
    <w:basedOn w:val="1"/>
    <w:next w:val="1"/>
    <w:autoRedefine/>
    <w:qFormat/>
    <w:uiPriority w:val="39"/>
    <w:pPr>
      <w:ind w:left="420" w:leftChars="200"/>
    </w:pPr>
  </w:style>
  <w:style w:type="paragraph" w:styleId="45">
    <w:name w:val="toc 9"/>
    <w:basedOn w:val="1"/>
    <w:next w:val="1"/>
    <w:autoRedefine/>
    <w:qFormat/>
    <w:locked/>
    <w:uiPriority w:val="39"/>
    <w:pPr>
      <w:spacing w:line="440" w:lineRule="exact"/>
      <w:ind w:left="1920" w:firstLine="200" w:firstLineChars="200"/>
      <w:jc w:val="left"/>
    </w:pPr>
    <w:rPr>
      <w:spacing w:val="20"/>
    </w:rPr>
  </w:style>
  <w:style w:type="paragraph" w:styleId="46">
    <w:name w:val="Body Text 2"/>
    <w:basedOn w:val="1"/>
    <w:link w:val="100"/>
    <w:autoRedefine/>
    <w:qFormat/>
    <w:locked/>
    <w:uiPriority w:val="0"/>
    <w:pPr>
      <w:spacing w:after="120" w:line="480" w:lineRule="auto"/>
    </w:pPr>
    <w:rPr>
      <w:sz w:val="28"/>
      <w:szCs w:val="24"/>
      <w:lang w:val="zh-CN"/>
    </w:rPr>
  </w:style>
  <w:style w:type="paragraph" w:styleId="47">
    <w:name w:val="HTML Preformatted"/>
    <w:basedOn w:val="1"/>
    <w:link w:val="101"/>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sz w:val="21"/>
      <w:lang w:val="zh-CN"/>
    </w:rPr>
  </w:style>
  <w:style w:type="paragraph" w:styleId="48">
    <w:name w:val="Normal (Web)"/>
    <w:basedOn w:val="1"/>
    <w:link w:val="102"/>
    <w:autoRedefine/>
    <w:qFormat/>
    <w:uiPriority w:val="0"/>
    <w:pPr>
      <w:widowControl/>
      <w:spacing w:before="100" w:beforeAutospacing="1" w:after="100" w:afterAutospacing="1"/>
      <w:jc w:val="left"/>
    </w:pPr>
    <w:rPr>
      <w:rFonts w:ascii="宋体" w:hAnsi="宋体"/>
      <w:lang w:val="zh-CN"/>
    </w:rPr>
  </w:style>
  <w:style w:type="paragraph" w:styleId="49">
    <w:name w:val="index 1"/>
    <w:basedOn w:val="1"/>
    <w:next w:val="1"/>
    <w:autoRedefine/>
    <w:qFormat/>
    <w:locked/>
    <w:uiPriority w:val="0"/>
    <w:pPr>
      <w:tabs>
        <w:tab w:val="left" w:pos="932"/>
        <w:tab w:val="center" w:pos="4535"/>
      </w:tabs>
      <w:spacing w:line="400" w:lineRule="exact"/>
      <w:jc w:val="center"/>
    </w:pPr>
    <w:rPr>
      <w:rFonts w:ascii="宋体" w:hAnsi="宋体"/>
      <w:bCs/>
    </w:rPr>
  </w:style>
  <w:style w:type="paragraph" w:styleId="50">
    <w:name w:val="Title"/>
    <w:basedOn w:val="1"/>
    <w:next w:val="1"/>
    <w:link w:val="103"/>
    <w:autoRedefine/>
    <w:qFormat/>
    <w:uiPriority w:val="0"/>
    <w:pPr>
      <w:adjustRightInd w:val="0"/>
      <w:snapToGrid w:val="0"/>
      <w:spacing w:line="480" w:lineRule="exact"/>
      <w:jc w:val="center"/>
      <w:outlineLvl w:val="4"/>
    </w:pPr>
    <w:rPr>
      <w:rFonts w:ascii="Cambria" w:hAnsi="Cambria" w:eastAsia="Times New Roman"/>
      <w:b/>
      <w:bCs/>
      <w:sz w:val="21"/>
      <w:szCs w:val="32"/>
      <w:lang w:val="zh-CN"/>
    </w:rPr>
  </w:style>
  <w:style w:type="paragraph" w:styleId="51">
    <w:name w:val="annotation subject"/>
    <w:basedOn w:val="18"/>
    <w:next w:val="18"/>
    <w:link w:val="104"/>
    <w:autoRedefine/>
    <w:qFormat/>
    <w:uiPriority w:val="0"/>
    <w:rPr>
      <w:b/>
      <w:kern w:val="2"/>
    </w:rPr>
  </w:style>
  <w:style w:type="paragraph" w:styleId="52">
    <w:name w:val="Body Text First Indent"/>
    <w:basedOn w:val="21"/>
    <w:link w:val="105"/>
    <w:autoRedefine/>
    <w:qFormat/>
    <w:locked/>
    <w:uiPriority w:val="0"/>
    <w:pPr>
      <w:widowControl w:val="0"/>
      <w:snapToGrid/>
      <w:spacing w:before="0" w:after="120" w:line="240" w:lineRule="auto"/>
      <w:ind w:right="0" w:firstLine="420" w:firstLineChars="100"/>
    </w:pPr>
    <w:rPr>
      <w:kern w:val="2"/>
      <w:sz w:val="21"/>
      <w:szCs w:val="24"/>
      <w:lang w:val="en-US"/>
    </w:rPr>
  </w:style>
  <w:style w:type="table" w:styleId="54">
    <w:name w:val="Table Grid"/>
    <w:basedOn w:val="53"/>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5">
    <w:name w:val="Table Theme"/>
    <w:basedOn w:val="5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7">
    <w:name w:val="Strong"/>
    <w:autoRedefine/>
    <w:qFormat/>
    <w:locked/>
    <w:uiPriority w:val="22"/>
    <w:rPr>
      <w:b/>
      <w:bCs/>
    </w:rPr>
  </w:style>
  <w:style w:type="character" w:styleId="58">
    <w:name w:val="page number"/>
    <w:autoRedefine/>
    <w:qFormat/>
    <w:locked/>
    <w:uiPriority w:val="0"/>
  </w:style>
  <w:style w:type="character" w:styleId="59">
    <w:name w:val="FollowedHyperlink"/>
    <w:autoRedefine/>
    <w:qFormat/>
    <w:uiPriority w:val="0"/>
    <w:rPr>
      <w:color w:val="954F72"/>
      <w:u w:val="single"/>
    </w:rPr>
  </w:style>
  <w:style w:type="character" w:styleId="60">
    <w:name w:val="Emphasis"/>
    <w:autoRedefine/>
    <w:qFormat/>
    <w:locked/>
    <w:uiPriority w:val="0"/>
    <w:rPr>
      <w:i/>
      <w:iCs/>
    </w:rPr>
  </w:style>
  <w:style w:type="character" w:styleId="61">
    <w:name w:val="HTML Definition"/>
    <w:autoRedefine/>
    <w:qFormat/>
    <w:uiPriority w:val="0"/>
  </w:style>
  <w:style w:type="character" w:styleId="62">
    <w:name w:val="HTML Variable"/>
    <w:autoRedefine/>
    <w:qFormat/>
    <w:uiPriority w:val="0"/>
  </w:style>
  <w:style w:type="character" w:styleId="63">
    <w:name w:val="Hyperlink"/>
    <w:autoRedefine/>
    <w:qFormat/>
    <w:locked/>
    <w:uiPriority w:val="99"/>
    <w:rPr>
      <w:color w:val="136EC2"/>
      <w:u w:val="single"/>
    </w:rPr>
  </w:style>
  <w:style w:type="character" w:styleId="64">
    <w:name w:val="HTML Code"/>
    <w:autoRedefine/>
    <w:qFormat/>
    <w:uiPriority w:val="0"/>
    <w:rPr>
      <w:rFonts w:ascii="Consolas" w:hAnsi="Consolas" w:eastAsia="Consolas" w:cs="Consolas"/>
      <w:color w:val="C7254E"/>
      <w:sz w:val="21"/>
      <w:szCs w:val="21"/>
      <w:shd w:val="clear" w:color="auto" w:fill="F9F2F4"/>
    </w:rPr>
  </w:style>
  <w:style w:type="character" w:styleId="65">
    <w:name w:val="annotation reference"/>
    <w:autoRedefine/>
    <w:qFormat/>
    <w:uiPriority w:val="0"/>
    <w:rPr>
      <w:sz w:val="21"/>
    </w:rPr>
  </w:style>
  <w:style w:type="character" w:styleId="66">
    <w:name w:val="HTML Cite"/>
    <w:autoRedefine/>
    <w:qFormat/>
    <w:uiPriority w:val="0"/>
  </w:style>
  <w:style w:type="character" w:styleId="67">
    <w:name w:val="footnote reference"/>
    <w:autoRedefine/>
    <w:qFormat/>
    <w:uiPriority w:val="0"/>
    <w:rPr>
      <w:vertAlign w:val="superscript"/>
    </w:rPr>
  </w:style>
  <w:style w:type="character" w:styleId="68">
    <w:name w:val="HTML Keyboard"/>
    <w:autoRedefine/>
    <w:qFormat/>
    <w:uiPriority w:val="0"/>
    <w:rPr>
      <w:rFonts w:hint="default" w:ascii="Consolas" w:hAnsi="Consolas" w:eastAsia="Consolas" w:cs="Consolas"/>
      <w:color w:val="FFFFFF"/>
      <w:sz w:val="21"/>
      <w:szCs w:val="21"/>
      <w:shd w:val="clear" w:color="auto" w:fill="333333"/>
    </w:rPr>
  </w:style>
  <w:style w:type="character" w:styleId="69">
    <w:name w:val="HTML Sample"/>
    <w:autoRedefine/>
    <w:qFormat/>
    <w:uiPriority w:val="0"/>
    <w:rPr>
      <w:rFonts w:hint="default" w:ascii="Consolas" w:hAnsi="Consolas" w:eastAsia="Consolas" w:cs="Consolas"/>
      <w:sz w:val="21"/>
      <w:szCs w:val="21"/>
    </w:rPr>
  </w:style>
  <w:style w:type="paragraph" w:customStyle="1" w:styleId="70">
    <w:name w:val="Default"/>
    <w:basedOn w:val="71"/>
    <w:link w:val="748"/>
    <w:autoRedefine/>
    <w:qFormat/>
    <w:uiPriority w:val="0"/>
    <w:pPr>
      <w:autoSpaceDE w:val="0"/>
      <w:autoSpaceDN w:val="0"/>
      <w:adjustRightInd w:val="0"/>
    </w:pPr>
    <w:rPr>
      <w:rFonts w:ascii="宋体" w:cs="宋体"/>
      <w:color w:val="000000"/>
      <w:sz w:val="24"/>
      <w:szCs w:val="24"/>
      <w:lang w:eastAsia="zh-CN"/>
    </w:rPr>
  </w:style>
  <w:style w:type="paragraph" w:customStyle="1" w:styleId="71">
    <w:name w:val="批注文字1"/>
    <w:autoRedefine/>
    <w:qFormat/>
    <w:uiPriority w:val="0"/>
    <w:pPr>
      <w:widowControl w:val="0"/>
      <w:spacing w:after="160" w:line="278" w:lineRule="auto"/>
    </w:pPr>
    <w:rPr>
      <w:rFonts w:ascii="Times New Roman" w:hAnsi="Times New Roman" w:eastAsia="宋体" w:cs="Times New Roman"/>
      <w:color w:val="000000"/>
      <w:kern w:val="2"/>
      <w:sz w:val="21"/>
      <w:szCs w:val="24"/>
      <w:lang w:val="en-US" w:eastAsia="zh-CN" w:bidi="ar-SA"/>
    </w:rPr>
  </w:style>
  <w:style w:type="paragraph" w:customStyle="1" w:styleId="72">
    <w:name w:val="xl27"/>
    <w:basedOn w:val="1"/>
    <w:next w:val="73"/>
    <w:autoRedefine/>
    <w:qFormat/>
    <w:uiPriority w:val="0"/>
    <w:pPr>
      <w:widowControl/>
      <w:pBdr>
        <w:bottom w:val="single" w:color="auto" w:sz="4" w:space="0"/>
        <w:right w:val="single" w:color="auto" w:sz="4" w:space="0"/>
      </w:pBdr>
      <w:spacing w:before="100" w:beforeAutospacing="1" w:after="100" w:afterAutospacing="1"/>
      <w:jc w:val="center"/>
    </w:pPr>
    <w:rPr>
      <w:rFonts w:hint="eastAsia" w:ascii="仿宋_GB2312" w:hAnsi="Arial Unicode MS"/>
    </w:rPr>
  </w:style>
  <w:style w:type="paragraph" w:customStyle="1" w:styleId="73">
    <w:name w:val="A正文"/>
    <w:basedOn w:val="74"/>
    <w:next w:val="21"/>
    <w:link w:val="139"/>
    <w:autoRedefine/>
    <w:qFormat/>
    <w:uiPriority w:val="0"/>
    <w:pPr>
      <w:adjustRightInd w:val="0"/>
      <w:snapToGrid w:val="0"/>
      <w:spacing w:line="360" w:lineRule="auto"/>
      <w:ind w:firstLine="480" w:firstLineChars="200"/>
    </w:pPr>
    <w:rPr>
      <w:szCs w:val="24"/>
      <w:lang w:val="zh-CN"/>
    </w:rPr>
  </w:style>
  <w:style w:type="paragraph" w:customStyle="1" w:styleId="74">
    <w:name w:val="正文格式"/>
    <w:basedOn w:val="1"/>
    <w:next w:val="75"/>
    <w:autoRedefine/>
    <w:qFormat/>
    <w:uiPriority w:val="0"/>
    <w:pPr>
      <w:spacing w:line="360" w:lineRule="auto"/>
      <w:ind w:firstLine="200" w:firstLineChars="200"/>
    </w:pPr>
    <w:rPr>
      <w:rFonts w:ascii="宋体"/>
      <w:spacing w:val="8"/>
    </w:rPr>
  </w:style>
  <w:style w:type="paragraph" w:styleId="75">
    <w:name w:val="List Paragraph"/>
    <w:basedOn w:val="1"/>
    <w:autoRedefine/>
    <w:qFormat/>
    <w:uiPriority w:val="1"/>
    <w:pPr>
      <w:ind w:firstLine="420" w:firstLineChars="200"/>
    </w:pPr>
    <w:rPr>
      <w:szCs w:val="22"/>
    </w:rPr>
  </w:style>
  <w:style w:type="paragraph" w:customStyle="1" w:styleId="76">
    <w:name w:val="表头"/>
    <w:basedOn w:val="1"/>
    <w:link w:val="166"/>
    <w:autoRedefine/>
    <w:qFormat/>
    <w:uiPriority w:val="0"/>
    <w:pPr>
      <w:spacing w:line="420" w:lineRule="exact"/>
      <w:jc w:val="center"/>
    </w:pPr>
    <w:rPr>
      <w:rFonts w:hAnsi="宋体"/>
      <w:b/>
      <w:color w:val="000000"/>
      <w:position w:val="2"/>
      <w:szCs w:val="24"/>
    </w:rPr>
  </w:style>
  <w:style w:type="paragraph" w:customStyle="1" w:styleId="77">
    <w:name w:val="表格"/>
    <w:basedOn w:val="29"/>
    <w:next w:val="1"/>
    <w:link w:val="112"/>
    <w:autoRedefine/>
    <w:qFormat/>
    <w:uiPriority w:val="0"/>
    <w:pPr>
      <w:adjustRightInd w:val="0"/>
      <w:snapToGrid w:val="0"/>
      <w:spacing w:beforeLines="10" w:afterLines="10" w:line="259" w:lineRule="auto"/>
      <w:jc w:val="center"/>
    </w:pPr>
    <w:rPr>
      <w:rFonts w:hAnsi="Times New Roman"/>
      <w:lang w:val="zh-CN"/>
    </w:rPr>
  </w:style>
  <w:style w:type="paragraph" w:customStyle="1" w:styleId="78">
    <w:name w:val="纯文本1"/>
    <w:basedOn w:val="1"/>
    <w:autoRedefine/>
    <w:qFormat/>
    <w:uiPriority w:val="0"/>
    <w:rPr>
      <w:rFonts w:hint="eastAsia" w:ascii="宋体" w:hAnsi="Courier New"/>
    </w:rPr>
  </w:style>
  <w:style w:type="paragraph" w:customStyle="1" w:styleId="79">
    <w:name w:val="列出段落"/>
    <w:basedOn w:val="1"/>
    <w:autoRedefine/>
    <w:qFormat/>
    <w:uiPriority w:val="99"/>
    <w:pPr>
      <w:ind w:firstLine="420" w:firstLineChars="200"/>
    </w:pPr>
    <w:rPr>
      <w:kern w:val="0"/>
      <w:sz w:val="20"/>
    </w:rPr>
  </w:style>
  <w:style w:type="character" w:customStyle="1" w:styleId="80">
    <w:name w:val="标题 1 Char1"/>
    <w:link w:val="3"/>
    <w:autoRedefine/>
    <w:qFormat/>
    <w:uiPriority w:val="0"/>
    <w:rPr>
      <w:rFonts w:ascii="Times New Roman" w:hAnsi="Times New Roman" w:eastAsia="宋体"/>
      <w:sz w:val="28"/>
      <w:szCs w:val="28"/>
    </w:rPr>
  </w:style>
  <w:style w:type="character" w:customStyle="1" w:styleId="81">
    <w:name w:val="标题 2 Char2"/>
    <w:link w:val="4"/>
    <w:autoRedefine/>
    <w:qFormat/>
    <w:uiPriority w:val="0"/>
    <w:rPr>
      <w:b/>
      <w:sz w:val="24"/>
      <w:szCs w:val="24"/>
    </w:rPr>
  </w:style>
  <w:style w:type="character" w:customStyle="1" w:styleId="82">
    <w:name w:val="标题 3 Char3"/>
    <w:link w:val="6"/>
    <w:autoRedefine/>
    <w:qFormat/>
    <w:uiPriority w:val="0"/>
    <w:rPr>
      <w:rFonts w:eastAsia="宋体"/>
      <w:b/>
      <w:bCs/>
      <w:kern w:val="2"/>
      <w:sz w:val="32"/>
      <w:szCs w:val="32"/>
      <w:lang w:val="en-US" w:eastAsia="zh-CN" w:bidi="ar-SA"/>
    </w:rPr>
  </w:style>
  <w:style w:type="character" w:customStyle="1" w:styleId="83">
    <w:name w:val="标题 4 Char1"/>
    <w:link w:val="7"/>
    <w:autoRedefine/>
    <w:qFormat/>
    <w:uiPriority w:val="0"/>
    <w:rPr>
      <w:rFonts w:ascii="Arial" w:hAnsi="Arial" w:eastAsia="黑体"/>
      <w:b/>
      <w:bCs/>
      <w:kern w:val="2"/>
      <w:sz w:val="28"/>
      <w:szCs w:val="28"/>
    </w:rPr>
  </w:style>
  <w:style w:type="character" w:customStyle="1" w:styleId="84">
    <w:name w:val="标题 5 Char1"/>
    <w:link w:val="8"/>
    <w:autoRedefine/>
    <w:qFormat/>
    <w:uiPriority w:val="0"/>
    <w:rPr>
      <w:b/>
      <w:kern w:val="2"/>
      <w:sz w:val="28"/>
      <w:szCs w:val="24"/>
    </w:rPr>
  </w:style>
  <w:style w:type="character" w:customStyle="1" w:styleId="85">
    <w:name w:val="正文缩进 Char2"/>
    <w:link w:val="14"/>
    <w:autoRedefine/>
    <w:qFormat/>
    <w:uiPriority w:val="99"/>
    <w:rPr>
      <w:rFonts w:eastAsia="宋体"/>
      <w:spacing w:val="20"/>
      <w:kern w:val="2"/>
      <w:sz w:val="24"/>
      <w:lang w:val="en-US" w:eastAsia="zh-CN" w:bidi="ar-SA"/>
    </w:rPr>
  </w:style>
  <w:style w:type="character" w:customStyle="1" w:styleId="86">
    <w:name w:val="正文文本 Char4"/>
    <w:link w:val="21"/>
    <w:autoRedefine/>
    <w:qFormat/>
    <w:locked/>
    <w:uiPriority w:val="0"/>
    <w:rPr>
      <w:sz w:val="18"/>
    </w:rPr>
  </w:style>
  <w:style w:type="character" w:customStyle="1" w:styleId="87">
    <w:name w:val="题注 Char2"/>
    <w:link w:val="15"/>
    <w:autoRedefine/>
    <w:qFormat/>
    <w:uiPriority w:val="0"/>
    <w:rPr>
      <w:rFonts w:ascii="Times New Roman" w:hAnsi="Times New Roman" w:eastAsia="宋体" w:cs="Times New Roman"/>
      <w:b/>
      <w:bCs/>
      <w:color w:val="auto"/>
      <w:sz w:val="21"/>
      <w:szCs w:val="21"/>
      <w:lang w:val="en-US" w:eastAsia="zh-CN" w:bidi="ar-SA"/>
    </w:rPr>
  </w:style>
  <w:style w:type="character" w:customStyle="1" w:styleId="88">
    <w:name w:val="文档结构图 Char1"/>
    <w:link w:val="17"/>
    <w:autoRedefine/>
    <w:qFormat/>
    <w:uiPriority w:val="0"/>
    <w:rPr>
      <w:rFonts w:ascii="宋体"/>
      <w:kern w:val="2"/>
      <w:sz w:val="18"/>
      <w:szCs w:val="18"/>
    </w:rPr>
  </w:style>
  <w:style w:type="character" w:customStyle="1" w:styleId="89">
    <w:name w:val="批注文字 Char3"/>
    <w:link w:val="18"/>
    <w:autoRedefine/>
    <w:qFormat/>
    <w:locked/>
    <w:uiPriority w:val="0"/>
    <w:rPr>
      <w:rFonts w:ascii="Times New Roman" w:hAnsi="Times New Roman" w:eastAsia="宋体"/>
      <w:sz w:val="24"/>
    </w:rPr>
  </w:style>
  <w:style w:type="character" w:customStyle="1" w:styleId="90">
    <w:name w:val="正文文本缩进 Char1"/>
    <w:link w:val="23"/>
    <w:autoRedefine/>
    <w:semiHidden/>
    <w:qFormat/>
    <w:locked/>
    <w:uiPriority w:val="0"/>
    <w:rPr>
      <w:rFonts w:ascii="Times New Roman" w:hAnsi="Times New Roman" w:eastAsia="宋体"/>
      <w:sz w:val="24"/>
    </w:rPr>
  </w:style>
  <w:style w:type="character" w:customStyle="1" w:styleId="91">
    <w:name w:val="纯文本 Char1"/>
    <w:link w:val="29"/>
    <w:autoRedefine/>
    <w:qFormat/>
    <w:uiPriority w:val="0"/>
    <w:rPr>
      <w:rFonts w:ascii="宋体" w:hAnsi="Courier New" w:eastAsia="宋体"/>
      <w:kern w:val="2"/>
      <w:sz w:val="21"/>
      <w:szCs w:val="21"/>
      <w:lang w:val="en-US" w:eastAsia="zh-CN" w:bidi="ar-SA"/>
    </w:rPr>
  </w:style>
  <w:style w:type="character" w:customStyle="1" w:styleId="92">
    <w:name w:val="日期 Char1"/>
    <w:link w:val="32"/>
    <w:autoRedefine/>
    <w:qFormat/>
    <w:locked/>
    <w:uiPriority w:val="0"/>
    <w:rPr>
      <w:rFonts w:ascii="Times New Roman" w:hAnsi="Times New Roman" w:eastAsia="宋体"/>
      <w:sz w:val="24"/>
    </w:rPr>
  </w:style>
  <w:style w:type="character" w:customStyle="1" w:styleId="93">
    <w:name w:val="正文文本缩进 2 Char1"/>
    <w:link w:val="24"/>
    <w:autoRedefine/>
    <w:qFormat/>
    <w:uiPriority w:val="0"/>
    <w:rPr>
      <w:kern w:val="2"/>
      <w:sz w:val="28"/>
      <w:szCs w:val="24"/>
    </w:rPr>
  </w:style>
  <w:style w:type="character" w:customStyle="1" w:styleId="94">
    <w:name w:val="批注框文本 Char1"/>
    <w:link w:val="33"/>
    <w:autoRedefine/>
    <w:qFormat/>
    <w:locked/>
    <w:uiPriority w:val="0"/>
    <w:rPr>
      <w:rFonts w:ascii="Times New Roman" w:hAnsi="Times New Roman" w:eastAsia="宋体"/>
      <w:sz w:val="18"/>
    </w:rPr>
  </w:style>
  <w:style w:type="character" w:customStyle="1" w:styleId="95">
    <w:name w:val="页脚 Char2"/>
    <w:link w:val="34"/>
    <w:autoRedefine/>
    <w:qFormat/>
    <w:locked/>
    <w:uiPriority w:val="99"/>
    <w:rPr>
      <w:sz w:val="18"/>
    </w:rPr>
  </w:style>
  <w:style w:type="character" w:customStyle="1" w:styleId="96">
    <w:name w:val="页眉 Char2"/>
    <w:link w:val="35"/>
    <w:autoRedefine/>
    <w:qFormat/>
    <w:locked/>
    <w:uiPriority w:val="0"/>
    <w:rPr>
      <w:sz w:val="18"/>
    </w:rPr>
  </w:style>
  <w:style w:type="character" w:customStyle="1" w:styleId="97">
    <w:name w:val="副标题 Char2"/>
    <w:link w:val="38"/>
    <w:autoRedefine/>
    <w:qFormat/>
    <w:uiPriority w:val="0"/>
    <w:rPr>
      <w:rFonts w:ascii="宋体" w:hAnsi="宋体" w:eastAsia="仿宋" w:cs="宋体"/>
      <w:spacing w:val="-16"/>
      <w:kern w:val="2"/>
      <w:sz w:val="21"/>
      <w:szCs w:val="21"/>
    </w:rPr>
  </w:style>
  <w:style w:type="character" w:customStyle="1" w:styleId="98">
    <w:name w:val="脚注文本 Char1"/>
    <w:link w:val="40"/>
    <w:autoRedefine/>
    <w:qFormat/>
    <w:uiPriority w:val="0"/>
    <w:rPr>
      <w:rFonts w:ascii="Arial" w:hAnsi="Arial" w:eastAsia="仿宋_GB2312"/>
      <w:sz w:val="18"/>
      <w:szCs w:val="18"/>
    </w:rPr>
  </w:style>
  <w:style w:type="character" w:customStyle="1" w:styleId="99">
    <w:name w:val="正文文本缩进 3 Char2"/>
    <w:link w:val="42"/>
    <w:autoRedefine/>
    <w:qFormat/>
    <w:uiPriority w:val="0"/>
    <w:rPr>
      <w:kern w:val="2"/>
      <w:sz w:val="16"/>
      <w:szCs w:val="16"/>
    </w:rPr>
  </w:style>
  <w:style w:type="character" w:customStyle="1" w:styleId="100">
    <w:name w:val="正文文本 2 Char1"/>
    <w:link w:val="46"/>
    <w:autoRedefine/>
    <w:qFormat/>
    <w:uiPriority w:val="0"/>
    <w:rPr>
      <w:kern w:val="2"/>
      <w:sz w:val="28"/>
      <w:szCs w:val="24"/>
    </w:rPr>
  </w:style>
  <w:style w:type="character" w:customStyle="1" w:styleId="101">
    <w:name w:val="HTML 预设格式 Char1"/>
    <w:link w:val="47"/>
    <w:autoRedefine/>
    <w:qFormat/>
    <w:uiPriority w:val="0"/>
    <w:rPr>
      <w:rFonts w:ascii="Arial" w:hAnsi="Arial"/>
      <w:kern w:val="2"/>
      <w:sz w:val="21"/>
      <w:szCs w:val="21"/>
    </w:rPr>
  </w:style>
  <w:style w:type="character" w:customStyle="1" w:styleId="102">
    <w:name w:val="普通(网站) Char1"/>
    <w:link w:val="48"/>
    <w:autoRedefine/>
    <w:qFormat/>
    <w:locked/>
    <w:uiPriority w:val="99"/>
    <w:rPr>
      <w:rFonts w:ascii="宋体" w:hAnsi="宋体" w:eastAsia="宋体"/>
      <w:sz w:val="24"/>
    </w:rPr>
  </w:style>
  <w:style w:type="character" w:customStyle="1" w:styleId="103">
    <w:name w:val="标题 Char2"/>
    <w:link w:val="50"/>
    <w:autoRedefine/>
    <w:qFormat/>
    <w:uiPriority w:val="0"/>
    <w:rPr>
      <w:rFonts w:ascii="Cambria" w:hAnsi="Cambria" w:eastAsia="Times New Roman"/>
      <w:b/>
      <w:bCs/>
      <w:kern w:val="2"/>
      <w:sz w:val="21"/>
      <w:szCs w:val="32"/>
    </w:rPr>
  </w:style>
  <w:style w:type="character" w:customStyle="1" w:styleId="104">
    <w:name w:val="批注主题 Char1"/>
    <w:link w:val="51"/>
    <w:autoRedefine/>
    <w:qFormat/>
    <w:locked/>
    <w:uiPriority w:val="0"/>
    <w:rPr>
      <w:rFonts w:ascii="Times New Roman" w:hAnsi="Times New Roman" w:eastAsia="宋体"/>
      <w:b/>
      <w:kern w:val="2"/>
      <w:sz w:val="24"/>
    </w:rPr>
  </w:style>
  <w:style w:type="character" w:customStyle="1" w:styleId="105">
    <w:name w:val="正文首行缩进 Char1"/>
    <w:link w:val="52"/>
    <w:autoRedefine/>
    <w:qFormat/>
    <w:locked/>
    <w:uiPriority w:val="0"/>
    <w:rPr>
      <w:rFonts w:eastAsia="宋体"/>
      <w:kern w:val="2"/>
      <w:sz w:val="21"/>
      <w:szCs w:val="24"/>
      <w:lang w:val="en-US" w:eastAsia="zh-CN" w:bidi="ar-SA"/>
    </w:rPr>
  </w:style>
  <w:style w:type="character" w:customStyle="1" w:styleId="106">
    <w:name w:val="正文首行缩进 2 Char1"/>
    <w:link w:val="25"/>
    <w:autoRedefine/>
    <w:qFormat/>
    <w:uiPriority w:val="0"/>
    <w:rPr>
      <w:kern w:val="2"/>
      <w:sz w:val="21"/>
      <w:szCs w:val="24"/>
    </w:rPr>
  </w:style>
  <w:style w:type="paragraph" w:customStyle="1" w:styleId="107">
    <w:name w:val="Char Char Char Char Char Char Char"/>
    <w:basedOn w:val="1"/>
    <w:autoRedefine/>
    <w:qFormat/>
    <w:uiPriority w:val="0"/>
    <w:rPr>
      <w:rFonts w:ascii="Calibri" w:hAnsi="Calibri"/>
    </w:rPr>
  </w:style>
  <w:style w:type="paragraph" w:customStyle="1" w:styleId="108">
    <w:name w:val="正文文本 (13)"/>
    <w:basedOn w:val="1"/>
    <w:autoRedefine/>
    <w:qFormat/>
    <w:uiPriority w:val="0"/>
    <w:pPr>
      <w:shd w:val="clear" w:color="auto" w:fill="FFFFFF"/>
      <w:spacing w:line="494" w:lineRule="exact"/>
    </w:pPr>
    <w:rPr>
      <w:sz w:val="28"/>
      <w:szCs w:val="28"/>
      <w:lang w:eastAsia="en-US"/>
    </w:rPr>
  </w:style>
  <w:style w:type="paragraph" w:customStyle="1" w:styleId="109">
    <w:name w:val="默认段落字体 Para Char"/>
    <w:basedOn w:val="1"/>
    <w:autoRedefine/>
    <w:qFormat/>
    <w:uiPriority w:val="0"/>
  </w:style>
  <w:style w:type="character" w:customStyle="1" w:styleId="110">
    <w:name w:val="页脚 字符"/>
    <w:autoRedefine/>
    <w:qFormat/>
    <w:uiPriority w:val="99"/>
  </w:style>
  <w:style w:type="character" w:customStyle="1" w:styleId="111">
    <w:name w:val="正文文本 字符1"/>
    <w:autoRedefine/>
    <w:semiHidden/>
    <w:qFormat/>
    <w:uiPriority w:val="0"/>
    <w:rPr>
      <w:rFonts w:ascii="Times New Roman" w:hAnsi="Times New Roman" w:eastAsia="宋体"/>
      <w:sz w:val="24"/>
    </w:rPr>
  </w:style>
  <w:style w:type="character" w:customStyle="1" w:styleId="112">
    <w:name w:val="表格 Char"/>
    <w:link w:val="77"/>
    <w:autoRedefine/>
    <w:qFormat/>
    <w:locked/>
    <w:uiPriority w:val="0"/>
    <w:rPr>
      <w:rFonts w:ascii="宋体"/>
      <w:sz w:val="21"/>
    </w:rPr>
  </w:style>
  <w:style w:type="character" w:customStyle="1" w:styleId="113">
    <w:name w:val="日期 字符"/>
    <w:autoRedefine/>
    <w:semiHidden/>
    <w:qFormat/>
    <w:uiPriority w:val="0"/>
    <w:rPr>
      <w:rFonts w:ascii="Times New Roman" w:hAnsi="Times New Roman" w:eastAsia="宋体"/>
      <w:sz w:val="24"/>
    </w:rPr>
  </w:style>
  <w:style w:type="character" w:customStyle="1" w:styleId="114">
    <w:name w:val="批注文字 字符1"/>
    <w:autoRedefine/>
    <w:semiHidden/>
    <w:qFormat/>
    <w:uiPriority w:val="0"/>
    <w:rPr>
      <w:rFonts w:ascii="Times New Roman" w:hAnsi="Times New Roman" w:eastAsia="宋体"/>
      <w:sz w:val="24"/>
    </w:rPr>
  </w:style>
  <w:style w:type="paragraph" w:customStyle="1" w:styleId="115">
    <w:name w:val="正文_10"/>
    <w:autoRedefine/>
    <w:qFormat/>
    <w:uiPriority w:val="0"/>
    <w:pPr>
      <w:widowControl w:val="0"/>
      <w:spacing w:after="160" w:line="278" w:lineRule="auto"/>
      <w:jc w:val="both"/>
    </w:pPr>
    <w:rPr>
      <w:rFonts w:ascii="Times New Roman" w:hAnsi="Times New Roman" w:eastAsia="宋体" w:cs="Times New Roman"/>
      <w:kern w:val="2"/>
      <w:sz w:val="21"/>
      <w:szCs w:val="22"/>
      <w:lang w:val="en-US" w:eastAsia="zh-CN" w:bidi="ar-SA"/>
    </w:rPr>
  </w:style>
  <w:style w:type="paragraph" w:customStyle="1" w:styleId="116">
    <w:name w:val="普通(网站)2"/>
    <w:basedOn w:val="1"/>
    <w:autoRedefine/>
    <w:qFormat/>
    <w:uiPriority w:val="0"/>
    <w:pPr>
      <w:widowControl/>
      <w:spacing w:before="100" w:beforeAutospacing="1" w:after="100" w:afterAutospacing="1"/>
      <w:jc w:val="left"/>
    </w:pPr>
    <w:rPr>
      <w:rFonts w:ascii="宋体" w:hAnsi="宋体"/>
    </w:rPr>
  </w:style>
  <w:style w:type="character" w:customStyle="1" w:styleId="117">
    <w:name w:val="Char Char3"/>
    <w:autoRedefine/>
    <w:qFormat/>
    <w:uiPriority w:val="0"/>
    <w:rPr>
      <w:kern w:val="2"/>
      <w:sz w:val="28"/>
      <w:szCs w:val="24"/>
    </w:rPr>
  </w:style>
  <w:style w:type="character" w:customStyle="1" w:styleId="118">
    <w:name w:val="11正文格式 Char"/>
    <w:link w:val="119"/>
    <w:autoRedefine/>
    <w:qFormat/>
    <w:uiPriority w:val="0"/>
    <w:rPr>
      <w:color w:val="C00000"/>
      <w:sz w:val="24"/>
      <w:szCs w:val="24"/>
      <w:lang w:bidi="ar-SA"/>
    </w:rPr>
  </w:style>
  <w:style w:type="paragraph" w:customStyle="1" w:styleId="119">
    <w:name w:val="11正文格式"/>
    <w:basedOn w:val="1"/>
    <w:link w:val="118"/>
    <w:autoRedefine/>
    <w:qFormat/>
    <w:uiPriority w:val="0"/>
    <w:pPr>
      <w:adjustRightInd w:val="0"/>
      <w:snapToGrid w:val="0"/>
      <w:spacing w:line="360" w:lineRule="auto"/>
      <w:ind w:firstLine="200" w:firstLineChars="200"/>
    </w:pPr>
    <w:rPr>
      <w:color w:val="C00000"/>
      <w:szCs w:val="24"/>
      <w:lang w:val="zh-CN"/>
    </w:rPr>
  </w:style>
  <w:style w:type="character" w:customStyle="1" w:styleId="120">
    <w:name w:val="标题 3 Char Char Char Char Char2"/>
    <w:autoRedefine/>
    <w:qFormat/>
    <w:uiPriority w:val="0"/>
    <w:rPr>
      <w:rFonts w:ascii="Times New Roman" w:hAnsi="Times New Roman" w:eastAsia="宋体" w:cs="Times New Roman"/>
      <w:b/>
      <w:bCs/>
      <w:sz w:val="32"/>
      <w:szCs w:val="32"/>
    </w:rPr>
  </w:style>
  <w:style w:type="character" w:customStyle="1" w:styleId="121">
    <w:name w:val="图表标注 Char"/>
    <w:link w:val="122"/>
    <w:autoRedefine/>
    <w:qFormat/>
    <w:locked/>
    <w:uiPriority w:val="0"/>
    <w:rPr>
      <w:rFonts w:ascii="黑体" w:hAnsi="黑体" w:eastAsia="黑体"/>
      <w:lang w:bidi="ar-SA"/>
    </w:rPr>
  </w:style>
  <w:style w:type="paragraph" w:customStyle="1" w:styleId="122">
    <w:name w:val="图表标注"/>
    <w:basedOn w:val="1"/>
    <w:link w:val="121"/>
    <w:autoRedefine/>
    <w:qFormat/>
    <w:uiPriority w:val="0"/>
    <w:pPr>
      <w:spacing w:line="480" w:lineRule="exact"/>
      <w:jc w:val="center"/>
    </w:pPr>
    <w:rPr>
      <w:rFonts w:ascii="黑体" w:hAnsi="黑体" w:eastAsia="黑体"/>
      <w:sz w:val="20"/>
      <w:lang w:val="zh-CN"/>
    </w:rPr>
  </w:style>
  <w:style w:type="character" w:customStyle="1" w:styleId="123">
    <w:name w:val="正文（首行缩进两字） Char Char9"/>
    <w:autoRedefine/>
    <w:qFormat/>
    <w:uiPriority w:val="0"/>
    <w:rPr>
      <w:rFonts w:eastAsia="宋体"/>
      <w:spacing w:val="20"/>
      <w:kern w:val="2"/>
      <w:sz w:val="24"/>
      <w:lang w:val="en-US" w:eastAsia="zh-CN" w:bidi="ar-SA"/>
    </w:rPr>
  </w:style>
  <w:style w:type="character" w:customStyle="1" w:styleId="124">
    <w:name w:val="孙普文字 Char"/>
    <w:autoRedefine/>
    <w:qFormat/>
    <w:uiPriority w:val="0"/>
    <w:rPr>
      <w:rFonts w:ascii="宋体" w:hAnsi="Courier New" w:eastAsia="宋体"/>
      <w:kern w:val="2"/>
      <w:sz w:val="21"/>
      <w:szCs w:val="21"/>
      <w:lang w:val="en-US" w:eastAsia="zh-CN" w:bidi="ar-SA"/>
    </w:rPr>
  </w:style>
  <w:style w:type="character" w:customStyle="1" w:styleId="125">
    <w:name w:val="表内文字 Char Char"/>
    <w:link w:val="126"/>
    <w:autoRedefine/>
    <w:qFormat/>
    <w:uiPriority w:val="0"/>
    <w:rPr>
      <w:rFonts w:eastAsia="宋体"/>
      <w:kern w:val="2"/>
      <w:sz w:val="24"/>
      <w:lang w:val="en-US" w:eastAsia="zh-CN" w:bidi="ar-SA"/>
    </w:rPr>
  </w:style>
  <w:style w:type="paragraph" w:customStyle="1" w:styleId="126">
    <w:name w:val="表内文字"/>
    <w:basedOn w:val="127"/>
    <w:link w:val="125"/>
    <w:autoRedefine/>
    <w:qFormat/>
    <w:uiPriority w:val="0"/>
    <w:pPr>
      <w:spacing w:line="600" w:lineRule="exact"/>
      <w:jc w:val="center"/>
    </w:pPr>
    <w:rPr>
      <w:szCs w:val="20"/>
    </w:rPr>
  </w:style>
  <w:style w:type="paragraph" w:customStyle="1" w:styleId="127">
    <w:name w:val="正文内容"/>
    <w:autoRedefine/>
    <w:qFormat/>
    <w:uiPriority w:val="0"/>
    <w:pPr>
      <w:widowControl w:val="0"/>
      <w:snapToGrid w:val="0"/>
      <w:spacing w:after="160" w:line="360" w:lineRule="auto"/>
      <w:ind w:firstLine="200" w:firstLineChars="200"/>
      <w:jc w:val="both"/>
    </w:pPr>
    <w:rPr>
      <w:rFonts w:ascii="Times New Roman" w:hAnsi="Times New Roman" w:eastAsia="宋体" w:cs="Times New Roman"/>
      <w:kern w:val="2"/>
      <w:sz w:val="24"/>
      <w:szCs w:val="24"/>
      <w:lang w:val="en-US" w:eastAsia="zh-CN" w:bidi="ar-SA"/>
    </w:rPr>
  </w:style>
  <w:style w:type="character" w:customStyle="1" w:styleId="128">
    <w:name w:val="apple-style-span"/>
    <w:autoRedefine/>
    <w:qFormat/>
    <w:uiPriority w:val="0"/>
  </w:style>
  <w:style w:type="character" w:customStyle="1" w:styleId="129">
    <w:name w:val="批注文字 Char1"/>
    <w:autoRedefine/>
    <w:qFormat/>
    <w:uiPriority w:val="0"/>
    <w:rPr>
      <w:rFonts w:eastAsia="宋体"/>
      <w:kern w:val="2"/>
      <w:sz w:val="28"/>
      <w:szCs w:val="24"/>
      <w:lang w:val="en-US" w:eastAsia="zh-CN" w:bidi="ar-SA"/>
    </w:rPr>
  </w:style>
  <w:style w:type="character" w:customStyle="1" w:styleId="130">
    <w:name w:val="Char Char Char"/>
    <w:autoRedefine/>
    <w:qFormat/>
    <w:uiPriority w:val="0"/>
    <w:rPr>
      <w:rFonts w:eastAsia="宋体"/>
      <w:kern w:val="2"/>
      <w:sz w:val="28"/>
      <w:szCs w:val="24"/>
      <w:lang w:val="en-US" w:eastAsia="zh-CN" w:bidi="ar-SA"/>
    </w:rPr>
  </w:style>
  <w:style w:type="character" w:customStyle="1" w:styleId="131">
    <w:name w:val="特点 Char1"/>
    <w:autoRedefine/>
    <w:qFormat/>
    <w:uiPriority w:val="0"/>
    <w:rPr>
      <w:rFonts w:eastAsia="宋体"/>
      <w:spacing w:val="20"/>
      <w:kern w:val="2"/>
      <w:sz w:val="24"/>
      <w:lang w:val="en-US" w:eastAsia="zh-CN" w:bidi="ar-SA"/>
    </w:rPr>
  </w:style>
  <w:style w:type="character" w:customStyle="1" w:styleId="132">
    <w:name w:val="ourfont11"/>
    <w:autoRedefine/>
    <w:qFormat/>
    <w:uiPriority w:val="0"/>
    <w:rPr>
      <w:sz w:val="20"/>
      <w:szCs w:val="20"/>
    </w:rPr>
  </w:style>
  <w:style w:type="character" w:customStyle="1" w:styleId="133">
    <w:name w:val="Char Char2"/>
    <w:autoRedefine/>
    <w:qFormat/>
    <w:locked/>
    <w:uiPriority w:val="0"/>
    <w:rPr>
      <w:rFonts w:eastAsia="宋体"/>
      <w:kern w:val="2"/>
      <w:sz w:val="28"/>
      <w:szCs w:val="24"/>
      <w:lang w:val="en-US" w:eastAsia="zh-CN" w:bidi="ar-SA"/>
    </w:rPr>
  </w:style>
  <w:style w:type="character" w:customStyle="1" w:styleId="134">
    <w:name w:val="标题 3 Char Char Char"/>
    <w:autoRedefine/>
    <w:qFormat/>
    <w:uiPriority w:val="0"/>
    <w:rPr>
      <w:rFonts w:eastAsia="宋体"/>
      <w:b/>
      <w:bCs/>
      <w:kern w:val="2"/>
      <w:sz w:val="30"/>
      <w:szCs w:val="32"/>
      <w:lang w:val="en-US" w:eastAsia="zh-CN" w:bidi="ar-SA"/>
    </w:rPr>
  </w:style>
  <w:style w:type="character" w:customStyle="1" w:styleId="135">
    <w:name w:val="111正文格式111 Char"/>
    <w:link w:val="136"/>
    <w:autoRedefine/>
    <w:qFormat/>
    <w:uiPriority w:val="0"/>
    <w:rPr>
      <w:bCs/>
      <w:kern w:val="2"/>
      <w:sz w:val="24"/>
      <w:szCs w:val="24"/>
      <w:lang w:bidi="ar-SA"/>
    </w:rPr>
  </w:style>
  <w:style w:type="paragraph" w:customStyle="1" w:styleId="136">
    <w:name w:val="111正文格式111"/>
    <w:basedOn w:val="1"/>
    <w:link w:val="135"/>
    <w:autoRedefine/>
    <w:qFormat/>
    <w:uiPriority w:val="0"/>
    <w:pPr>
      <w:adjustRightInd w:val="0"/>
      <w:snapToGrid w:val="0"/>
      <w:spacing w:line="360" w:lineRule="auto"/>
      <w:ind w:firstLine="200" w:firstLineChars="200"/>
    </w:pPr>
    <w:rPr>
      <w:bCs/>
      <w:szCs w:val="24"/>
      <w:lang w:val="zh-CN"/>
    </w:rPr>
  </w:style>
  <w:style w:type="character" w:customStyle="1" w:styleId="137">
    <w:name w:val="5文章(治) Char"/>
    <w:link w:val="138"/>
    <w:autoRedefine/>
    <w:qFormat/>
    <w:uiPriority w:val="0"/>
    <w:rPr>
      <w:rFonts w:eastAsia="宋体"/>
      <w:color w:val="000000"/>
      <w:sz w:val="24"/>
      <w:lang w:bidi="ar-SA"/>
    </w:rPr>
  </w:style>
  <w:style w:type="paragraph" w:customStyle="1" w:styleId="138">
    <w:name w:val="5文章(治)"/>
    <w:basedOn w:val="1"/>
    <w:link w:val="137"/>
    <w:autoRedefine/>
    <w:qFormat/>
    <w:uiPriority w:val="0"/>
    <w:pPr>
      <w:spacing w:line="360" w:lineRule="auto"/>
      <w:ind w:firstLine="560" w:firstLineChars="200"/>
    </w:pPr>
    <w:rPr>
      <w:color w:val="000000"/>
      <w:lang w:val="zh-CN"/>
    </w:rPr>
  </w:style>
  <w:style w:type="character" w:customStyle="1" w:styleId="139">
    <w:name w:val="A正文 Char"/>
    <w:link w:val="73"/>
    <w:autoRedefine/>
    <w:qFormat/>
    <w:uiPriority w:val="0"/>
    <w:rPr>
      <w:sz w:val="24"/>
      <w:szCs w:val="24"/>
      <w:lang w:bidi="ar-SA"/>
    </w:rPr>
  </w:style>
  <w:style w:type="character" w:customStyle="1" w:styleId="140">
    <w:name w:val="表格居中 Char"/>
    <w:link w:val="141"/>
    <w:autoRedefine/>
    <w:qFormat/>
    <w:uiPriority w:val="99"/>
    <w:rPr>
      <w:rFonts w:eastAsia="Times New Roman"/>
      <w:kern w:val="2"/>
      <w:sz w:val="24"/>
      <w:szCs w:val="24"/>
      <w:lang w:val="en-US" w:eastAsia="zh-CN" w:bidi="ar-SA"/>
    </w:rPr>
  </w:style>
  <w:style w:type="paragraph" w:customStyle="1" w:styleId="141">
    <w:name w:val="表格居中"/>
    <w:link w:val="140"/>
    <w:autoRedefine/>
    <w:qFormat/>
    <w:uiPriority w:val="99"/>
    <w:pPr>
      <w:spacing w:after="160" w:line="440" w:lineRule="exact"/>
      <w:jc w:val="center"/>
    </w:pPr>
    <w:rPr>
      <w:rFonts w:ascii="Times New Roman" w:hAnsi="Times New Roman" w:eastAsia="Times New Roman" w:cs="Times New Roman"/>
      <w:kern w:val="2"/>
      <w:sz w:val="24"/>
      <w:szCs w:val="24"/>
      <w:lang w:val="en-US" w:eastAsia="zh-CN" w:bidi="ar-SA"/>
    </w:rPr>
  </w:style>
  <w:style w:type="character" w:customStyle="1" w:styleId="142">
    <w:name w:val="表 Char"/>
    <w:link w:val="143"/>
    <w:autoRedefine/>
    <w:qFormat/>
    <w:uiPriority w:val="0"/>
    <w:rPr>
      <w:spacing w:val="2"/>
      <w:kern w:val="2"/>
      <w:sz w:val="21"/>
      <w:lang w:bidi="ar-SA"/>
    </w:rPr>
  </w:style>
  <w:style w:type="paragraph" w:customStyle="1" w:styleId="143">
    <w:name w:val="表"/>
    <w:basedOn w:val="1"/>
    <w:link w:val="142"/>
    <w:autoRedefine/>
    <w:qFormat/>
    <w:uiPriority w:val="0"/>
    <w:pPr>
      <w:snapToGrid w:val="0"/>
      <w:jc w:val="center"/>
    </w:pPr>
    <w:rPr>
      <w:spacing w:val="2"/>
      <w:sz w:val="21"/>
      <w:lang w:val="zh-CN"/>
    </w:rPr>
  </w:style>
  <w:style w:type="character" w:customStyle="1" w:styleId="144">
    <w:name w:val="正文(首行缩进) Char Char"/>
    <w:link w:val="145"/>
    <w:autoRedefine/>
    <w:qFormat/>
    <w:uiPriority w:val="0"/>
    <w:rPr>
      <w:rFonts w:eastAsia="宋体"/>
      <w:snapToGrid w:val="0"/>
      <w:sz w:val="24"/>
      <w:szCs w:val="24"/>
      <w:lang w:val="en-US" w:eastAsia="zh-CN" w:bidi="ar-SA"/>
    </w:rPr>
  </w:style>
  <w:style w:type="paragraph" w:customStyle="1" w:styleId="145">
    <w:name w:val="正文(首行缩进)"/>
    <w:basedOn w:val="1"/>
    <w:link w:val="144"/>
    <w:autoRedefine/>
    <w:qFormat/>
    <w:uiPriority w:val="0"/>
    <w:pPr>
      <w:adjustRightInd w:val="0"/>
      <w:snapToGrid w:val="0"/>
      <w:spacing w:line="360" w:lineRule="auto"/>
      <w:ind w:firstLine="200" w:firstLineChars="200"/>
    </w:pPr>
    <w:rPr>
      <w:snapToGrid w:val="0"/>
      <w:szCs w:val="24"/>
    </w:rPr>
  </w:style>
  <w:style w:type="character" w:customStyle="1" w:styleId="146">
    <w:name w:val="t_tag"/>
    <w:autoRedefine/>
    <w:qFormat/>
    <w:uiPriority w:val="0"/>
  </w:style>
  <w:style w:type="character" w:customStyle="1" w:styleId="147">
    <w:name w:val="Char Char4"/>
    <w:autoRedefine/>
    <w:qFormat/>
    <w:locked/>
    <w:uiPriority w:val="0"/>
    <w:rPr>
      <w:rFonts w:ascii="宋体" w:hAnsi="Courier New" w:eastAsia="宋体"/>
      <w:kern w:val="2"/>
      <w:sz w:val="21"/>
      <w:szCs w:val="21"/>
      <w:lang w:val="en-US" w:eastAsia="zh-CN" w:bidi="ar-SA"/>
    </w:rPr>
  </w:style>
  <w:style w:type="character" w:customStyle="1" w:styleId="148">
    <w:name w:val="表格文字 Char"/>
    <w:link w:val="149"/>
    <w:autoRedefine/>
    <w:qFormat/>
    <w:locked/>
    <w:uiPriority w:val="0"/>
    <w:rPr>
      <w:rFonts w:eastAsia="仿宋_GB2312"/>
      <w:sz w:val="24"/>
      <w:lang w:val="en-US" w:eastAsia="zh-CN" w:bidi="ar-SA"/>
    </w:rPr>
  </w:style>
  <w:style w:type="paragraph" w:customStyle="1" w:styleId="149">
    <w:name w:val="表格文字"/>
    <w:basedOn w:val="1"/>
    <w:link w:val="148"/>
    <w:autoRedefine/>
    <w:qFormat/>
    <w:uiPriority w:val="0"/>
    <w:pPr>
      <w:autoSpaceDE w:val="0"/>
      <w:autoSpaceDN w:val="0"/>
      <w:adjustRightInd w:val="0"/>
      <w:spacing w:before="60" w:after="60"/>
      <w:jc w:val="center"/>
      <w:textAlignment w:val="bottom"/>
    </w:pPr>
    <w:rPr>
      <w:rFonts w:eastAsia="仿宋_GB2312"/>
    </w:rPr>
  </w:style>
  <w:style w:type="character" w:customStyle="1" w:styleId="150">
    <w:name w:val="Char Char12"/>
    <w:autoRedefine/>
    <w:qFormat/>
    <w:uiPriority w:val="0"/>
    <w:rPr>
      <w:rFonts w:hint="eastAsia" w:ascii="宋体" w:hAnsi="宋体" w:eastAsia="宋体" w:cs="宋体"/>
      <w:kern w:val="2"/>
      <w:sz w:val="28"/>
      <w:szCs w:val="21"/>
      <w:lang w:val="en-US" w:eastAsia="zh-CN" w:bidi="ar"/>
    </w:rPr>
  </w:style>
  <w:style w:type="character" w:customStyle="1" w:styleId="151">
    <w:name w:val="11表头 Char"/>
    <w:link w:val="152"/>
    <w:autoRedefine/>
    <w:qFormat/>
    <w:uiPriority w:val="0"/>
    <w:rPr>
      <w:rFonts w:eastAsia="黑体"/>
      <w:color w:val="C00000"/>
      <w:kern w:val="2"/>
      <w:sz w:val="24"/>
      <w:szCs w:val="24"/>
      <w:lang w:bidi="ar-SA"/>
    </w:rPr>
  </w:style>
  <w:style w:type="paragraph" w:customStyle="1" w:styleId="152">
    <w:name w:val="11表头"/>
    <w:basedOn w:val="1"/>
    <w:link w:val="151"/>
    <w:autoRedefine/>
    <w:qFormat/>
    <w:uiPriority w:val="0"/>
    <w:pPr>
      <w:snapToGrid w:val="0"/>
      <w:jc w:val="center"/>
    </w:pPr>
    <w:rPr>
      <w:rFonts w:eastAsia="黑体"/>
      <w:color w:val="C00000"/>
      <w:szCs w:val="24"/>
      <w:lang w:val="zh-CN"/>
    </w:rPr>
  </w:style>
  <w:style w:type="character" w:customStyle="1" w:styleId="153">
    <w:name w:val="Char Char6"/>
    <w:autoRedefine/>
    <w:qFormat/>
    <w:uiPriority w:val="0"/>
    <w:rPr>
      <w:rFonts w:eastAsia="宋体"/>
      <w:b/>
      <w:bCs/>
      <w:kern w:val="2"/>
      <w:sz w:val="32"/>
      <w:szCs w:val="32"/>
      <w:lang w:val="en-US" w:eastAsia="zh-CN" w:bidi="ar-SA"/>
    </w:rPr>
  </w:style>
  <w:style w:type="character" w:customStyle="1" w:styleId="154">
    <w:name w:val="Char Char"/>
    <w:link w:val="155"/>
    <w:autoRedefine/>
    <w:qFormat/>
    <w:uiPriority w:val="0"/>
    <w:rPr>
      <w:rFonts w:eastAsia="宋体"/>
      <w:kern w:val="2"/>
      <w:sz w:val="18"/>
      <w:szCs w:val="18"/>
      <w:lang w:val="en-US" w:eastAsia="zh-CN" w:bidi="ar-SA"/>
    </w:rPr>
  </w:style>
  <w:style w:type="paragraph" w:customStyle="1" w:styleId="155">
    <w:name w:val="Char"/>
    <w:basedOn w:val="1"/>
    <w:link w:val="154"/>
    <w:autoRedefine/>
    <w:qFormat/>
    <w:uiPriority w:val="0"/>
    <w:pPr>
      <w:spacing w:line="360" w:lineRule="auto"/>
      <w:ind w:firstLine="200" w:firstLineChars="200"/>
    </w:pPr>
    <w:rPr>
      <w:sz w:val="18"/>
      <w:szCs w:val="18"/>
    </w:rPr>
  </w:style>
  <w:style w:type="character" w:customStyle="1" w:styleId="156">
    <w:name w:val="报告 Char"/>
    <w:link w:val="157"/>
    <w:autoRedefine/>
    <w:qFormat/>
    <w:uiPriority w:val="0"/>
    <w:rPr>
      <w:rFonts w:ascii="TimesNewRoman" w:hAnsi="TimesNewRoman" w:eastAsia="宋体"/>
      <w:sz w:val="24"/>
      <w:lang w:val="en-US" w:eastAsia="zh-CN" w:bidi="ar-SA"/>
    </w:rPr>
  </w:style>
  <w:style w:type="paragraph" w:customStyle="1" w:styleId="157">
    <w:name w:val="报告"/>
    <w:basedOn w:val="1"/>
    <w:link w:val="156"/>
    <w:autoRedefine/>
    <w:qFormat/>
    <w:uiPriority w:val="0"/>
    <w:pPr>
      <w:adjustRightInd w:val="0"/>
      <w:spacing w:line="360" w:lineRule="auto"/>
      <w:ind w:firstLine="505"/>
      <w:textAlignment w:val="center"/>
    </w:pPr>
    <w:rPr>
      <w:rFonts w:ascii="TimesNewRoman" w:hAnsi="TimesNewRoman"/>
    </w:rPr>
  </w:style>
  <w:style w:type="character" w:customStyle="1" w:styleId="158">
    <w:name w:val="Char Char5"/>
    <w:autoRedefine/>
    <w:qFormat/>
    <w:uiPriority w:val="0"/>
    <w:rPr>
      <w:rFonts w:ascii="宋体" w:hAnsi="宋体" w:eastAsia="宋体" w:cs="宋体"/>
      <w:sz w:val="24"/>
      <w:szCs w:val="24"/>
      <w:lang w:val="en-US" w:eastAsia="zh-CN" w:bidi="ar-SA"/>
    </w:rPr>
  </w:style>
  <w:style w:type="character" w:customStyle="1" w:styleId="159">
    <w:name w:val="标题 3 Char Char Char Char Char"/>
    <w:autoRedefine/>
    <w:qFormat/>
    <w:uiPriority w:val="0"/>
    <w:rPr>
      <w:rFonts w:eastAsia="宋体"/>
      <w:b/>
      <w:bCs/>
      <w:kern w:val="2"/>
      <w:sz w:val="32"/>
      <w:szCs w:val="32"/>
      <w:lang w:val="en-US" w:eastAsia="zh-CN" w:bidi="ar-SA"/>
    </w:rPr>
  </w:style>
  <w:style w:type="character" w:customStyle="1" w:styleId="160">
    <w:name w:val="表格正文 Char"/>
    <w:link w:val="161"/>
    <w:autoRedefine/>
    <w:qFormat/>
    <w:uiPriority w:val="0"/>
    <w:rPr>
      <w:rFonts w:ascii="仿宋_GB2312" w:eastAsia="仿宋_GB2312"/>
      <w:kern w:val="2"/>
      <w:sz w:val="21"/>
      <w:szCs w:val="24"/>
      <w:lang w:val="en-US" w:eastAsia="zh-CN" w:bidi="ar-SA"/>
    </w:rPr>
  </w:style>
  <w:style w:type="paragraph" w:customStyle="1" w:styleId="161">
    <w:name w:val="表格正文"/>
    <w:basedOn w:val="1"/>
    <w:link w:val="160"/>
    <w:autoRedefine/>
    <w:qFormat/>
    <w:uiPriority w:val="0"/>
    <w:pPr>
      <w:jc w:val="center"/>
    </w:pPr>
    <w:rPr>
      <w:rFonts w:ascii="仿宋_GB2312" w:eastAsia="仿宋_GB2312"/>
      <w:sz w:val="21"/>
      <w:szCs w:val="24"/>
    </w:rPr>
  </w:style>
  <w:style w:type="character" w:customStyle="1" w:styleId="162">
    <w:name w:val="1正文段落 Char"/>
    <w:link w:val="163"/>
    <w:autoRedefine/>
    <w:qFormat/>
    <w:locked/>
    <w:uiPriority w:val="0"/>
    <w:rPr>
      <w:rFonts w:ascii="宋体" w:hAnsi="宋体" w:eastAsia="宋体"/>
      <w:snapToGrid w:val="0"/>
      <w:sz w:val="24"/>
      <w:lang w:val="en-US" w:eastAsia="zh-CN" w:bidi="ar-SA"/>
    </w:rPr>
  </w:style>
  <w:style w:type="paragraph" w:customStyle="1" w:styleId="163">
    <w:name w:val="1正文段落"/>
    <w:basedOn w:val="1"/>
    <w:link w:val="162"/>
    <w:autoRedefine/>
    <w:qFormat/>
    <w:uiPriority w:val="0"/>
    <w:pPr>
      <w:snapToGrid w:val="0"/>
      <w:spacing w:line="360" w:lineRule="auto"/>
      <w:ind w:firstLine="480" w:firstLineChars="200"/>
      <w:jc w:val="left"/>
    </w:pPr>
    <w:rPr>
      <w:rFonts w:ascii="宋体" w:hAnsi="宋体"/>
      <w:snapToGrid w:val="0"/>
    </w:rPr>
  </w:style>
  <w:style w:type="character" w:customStyle="1" w:styleId="164">
    <w:name w:val="A标准格式 Char Char"/>
    <w:link w:val="165"/>
    <w:autoRedefine/>
    <w:qFormat/>
    <w:uiPriority w:val="0"/>
    <w:rPr>
      <w:rFonts w:eastAsia="宋体"/>
      <w:kern w:val="2"/>
      <w:sz w:val="24"/>
      <w:szCs w:val="24"/>
      <w:lang w:val="en-US" w:eastAsia="zh-CN" w:bidi="ar-SA"/>
    </w:rPr>
  </w:style>
  <w:style w:type="paragraph" w:customStyle="1" w:styleId="165">
    <w:name w:val="A标准格式"/>
    <w:basedOn w:val="1"/>
    <w:link w:val="164"/>
    <w:autoRedefine/>
    <w:qFormat/>
    <w:uiPriority w:val="0"/>
    <w:pPr>
      <w:spacing w:line="440" w:lineRule="exact"/>
      <w:ind w:firstLine="480" w:firstLineChars="200"/>
    </w:pPr>
    <w:rPr>
      <w:szCs w:val="24"/>
    </w:rPr>
  </w:style>
  <w:style w:type="character" w:customStyle="1" w:styleId="166">
    <w:name w:val="表头 Char Char"/>
    <w:link w:val="76"/>
    <w:autoRedefine/>
    <w:qFormat/>
    <w:uiPriority w:val="0"/>
    <w:rPr>
      <w:rFonts w:hAnsi="宋体" w:eastAsia="宋体"/>
      <w:b/>
      <w:color w:val="000000"/>
      <w:kern w:val="2"/>
      <w:position w:val="2"/>
      <w:sz w:val="24"/>
      <w:szCs w:val="24"/>
      <w:lang w:val="en-US" w:eastAsia="zh-CN" w:bidi="ar-SA"/>
    </w:rPr>
  </w:style>
  <w:style w:type="character" w:customStyle="1" w:styleId="167">
    <w:name w:val="正文（首行缩进两字） Char Char Char Char Char Char Char Char"/>
    <w:autoRedefine/>
    <w:qFormat/>
    <w:uiPriority w:val="0"/>
    <w:rPr>
      <w:rFonts w:eastAsia="华文中宋"/>
      <w:w w:val="90"/>
      <w:sz w:val="28"/>
      <w:lang w:val="en-US" w:eastAsia="zh-CN" w:bidi="ar-SA"/>
    </w:rPr>
  </w:style>
  <w:style w:type="character" w:customStyle="1" w:styleId="168">
    <w:name w:val="普通文字 Char Char1"/>
    <w:autoRedefine/>
    <w:qFormat/>
    <w:uiPriority w:val="0"/>
    <w:rPr>
      <w:rFonts w:ascii="宋体" w:hAnsi="Courier New" w:eastAsia="宋体"/>
      <w:spacing w:val="-2"/>
      <w:kern w:val="28"/>
      <w:sz w:val="21"/>
      <w:lang w:val="en-US" w:eastAsia="zh-CN" w:bidi="ar-SA"/>
    </w:rPr>
  </w:style>
  <w:style w:type="character" w:customStyle="1" w:styleId="169">
    <w:name w:val="Char Char21"/>
    <w:autoRedefine/>
    <w:qFormat/>
    <w:uiPriority w:val="0"/>
    <w:rPr>
      <w:rFonts w:eastAsia="宋体"/>
      <w:kern w:val="2"/>
      <w:sz w:val="18"/>
      <w:szCs w:val="18"/>
      <w:lang w:val="en-US" w:eastAsia="zh-CN" w:bidi="ar-SA"/>
    </w:rPr>
  </w:style>
  <w:style w:type="character" w:customStyle="1" w:styleId="170">
    <w:name w:val="表格 Char Char"/>
    <w:autoRedefine/>
    <w:qFormat/>
    <w:uiPriority w:val="0"/>
    <w:rPr>
      <w:rFonts w:eastAsia="宋体"/>
      <w:kern w:val="2"/>
      <w:sz w:val="24"/>
      <w:lang w:val="en-US" w:eastAsia="zh-CN" w:bidi="ar-SA"/>
    </w:rPr>
  </w:style>
  <w:style w:type="character" w:customStyle="1" w:styleId="171">
    <w:name w:val="书籍标题1"/>
    <w:autoRedefine/>
    <w:qFormat/>
    <w:uiPriority w:val="0"/>
    <w:rPr>
      <w:b/>
    </w:rPr>
  </w:style>
  <w:style w:type="character" w:customStyle="1" w:styleId="172">
    <w:name w:val="正文（首行缩进） Char Char Char"/>
    <w:link w:val="173"/>
    <w:autoRedefine/>
    <w:qFormat/>
    <w:locked/>
    <w:uiPriority w:val="0"/>
    <w:rPr>
      <w:sz w:val="24"/>
      <w:lang w:bidi="ar-SA"/>
    </w:rPr>
  </w:style>
  <w:style w:type="paragraph" w:customStyle="1" w:styleId="173">
    <w:name w:val="正文（首行缩进） Char"/>
    <w:basedOn w:val="1"/>
    <w:link w:val="172"/>
    <w:autoRedefine/>
    <w:qFormat/>
    <w:uiPriority w:val="0"/>
    <w:pPr>
      <w:widowControl/>
      <w:overflowPunct w:val="0"/>
      <w:topLinePunct/>
      <w:autoSpaceDE w:val="0"/>
      <w:autoSpaceDN w:val="0"/>
      <w:adjustRightInd w:val="0"/>
      <w:snapToGrid w:val="0"/>
      <w:spacing w:line="360" w:lineRule="auto"/>
      <w:ind w:firstLine="480" w:firstLineChars="200"/>
    </w:pPr>
    <w:rPr>
      <w:lang w:val="zh-CN"/>
    </w:rPr>
  </w:style>
  <w:style w:type="character" w:customStyle="1" w:styleId="174">
    <w:name w:val="Char Char41"/>
    <w:autoRedefine/>
    <w:qFormat/>
    <w:uiPriority w:val="0"/>
    <w:rPr>
      <w:rFonts w:eastAsia="宋体"/>
      <w:kern w:val="2"/>
      <w:sz w:val="28"/>
      <w:szCs w:val="24"/>
      <w:lang w:val="en-US" w:eastAsia="zh-CN" w:bidi="ar-SA"/>
    </w:rPr>
  </w:style>
  <w:style w:type="character" w:customStyle="1" w:styleId="175">
    <w:name w:val="普通 (Web) Char1"/>
    <w:autoRedefine/>
    <w:qFormat/>
    <w:locked/>
    <w:uiPriority w:val="0"/>
    <w:rPr>
      <w:rFonts w:ascii="宋体" w:hAnsi="宋体" w:eastAsia="宋体" w:cs="宋体"/>
      <w:sz w:val="24"/>
      <w:szCs w:val="24"/>
      <w:lang w:val="en-US" w:eastAsia="zh-CN" w:bidi="ar-SA"/>
    </w:rPr>
  </w:style>
  <w:style w:type="character" w:customStyle="1" w:styleId="176">
    <w:name w:val="apple-converted-space"/>
    <w:autoRedefine/>
    <w:qFormat/>
    <w:uiPriority w:val="0"/>
  </w:style>
  <w:style w:type="character" w:customStyle="1" w:styleId="177">
    <w:name w:val="正文缩进 Char1"/>
    <w:autoRedefine/>
    <w:qFormat/>
    <w:uiPriority w:val="0"/>
    <w:rPr>
      <w:rFonts w:eastAsia="宋体"/>
      <w:spacing w:val="20"/>
      <w:sz w:val="24"/>
    </w:rPr>
  </w:style>
  <w:style w:type="character" w:customStyle="1" w:styleId="178">
    <w:name w:val="text06"/>
    <w:autoRedefine/>
    <w:qFormat/>
    <w:uiPriority w:val="0"/>
  </w:style>
  <w:style w:type="character" w:customStyle="1" w:styleId="179">
    <w:name w:val="0二级标题 Char"/>
    <w:link w:val="180"/>
    <w:autoRedefine/>
    <w:qFormat/>
    <w:uiPriority w:val="0"/>
    <w:rPr>
      <w:b/>
      <w:sz w:val="24"/>
      <w:lang w:bidi="en-US"/>
    </w:rPr>
  </w:style>
  <w:style w:type="paragraph" w:customStyle="1" w:styleId="180">
    <w:name w:val="0二级标题"/>
    <w:basedOn w:val="181"/>
    <w:link w:val="179"/>
    <w:autoRedefine/>
    <w:qFormat/>
    <w:uiPriority w:val="0"/>
    <w:pPr>
      <w:framePr w:hSpace="180" w:wrap="around" w:vAnchor="text" w:hAnchor="text" w:xAlign="center" w:y="1"/>
      <w:suppressOverlap/>
      <w:wordWrap/>
    </w:pPr>
    <w:rPr>
      <w:b/>
    </w:rPr>
  </w:style>
  <w:style w:type="paragraph" w:customStyle="1" w:styleId="181">
    <w:name w:val="0报告正文格式1"/>
    <w:basedOn w:val="1"/>
    <w:autoRedefine/>
    <w:qFormat/>
    <w:uiPriority w:val="0"/>
    <w:pPr>
      <w:widowControl/>
      <w:wordWrap w:val="0"/>
      <w:adjustRightInd w:val="0"/>
      <w:snapToGrid w:val="0"/>
      <w:spacing w:after="0" w:line="460" w:lineRule="exact"/>
      <w:ind w:firstLine="200" w:firstLineChars="200"/>
    </w:pPr>
    <w:rPr>
      <w:lang w:bidi="en-US"/>
    </w:rPr>
  </w:style>
  <w:style w:type="paragraph" w:customStyle="1" w:styleId="182">
    <w:name w:val="新正文"/>
    <w:basedOn w:val="1"/>
    <w:autoRedefine/>
    <w:qFormat/>
    <w:uiPriority w:val="0"/>
    <w:pPr>
      <w:spacing w:line="480" w:lineRule="exact"/>
      <w:ind w:firstLine="567"/>
    </w:pPr>
    <w:rPr>
      <w:rFonts w:ascii="仿宋_GB2312" w:eastAsia="仿宋_GB2312"/>
      <w:bCs/>
      <w:sz w:val="28"/>
    </w:rPr>
  </w:style>
  <w:style w:type="paragraph" w:customStyle="1" w:styleId="183">
    <w:name w:val="表格 32"/>
    <w:basedOn w:val="1"/>
    <w:autoRedefine/>
    <w:qFormat/>
    <w:uiPriority w:val="0"/>
    <w:pPr>
      <w:autoSpaceDE w:val="0"/>
      <w:autoSpaceDN w:val="0"/>
      <w:adjustRightInd w:val="0"/>
      <w:spacing w:line="240" w:lineRule="atLeast"/>
      <w:jc w:val="center"/>
    </w:pPr>
  </w:style>
  <w:style w:type="paragraph" w:customStyle="1" w:styleId="184">
    <w:name w:val="样式 列表 2 + 华文仿宋 居中"/>
    <w:basedOn w:val="26"/>
    <w:autoRedefine/>
    <w:qFormat/>
    <w:uiPriority w:val="0"/>
    <w:pPr>
      <w:spacing w:line="240" w:lineRule="exact"/>
      <w:ind w:left="0" w:leftChars="0" w:firstLine="0" w:firstLineChars="0"/>
      <w:jc w:val="center"/>
    </w:pPr>
    <w:rPr>
      <w:sz w:val="21"/>
    </w:rPr>
  </w:style>
  <w:style w:type="paragraph" w:customStyle="1" w:styleId="185">
    <w:name w:val="列出段落1"/>
    <w:basedOn w:val="1"/>
    <w:autoRedefine/>
    <w:qFormat/>
    <w:uiPriority w:val="0"/>
    <w:pPr>
      <w:autoSpaceDE w:val="0"/>
      <w:autoSpaceDN w:val="0"/>
      <w:ind w:left="1383" w:hanging="841"/>
      <w:jc w:val="left"/>
    </w:pPr>
    <w:rPr>
      <w:rFonts w:ascii="宋体" w:hAnsi="宋体" w:cs="宋体"/>
      <w:sz w:val="22"/>
      <w:szCs w:val="22"/>
    </w:rPr>
  </w:style>
  <w:style w:type="paragraph" w:customStyle="1" w:styleId="186">
    <w:name w:val="2 Char"/>
    <w:basedOn w:val="1"/>
    <w:autoRedefine/>
    <w:qFormat/>
    <w:uiPriority w:val="0"/>
    <w:pPr>
      <w:spacing w:line="360" w:lineRule="auto"/>
      <w:ind w:firstLine="200" w:firstLineChars="200"/>
    </w:pPr>
    <w:rPr>
      <w:rFonts w:ascii="宋体" w:hAnsi="宋体" w:cs="宋体"/>
    </w:rPr>
  </w:style>
  <w:style w:type="paragraph" w:customStyle="1" w:styleId="187">
    <w:name w:val="pic-info"/>
    <w:basedOn w:val="1"/>
    <w:autoRedefine/>
    <w:qFormat/>
    <w:uiPriority w:val="0"/>
    <w:pPr>
      <w:widowControl/>
      <w:spacing w:before="100" w:beforeAutospacing="1" w:after="100" w:afterAutospacing="1"/>
      <w:jc w:val="left"/>
    </w:pPr>
    <w:rPr>
      <w:rFonts w:ascii="宋体" w:hAnsi="宋体" w:cs="宋体"/>
    </w:rPr>
  </w:style>
  <w:style w:type="paragraph" w:customStyle="1" w:styleId="188">
    <w:name w:val="字元 字元"/>
    <w:basedOn w:val="1"/>
    <w:autoRedefine/>
    <w:qFormat/>
    <w:uiPriority w:val="0"/>
  </w:style>
  <w:style w:type="paragraph" w:customStyle="1" w:styleId="189">
    <w:name w:val="p0"/>
    <w:basedOn w:val="1"/>
    <w:autoRedefine/>
    <w:qFormat/>
    <w:uiPriority w:val="99"/>
    <w:pPr>
      <w:widowControl/>
      <w:snapToGrid w:val="0"/>
      <w:spacing w:line="312" w:lineRule="atLeast"/>
    </w:pPr>
  </w:style>
  <w:style w:type="paragraph" w:customStyle="1" w:styleId="190">
    <w:name w:val="zxz5"/>
    <w:next w:val="1"/>
    <w:autoRedefine/>
    <w:qFormat/>
    <w:uiPriority w:val="0"/>
    <w:pPr>
      <w:tabs>
        <w:tab w:val="left" w:pos="0"/>
      </w:tabs>
      <w:spacing w:after="160" w:line="278" w:lineRule="auto"/>
      <w:jc w:val="center"/>
    </w:pPr>
    <w:rPr>
      <w:rFonts w:ascii="Times New Roman" w:hAnsi="Times New Roman" w:eastAsia="宋体" w:cs="Times New Roman"/>
      <w:kern w:val="2"/>
      <w:sz w:val="24"/>
      <w:szCs w:val="21"/>
      <w:lang w:val="en-US" w:eastAsia="zh-CN" w:bidi="ar-SA"/>
    </w:rPr>
  </w:style>
  <w:style w:type="paragraph" w:customStyle="1" w:styleId="191">
    <w:name w:val="font5"/>
    <w:basedOn w:val="1"/>
    <w:autoRedefine/>
    <w:qFormat/>
    <w:uiPriority w:val="0"/>
    <w:pPr>
      <w:widowControl/>
      <w:spacing w:before="100" w:beforeAutospacing="1" w:after="100" w:afterAutospacing="1"/>
      <w:jc w:val="left"/>
    </w:pPr>
    <w:rPr>
      <w:rFonts w:hint="eastAsia" w:ascii="宋体" w:hAnsi="宋体"/>
      <w:sz w:val="18"/>
      <w:szCs w:val="18"/>
    </w:rPr>
  </w:style>
  <w:style w:type="paragraph" w:customStyle="1" w:styleId="192">
    <w:name w:val="默认段落字体 Para Char Char Char Char"/>
    <w:basedOn w:val="1"/>
    <w:autoRedefine/>
    <w:qFormat/>
    <w:uiPriority w:val="0"/>
    <w:pPr>
      <w:widowControl/>
      <w:jc w:val="left"/>
    </w:pPr>
    <w:rPr>
      <w:rFonts w:cs="宋体"/>
    </w:rPr>
  </w:style>
  <w:style w:type="paragraph" w:customStyle="1" w:styleId="193">
    <w:name w:val="中文报告书样式"/>
    <w:basedOn w:val="1"/>
    <w:autoRedefine/>
    <w:qFormat/>
    <w:uiPriority w:val="0"/>
    <w:pPr>
      <w:adjustRightInd w:val="0"/>
      <w:spacing w:line="480" w:lineRule="atLeast"/>
      <w:ind w:firstLine="482"/>
      <w:textAlignment w:val="baseline"/>
    </w:pPr>
    <w:rPr>
      <w:kern w:val="24"/>
    </w:rPr>
  </w:style>
  <w:style w:type="paragraph" w:customStyle="1" w:styleId="194">
    <w:name w:val="标题 31"/>
    <w:basedOn w:val="1"/>
    <w:next w:val="1"/>
    <w:autoRedefine/>
    <w:qFormat/>
    <w:uiPriority w:val="0"/>
    <w:pPr>
      <w:keepNext/>
      <w:keepLines/>
      <w:tabs>
        <w:tab w:val="left" w:pos="1620"/>
      </w:tabs>
      <w:spacing w:before="156" w:beforeLines="50" w:line="460" w:lineRule="exact"/>
      <w:ind w:firstLine="573"/>
      <w:outlineLvl w:val="2"/>
    </w:pPr>
    <w:rPr>
      <w:rFonts w:ascii="ºÚÌå" w:hAnsi="宋体" w:cs="ºÚÌå"/>
      <w:b/>
      <w:bCs/>
      <w:spacing w:val="-8"/>
      <w:sz w:val="30"/>
    </w:rPr>
  </w:style>
  <w:style w:type="paragraph" w:customStyle="1" w:styleId="195">
    <w:name w:val="正文2"/>
    <w:autoRedefine/>
    <w:qFormat/>
    <w:uiPriority w:val="0"/>
    <w:pPr>
      <w:spacing w:after="160" w:line="278" w:lineRule="auto"/>
    </w:pPr>
    <w:rPr>
      <w:rFonts w:ascii="Times New Roman" w:hAnsi="Times New Roman" w:eastAsia="宋体" w:cs="宋体"/>
      <w:kern w:val="2"/>
      <w:sz w:val="28"/>
      <w:szCs w:val="21"/>
      <w:lang w:val="en-US" w:eastAsia="zh-CN" w:bidi="ar-SA"/>
    </w:rPr>
  </w:style>
  <w:style w:type="paragraph" w:customStyle="1" w:styleId="196">
    <w:name w:val="Char Char Char Char Char Char Char1"/>
    <w:basedOn w:val="1"/>
    <w:autoRedefine/>
    <w:qFormat/>
    <w:uiPriority w:val="0"/>
    <w:pPr>
      <w:adjustRightInd w:val="0"/>
      <w:spacing w:line="360" w:lineRule="auto"/>
    </w:pPr>
  </w:style>
  <w:style w:type="paragraph" w:customStyle="1" w:styleId="197">
    <w:name w:val="正文1"/>
    <w:autoRedefine/>
    <w:qFormat/>
    <w:uiPriority w:val="0"/>
    <w:pPr>
      <w:spacing w:after="160" w:line="278" w:lineRule="auto"/>
      <w:jc w:val="both"/>
    </w:pPr>
    <w:rPr>
      <w:rFonts w:ascii="Calibri" w:hAnsi="Calibri" w:eastAsia="宋体" w:cs="宋体"/>
      <w:kern w:val="2"/>
      <w:sz w:val="21"/>
      <w:szCs w:val="21"/>
      <w:lang w:val="en-US" w:eastAsia="zh-CN" w:bidi="ar-SA"/>
    </w:rPr>
  </w:style>
  <w:style w:type="paragraph" w:customStyle="1" w:styleId="198">
    <w:name w:val="Char Char Char Char1"/>
    <w:basedOn w:val="1"/>
    <w:autoRedefine/>
    <w:qFormat/>
    <w:uiPriority w:val="0"/>
  </w:style>
  <w:style w:type="paragraph" w:customStyle="1" w:styleId="199">
    <w:name w:val="默认段落字体 Para Char Char Char Char Char Char Char Char Char Char Char Char Char"/>
    <w:basedOn w:val="1"/>
    <w:autoRedefine/>
    <w:qFormat/>
    <w:uiPriority w:val="0"/>
    <w:pPr>
      <w:spacing w:line="360" w:lineRule="auto"/>
      <w:ind w:firstLine="200" w:firstLineChars="200"/>
    </w:pPr>
    <w:rPr>
      <w:spacing w:val="10"/>
    </w:rPr>
  </w:style>
  <w:style w:type="paragraph" w:customStyle="1" w:styleId="200">
    <w:name w:val="表内容"/>
    <w:basedOn w:val="1"/>
    <w:next w:val="1"/>
    <w:autoRedefine/>
    <w:qFormat/>
    <w:uiPriority w:val="0"/>
    <w:pPr>
      <w:spacing w:line="320" w:lineRule="exact"/>
      <w:jc w:val="center"/>
    </w:pPr>
  </w:style>
  <w:style w:type="paragraph" w:customStyle="1" w:styleId="201">
    <w:name w:val="Char1"/>
    <w:basedOn w:val="1"/>
    <w:autoRedefine/>
    <w:qFormat/>
    <w:uiPriority w:val="0"/>
    <w:rPr>
      <w:rFonts w:ascii="宋体" w:hAnsi="宋体" w:eastAsia="Times New Roman" w:cs="宋体"/>
      <w:bCs/>
      <w:sz w:val="18"/>
      <w:szCs w:val="18"/>
    </w:rPr>
  </w:style>
  <w:style w:type="paragraph" w:customStyle="1" w:styleId="202">
    <w:name w:val="正文 03"/>
    <w:basedOn w:val="1"/>
    <w:autoRedefine/>
    <w:qFormat/>
    <w:uiPriority w:val="0"/>
    <w:pPr>
      <w:autoSpaceDE w:val="0"/>
      <w:autoSpaceDN w:val="0"/>
      <w:adjustRightInd w:val="0"/>
      <w:textAlignment w:val="baseline"/>
    </w:pPr>
    <w:rPr>
      <w:rFonts w:eastAsia="楷体_GB2312"/>
    </w:rPr>
  </w:style>
  <w:style w:type="paragraph" w:customStyle="1" w:styleId="203">
    <w:name w:val="表格文字2"/>
    <w:basedOn w:val="29"/>
    <w:link w:val="204"/>
    <w:autoRedefine/>
    <w:qFormat/>
    <w:uiPriority w:val="0"/>
    <w:pPr>
      <w:adjustRightInd w:val="0"/>
      <w:spacing w:before="60"/>
      <w:jc w:val="center"/>
      <w:textAlignment w:val="baseline"/>
    </w:pPr>
    <w:rPr>
      <w:rFonts w:hAnsi="Times New Roman"/>
      <w:sz w:val="24"/>
      <w:lang w:val="zh-CN"/>
    </w:rPr>
  </w:style>
  <w:style w:type="character" w:customStyle="1" w:styleId="204">
    <w:name w:val="表格文字2 Char"/>
    <w:link w:val="203"/>
    <w:autoRedefine/>
    <w:qFormat/>
    <w:uiPriority w:val="0"/>
    <w:rPr>
      <w:rFonts w:ascii="宋体"/>
      <w:sz w:val="24"/>
    </w:rPr>
  </w:style>
  <w:style w:type="paragraph" w:customStyle="1" w:styleId="205">
    <w:name w:val="xl36"/>
    <w:basedOn w:val="1"/>
    <w:autoRedefine/>
    <w:qFormat/>
    <w:uiPriority w:val="0"/>
    <w:pPr>
      <w:widowControl/>
      <w:spacing w:before="100" w:beforeAutospacing="1" w:after="100" w:afterAutospacing="1"/>
      <w:jc w:val="center"/>
    </w:pPr>
    <w:rPr>
      <w:rFonts w:ascii="楷体_GB2312" w:hAnsi="Arial Unicode MS" w:eastAsia="楷体_GB2312"/>
      <w:b/>
      <w:bCs/>
      <w:sz w:val="28"/>
      <w:szCs w:val="28"/>
    </w:rPr>
  </w:style>
  <w:style w:type="paragraph" w:customStyle="1" w:styleId="206">
    <w:name w:val="1表格"/>
    <w:basedOn w:val="1"/>
    <w:autoRedefine/>
    <w:qFormat/>
    <w:uiPriority w:val="0"/>
    <w:pPr>
      <w:snapToGrid w:val="0"/>
      <w:spacing w:line="160" w:lineRule="atLeast"/>
      <w:jc w:val="center"/>
    </w:pPr>
    <w:rPr>
      <w:rFonts w:eastAsia="仿宋_GB2312"/>
    </w:rPr>
  </w:style>
  <w:style w:type="paragraph" w:customStyle="1" w:styleId="207">
    <w:name w:val="Table Paragraph"/>
    <w:basedOn w:val="1"/>
    <w:autoRedefine/>
    <w:qFormat/>
    <w:uiPriority w:val="1"/>
    <w:pPr>
      <w:jc w:val="left"/>
    </w:pPr>
    <w:rPr>
      <w:rFonts w:ascii="Calibri" w:hAnsi="Calibri"/>
      <w:sz w:val="22"/>
      <w:szCs w:val="22"/>
      <w:lang w:eastAsia="en-US"/>
    </w:rPr>
  </w:style>
  <w:style w:type="paragraph" w:customStyle="1" w:styleId="208">
    <w:name w:val="Char Char1 Char"/>
    <w:basedOn w:val="1"/>
    <w:autoRedefine/>
    <w:qFormat/>
    <w:uiPriority w:val="0"/>
    <w:pPr>
      <w:adjustRightInd w:val="0"/>
      <w:spacing w:line="360" w:lineRule="auto"/>
    </w:pPr>
  </w:style>
  <w:style w:type="paragraph" w:customStyle="1" w:styleId="209">
    <w:name w:val="1正文"/>
    <w:basedOn w:val="1"/>
    <w:autoRedefine/>
    <w:qFormat/>
    <w:uiPriority w:val="0"/>
    <w:pPr>
      <w:widowControl/>
      <w:spacing w:line="360" w:lineRule="auto"/>
      <w:ind w:firstLine="200" w:firstLineChars="200"/>
    </w:pPr>
    <w:rPr>
      <w:lang w:val="en-GB"/>
    </w:rPr>
  </w:style>
  <w:style w:type="paragraph" w:customStyle="1" w:styleId="210">
    <w:name w:val="标题 21"/>
    <w:basedOn w:val="1"/>
    <w:autoRedefine/>
    <w:qFormat/>
    <w:uiPriority w:val="0"/>
    <w:pPr>
      <w:spacing w:before="26"/>
      <w:ind w:left="721"/>
      <w:jc w:val="left"/>
      <w:outlineLvl w:val="2"/>
    </w:pPr>
    <w:rPr>
      <w:rFonts w:ascii="宋体" w:hAnsi="宋体"/>
      <w:b/>
      <w:bCs/>
      <w:lang w:eastAsia="en-US"/>
    </w:rPr>
  </w:style>
  <w:style w:type="paragraph" w:customStyle="1" w:styleId="211">
    <w:name w:val="我的表格"/>
    <w:autoRedefine/>
    <w:qFormat/>
    <w:uiPriority w:val="0"/>
    <w:pPr>
      <w:adjustRightInd w:val="0"/>
      <w:snapToGrid w:val="0"/>
      <w:spacing w:after="160" w:line="300" w:lineRule="exact"/>
      <w:jc w:val="center"/>
    </w:pPr>
    <w:rPr>
      <w:rFonts w:ascii="Times New Roman" w:hAnsi="Times New Roman" w:eastAsia="宋体" w:cs="Times New Roman"/>
      <w:spacing w:val="4"/>
      <w:kern w:val="2"/>
      <w:sz w:val="21"/>
      <w:szCs w:val="24"/>
      <w:lang w:val="en-US" w:eastAsia="zh-CN" w:bidi="ar-SA"/>
    </w:rPr>
  </w:style>
  <w:style w:type="paragraph" w:customStyle="1" w:styleId="212">
    <w:name w:val="表格内容"/>
    <w:basedOn w:val="213"/>
    <w:next w:val="1"/>
    <w:link w:val="214"/>
    <w:autoRedefine/>
    <w:qFormat/>
    <w:uiPriority w:val="0"/>
    <w:rPr>
      <w:sz w:val="21"/>
      <w:szCs w:val="22"/>
      <w:lang w:val="zh-CN"/>
    </w:rPr>
  </w:style>
  <w:style w:type="paragraph" w:customStyle="1" w:styleId="213">
    <w:name w:val="表格标题"/>
    <w:basedOn w:val="15"/>
    <w:next w:val="212"/>
    <w:autoRedefine/>
    <w:qFormat/>
    <w:uiPriority w:val="0"/>
    <w:pPr>
      <w:keepNext/>
      <w:spacing w:line="440" w:lineRule="exact"/>
      <w:jc w:val="center"/>
    </w:pPr>
    <w:rPr>
      <w:rFonts w:ascii="Times New Roman" w:hAnsi="宋体" w:eastAsia="Times New Roman" w:cs="Times New Roman"/>
      <w:sz w:val="24"/>
      <w:szCs w:val="21"/>
    </w:rPr>
  </w:style>
  <w:style w:type="character" w:customStyle="1" w:styleId="214">
    <w:name w:val="表格内容 Char"/>
    <w:link w:val="212"/>
    <w:autoRedefine/>
    <w:qFormat/>
    <w:uiPriority w:val="0"/>
    <w:rPr>
      <w:rFonts w:hAnsi="宋体" w:eastAsia="Times New Roman"/>
      <w:kern w:val="2"/>
      <w:sz w:val="21"/>
      <w:szCs w:val="22"/>
    </w:rPr>
  </w:style>
  <w:style w:type="paragraph" w:customStyle="1" w:styleId="215">
    <w:name w:val="Char Char Char Char Char Char Char Char Char Char Char Char Char Char Char Char Char Char Char Char Char Char Char Char Char"/>
    <w:basedOn w:val="1"/>
    <w:autoRedefine/>
    <w:qFormat/>
    <w:uiPriority w:val="0"/>
  </w:style>
  <w:style w:type="paragraph" w:customStyle="1" w:styleId="216">
    <w:name w:val="xl34"/>
    <w:basedOn w:val="1"/>
    <w:autoRedefine/>
    <w:qFormat/>
    <w:uiPriority w:val="0"/>
    <w:pPr>
      <w:widowControl/>
      <w:spacing w:before="100" w:beforeAutospacing="1" w:after="100" w:afterAutospacing="1"/>
      <w:jc w:val="center"/>
    </w:pPr>
    <w:rPr>
      <w:rFonts w:ascii="Arial Unicode MS" w:hAnsi="Arial Unicode MS" w:eastAsia="Arial Unicode MS"/>
    </w:rPr>
  </w:style>
  <w:style w:type="paragraph" w:customStyle="1" w:styleId="217">
    <w:name w:val="WPS Plain"/>
    <w:autoRedefine/>
    <w:qFormat/>
    <w:uiPriority w:val="0"/>
    <w:pPr>
      <w:spacing w:after="160" w:line="278" w:lineRule="auto"/>
    </w:pPr>
    <w:rPr>
      <w:rFonts w:ascii="Times New Roman" w:hAnsi="Times New Roman" w:eastAsia="宋体" w:cs="Times New Roman"/>
      <w:kern w:val="2"/>
      <w:sz w:val="24"/>
      <w:szCs w:val="24"/>
      <w:lang w:val="en-US" w:eastAsia="zh-CN" w:bidi="ar-SA"/>
    </w:rPr>
  </w:style>
  <w:style w:type="paragraph" w:customStyle="1" w:styleId="218">
    <w:name w:val="æ­￡æ–‡ç¼©è¿›"/>
    <w:basedOn w:val="1"/>
    <w:autoRedefine/>
    <w:unhideWhenUsed/>
    <w:qFormat/>
    <w:uiPriority w:val="0"/>
    <w:pPr>
      <w:spacing w:line="440" w:lineRule="exact"/>
      <w:ind w:firstLine="420"/>
    </w:pPr>
    <w:rPr>
      <w:rFonts w:hint="eastAsia"/>
    </w:rPr>
  </w:style>
  <w:style w:type="paragraph" w:customStyle="1" w:styleId="219">
    <w:name w:val="样式1"/>
    <w:basedOn w:val="1"/>
    <w:link w:val="220"/>
    <w:autoRedefine/>
    <w:qFormat/>
    <w:uiPriority w:val="99"/>
    <w:pPr>
      <w:snapToGrid w:val="0"/>
      <w:jc w:val="center"/>
    </w:pPr>
    <w:rPr>
      <w:rFonts w:ascii="宋体"/>
      <w:sz w:val="21"/>
      <w:lang w:val="zh-CN"/>
    </w:rPr>
  </w:style>
  <w:style w:type="character" w:customStyle="1" w:styleId="220">
    <w:name w:val="样式1 Char"/>
    <w:link w:val="219"/>
    <w:autoRedefine/>
    <w:qFormat/>
    <w:locked/>
    <w:uiPriority w:val="99"/>
    <w:rPr>
      <w:rFonts w:ascii="宋体"/>
      <w:kern w:val="2"/>
      <w:sz w:val="21"/>
    </w:rPr>
  </w:style>
  <w:style w:type="paragraph" w:customStyle="1" w:styleId="221">
    <w:name w:val="正文首行缩进＋湿地"/>
    <w:basedOn w:val="1"/>
    <w:autoRedefine/>
    <w:qFormat/>
    <w:uiPriority w:val="0"/>
    <w:pPr>
      <w:spacing w:line="440" w:lineRule="exact"/>
      <w:ind w:firstLine="540" w:firstLineChars="225"/>
    </w:pPr>
    <w:rPr>
      <w:rFonts w:ascii="仿宋_GB2312" w:hAnsi="宋体" w:eastAsia="仿宋_GB2312"/>
      <w:sz w:val="28"/>
    </w:rPr>
  </w:style>
  <w:style w:type="paragraph" w:customStyle="1" w:styleId="222">
    <w:name w:val="表格式"/>
    <w:basedOn w:val="39"/>
    <w:autoRedefine/>
    <w:qFormat/>
    <w:uiPriority w:val="0"/>
    <w:pPr>
      <w:spacing w:line="400" w:lineRule="exact"/>
    </w:pPr>
    <w:rPr>
      <w:rFonts w:ascii="宋体" w:eastAsia="宋体"/>
      <w:sz w:val="21"/>
    </w:rPr>
  </w:style>
  <w:style w:type="paragraph" w:customStyle="1" w:styleId="223">
    <w:name w:val="Char Char1 Char Char Char Char Char Char Char Char Char Char Char Char Char Char Char Char Char Char"/>
    <w:basedOn w:val="1"/>
    <w:autoRedefine/>
    <w:qFormat/>
    <w:uiPriority w:val="0"/>
    <w:pPr>
      <w:spacing w:line="360" w:lineRule="auto"/>
      <w:ind w:firstLine="200" w:firstLineChars="200"/>
    </w:pPr>
    <w:rPr>
      <w:rFonts w:ascii="宋体" w:hAnsi="宋体" w:cs="宋体"/>
    </w:rPr>
  </w:style>
  <w:style w:type="paragraph" w:customStyle="1" w:styleId="224">
    <w:name w:val="表文字"/>
    <w:basedOn w:val="1"/>
    <w:autoRedefine/>
    <w:qFormat/>
    <w:uiPriority w:val="0"/>
    <w:pPr>
      <w:overflowPunct w:val="0"/>
      <w:autoSpaceDE w:val="0"/>
      <w:autoSpaceDN w:val="0"/>
      <w:adjustRightInd w:val="0"/>
      <w:spacing w:line="240" w:lineRule="atLeast"/>
      <w:jc w:val="center"/>
      <w:textAlignment w:val="baseline"/>
    </w:pPr>
  </w:style>
  <w:style w:type="paragraph" w:customStyle="1" w:styleId="225">
    <w:name w:val="表格内容自定"/>
    <w:basedOn w:val="1"/>
    <w:autoRedefine/>
    <w:qFormat/>
    <w:uiPriority w:val="0"/>
    <w:pPr>
      <w:spacing w:line="280" w:lineRule="exact"/>
      <w:jc w:val="center"/>
    </w:pPr>
    <w:rPr>
      <w:sz w:val="18"/>
    </w:rPr>
  </w:style>
  <w:style w:type="paragraph" w:customStyle="1" w:styleId="226">
    <w:name w:val="CM11"/>
    <w:basedOn w:val="70"/>
    <w:next w:val="70"/>
    <w:autoRedefine/>
    <w:unhideWhenUsed/>
    <w:qFormat/>
    <w:uiPriority w:val="0"/>
    <w:pPr>
      <w:spacing w:line="460" w:lineRule="atLeast"/>
    </w:pPr>
    <w:rPr>
      <w:rFonts w:hint="eastAsia" w:ascii="黑体" w:eastAsia="黑体" w:cs="Times New Roman"/>
      <w:sz w:val="20"/>
      <w:szCs w:val="20"/>
    </w:rPr>
  </w:style>
  <w:style w:type="paragraph" w:customStyle="1" w:styleId="227">
    <w:name w:val="附图标题"/>
    <w:link w:val="228"/>
    <w:autoRedefine/>
    <w:qFormat/>
    <w:uiPriority w:val="0"/>
    <w:pPr>
      <w:adjustRightInd w:val="0"/>
      <w:snapToGrid w:val="0"/>
      <w:spacing w:after="160" w:line="278" w:lineRule="auto"/>
      <w:jc w:val="center"/>
    </w:pPr>
    <w:rPr>
      <w:rFonts w:ascii="Times New Roman" w:hAnsi="Times New Roman" w:eastAsia="Times New Roman" w:cs="Times New Roman"/>
      <w:b/>
      <w:kern w:val="2"/>
      <w:sz w:val="21"/>
      <w:szCs w:val="24"/>
      <w:lang w:val="zh-CN" w:eastAsia="zh-CN" w:bidi="ar-SA"/>
    </w:rPr>
  </w:style>
  <w:style w:type="character" w:customStyle="1" w:styleId="228">
    <w:name w:val="附图标题 字符"/>
    <w:link w:val="227"/>
    <w:autoRedefine/>
    <w:qFormat/>
    <w:uiPriority w:val="0"/>
    <w:rPr>
      <w:rFonts w:eastAsia="Times New Roman"/>
      <w:b/>
      <w:kern w:val="2"/>
      <w:sz w:val="21"/>
      <w:szCs w:val="24"/>
      <w:lang w:val="zh-CN"/>
    </w:rPr>
  </w:style>
  <w:style w:type="paragraph" w:customStyle="1" w:styleId="229">
    <w:name w:val="表体"/>
    <w:link w:val="230"/>
    <w:autoRedefine/>
    <w:qFormat/>
    <w:uiPriority w:val="0"/>
    <w:pPr>
      <w:spacing w:after="160" w:line="278" w:lineRule="auto"/>
      <w:jc w:val="center"/>
    </w:pPr>
    <w:rPr>
      <w:rFonts w:ascii="宋体" w:hAnsi="Times New Roman" w:eastAsia="宋体" w:cs="Times New Roman"/>
      <w:color w:val="000080"/>
      <w:kern w:val="2"/>
      <w:sz w:val="21"/>
      <w:szCs w:val="24"/>
      <w:lang w:val="en-US" w:eastAsia="zh-CN" w:bidi="ar-SA"/>
    </w:rPr>
  </w:style>
  <w:style w:type="character" w:customStyle="1" w:styleId="230">
    <w:name w:val="表体 Char"/>
    <w:link w:val="229"/>
    <w:autoRedefine/>
    <w:qFormat/>
    <w:uiPriority w:val="0"/>
    <w:rPr>
      <w:rFonts w:ascii="宋体"/>
      <w:color w:val="000080"/>
      <w:kern w:val="2"/>
      <w:sz w:val="21"/>
      <w:szCs w:val="24"/>
      <w:lang w:val="en-US" w:eastAsia="zh-CN" w:bidi="ar-SA"/>
    </w:rPr>
  </w:style>
  <w:style w:type="character" w:customStyle="1" w:styleId="231">
    <w:name w:val="正文（海红） Char"/>
    <w:link w:val="232"/>
    <w:autoRedefine/>
    <w:qFormat/>
    <w:uiPriority w:val="0"/>
    <w:rPr>
      <w:rFonts w:eastAsia="宋体"/>
      <w:kern w:val="2"/>
      <w:sz w:val="24"/>
      <w:szCs w:val="24"/>
      <w:lang w:val="en-US" w:eastAsia="zh-CN" w:bidi="ar-SA"/>
    </w:rPr>
  </w:style>
  <w:style w:type="paragraph" w:customStyle="1" w:styleId="232">
    <w:name w:val="正文（海红）"/>
    <w:basedOn w:val="1"/>
    <w:link w:val="231"/>
    <w:autoRedefine/>
    <w:qFormat/>
    <w:uiPriority w:val="0"/>
    <w:pPr>
      <w:spacing w:line="500" w:lineRule="exact"/>
      <w:ind w:firstLine="200" w:firstLineChars="200"/>
    </w:pPr>
    <w:rPr>
      <w:szCs w:val="24"/>
    </w:rPr>
  </w:style>
  <w:style w:type="paragraph" w:customStyle="1" w:styleId="233">
    <w:name w:val="reader-word-layer reader-word-s6-7"/>
    <w:basedOn w:val="1"/>
    <w:autoRedefine/>
    <w:qFormat/>
    <w:uiPriority w:val="0"/>
    <w:pPr>
      <w:widowControl/>
      <w:spacing w:before="100" w:beforeAutospacing="1" w:after="100" w:afterAutospacing="1"/>
      <w:jc w:val="left"/>
    </w:pPr>
    <w:rPr>
      <w:rFonts w:ascii="宋体" w:hAnsi="宋体" w:cs="宋体"/>
    </w:rPr>
  </w:style>
  <w:style w:type="character" w:customStyle="1" w:styleId="234">
    <w:name w:val="description"/>
    <w:autoRedefine/>
    <w:qFormat/>
    <w:uiPriority w:val="0"/>
  </w:style>
  <w:style w:type="paragraph" w:customStyle="1" w:styleId="235">
    <w:name w:val="报告正文"/>
    <w:basedOn w:val="1"/>
    <w:autoRedefine/>
    <w:qFormat/>
    <w:uiPriority w:val="0"/>
    <w:pPr>
      <w:spacing w:line="360" w:lineRule="auto"/>
      <w:ind w:firstLine="200" w:firstLineChars="200"/>
      <w:jc w:val="left"/>
    </w:pPr>
  </w:style>
  <w:style w:type="paragraph" w:customStyle="1" w:styleId="236">
    <w:name w:val="表格内文字"/>
    <w:basedOn w:val="1"/>
    <w:link w:val="743"/>
    <w:autoRedefine/>
    <w:qFormat/>
    <w:uiPriority w:val="0"/>
    <w:pPr>
      <w:adjustRightInd w:val="0"/>
      <w:snapToGrid w:val="0"/>
      <w:jc w:val="center"/>
    </w:pPr>
    <w:rPr>
      <w:rFonts w:eastAsia="仿宋_GB2312"/>
    </w:rPr>
  </w:style>
  <w:style w:type="character" w:customStyle="1" w:styleId="237">
    <w:name w:val="15"/>
    <w:autoRedefine/>
    <w:qFormat/>
    <w:uiPriority w:val="0"/>
    <w:rPr>
      <w:rFonts w:hint="default" w:ascii="Tahoma" w:hAnsi="Tahoma" w:cs="Tahoma"/>
      <w:sz w:val="21"/>
      <w:szCs w:val="21"/>
    </w:rPr>
  </w:style>
  <w:style w:type="paragraph" w:customStyle="1" w:styleId="238">
    <w:name w:val="表中文字"/>
    <w:basedOn w:val="1"/>
    <w:autoRedefine/>
    <w:qFormat/>
    <w:uiPriority w:val="0"/>
    <w:pPr>
      <w:adjustRightInd w:val="0"/>
      <w:snapToGrid w:val="0"/>
      <w:spacing w:line="240" w:lineRule="atLeast"/>
      <w:ind w:firstLine="200" w:firstLineChars="200"/>
      <w:jc w:val="center"/>
    </w:pPr>
    <w:rPr>
      <w:szCs w:val="22"/>
    </w:rPr>
  </w:style>
  <w:style w:type="paragraph" w:customStyle="1" w:styleId="239">
    <w:name w:val="+正文"/>
    <w:basedOn w:val="1"/>
    <w:autoRedefine/>
    <w:qFormat/>
    <w:uiPriority w:val="0"/>
    <w:pPr>
      <w:spacing w:line="360" w:lineRule="auto"/>
      <w:ind w:firstLine="200" w:firstLineChars="200"/>
      <w:jc w:val="left"/>
    </w:pPr>
    <w:rPr>
      <w:szCs w:val="28"/>
    </w:rPr>
  </w:style>
  <w:style w:type="character" w:customStyle="1" w:styleId="240">
    <w:name w:val="预案正文 Char"/>
    <w:link w:val="241"/>
    <w:autoRedefine/>
    <w:qFormat/>
    <w:uiPriority w:val="0"/>
    <w:rPr>
      <w:sz w:val="24"/>
      <w:lang w:bidi="ar-SA"/>
    </w:rPr>
  </w:style>
  <w:style w:type="paragraph" w:customStyle="1" w:styleId="241">
    <w:name w:val="预案正文"/>
    <w:basedOn w:val="1"/>
    <w:link w:val="240"/>
    <w:autoRedefine/>
    <w:qFormat/>
    <w:uiPriority w:val="0"/>
    <w:pPr>
      <w:spacing w:line="360" w:lineRule="auto"/>
      <w:ind w:firstLine="200" w:firstLineChars="200"/>
    </w:pPr>
    <w:rPr>
      <w:lang w:val="zh-CN"/>
    </w:rPr>
  </w:style>
  <w:style w:type="paragraph" w:customStyle="1" w:styleId="242">
    <w:name w:val="正文01"/>
    <w:basedOn w:val="1"/>
    <w:link w:val="243"/>
    <w:autoRedefine/>
    <w:qFormat/>
    <w:uiPriority w:val="99"/>
    <w:pPr>
      <w:spacing w:before="60" w:line="460" w:lineRule="exact"/>
      <w:ind w:firstLine="200" w:firstLineChars="200"/>
    </w:pPr>
    <w:rPr>
      <w:lang w:val="zh-CN"/>
    </w:rPr>
  </w:style>
  <w:style w:type="character" w:customStyle="1" w:styleId="243">
    <w:name w:val="正文01 Char"/>
    <w:link w:val="242"/>
    <w:autoRedefine/>
    <w:qFormat/>
    <w:uiPriority w:val="99"/>
    <w:rPr>
      <w:kern w:val="2"/>
      <w:sz w:val="24"/>
    </w:rPr>
  </w:style>
  <w:style w:type="paragraph" w:customStyle="1" w:styleId="244">
    <w:name w:val="默认段落字体 Para Char Char Char Char Char Char Char Char Char Char Char Char Char1 Char"/>
    <w:basedOn w:val="17"/>
    <w:autoRedefine/>
    <w:qFormat/>
    <w:uiPriority w:val="0"/>
    <w:pPr>
      <w:shd w:val="clear" w:color="auto" w:fill="000080"/>
    </w:pPr>
    <w:rPr>
      <w:rFonts w:ascii="Tahoma" w:hAnsi="Tahoma"/>
      <w:sz w:val="24"/>
      <w:szCs w:val="24"/>
    </w:rPr>
  </w:style>
  <w:style w:type="table" w:customStyle="1" w:styleId="245">
    <w:name w:val="Table Normal"/>
    <w:basedOn w:val="53"/>
    <w:autoRedefine/>
    <w:qFormat/>
    <w:uiPriority w:val="0"/>
    <w:tblPr>
      <w:tblCellMar>
        <w:left w:w="0" w:type="dxa"/>
        <w:right w:w="0" w:type="dxa"/>
      </w:tblCellMar>
    </w:tblPr>
  </w:style>
  <w:style w:type="paragraph" w:customStyle="1" w:styleId="246">
    <w:name w:val="报告表正文"/>
    <w:basedOn w:val="1"/>
    <w:link w:val="247"/>
    <w:autoRedefine/>
    <w:qFormat/>
    <w:uiPriority w:val="0"/>
    <w:pPr>
      <w:adjustRightInd w:val="0"/>
      <w:spacing w:line="312" w:lineRule="auto"/>
      <w:ind w:left="113" w:right="113" w:firstLine="482"/>
      <w:jc w:val="left"/>
    </w:pPr>
  </w:style>
  <w:style w:type="character" w:customStyle="1" w:styleId="247">
    <w:name w:val="报告表正文 Char Char"/>
    <w:link w:val="246"/>
    <w:autoRedefine/>
    <w:qFormat/>
    <w:uiPriority w:val="0"/>
    <w:rPr>
      <w:rFonts w:eastAsia="宋体"/>
      <w:sz w:val="24"/>
      <w:lang w:val="en-US" w:eastAsia="zh-CN" w:bidi="ar-SA"/>
    </w:rPr>
  </w:style>
  <w:style w:type="paragraph" w:customStyle="1" w:styleId="248">
    <w:name w:val="标号正文"/>
    <w:basedOn w:val="1"/>
    <w:next w:val="1"/>
    <w:autoRedefine/>
    <w:qFormat/>
    <w:uiPriority w:val="0"/>
    <w:pPr>
      <w:tabs>
        <w:tab w:val="left" w:pos="1540"/>
      </w:tabs>
      <w:overflowPunct w:val="0"/>
      <w:snapToGrid w:val="0"/>
      <w:spacing w:line="360" w:lineRule="auto"/>
      <w:ind w:firstLine="1040"/>
      <w:jc w:val="left"/>
    </w:pPr>
    <w:rPr>
      <w:rFonts w:ascii="Arial" w:hAnsi="Arial" w:cs="黑体"/>
    </w:rPr>
  </w:style>
  <w:style w:type="paragraph" w:customStyle="1" w:styleId="249">
    <w:name w:val="Char Char Char Char Char Char Char Char Char Char1 Char Char Char Char Char"/>
    <w:basedOn w:val="1"/>
    <w:next w:val="1"/>
    <w:autoRedefine/>
    <w:qFormat/>
    <w:uiPriority w:val="0"/>
    <w:pPr>
      <w:keepNext/>
      <w:keepLines/>
      <w:widowControl/>
      <w:adjustRightInd w:val="0"/>
      <w:spacing w:before="40" w:after="40" w:line="360" w:lineRule="auto"/>
      <w:ind w:firstLine="200" w:firstLineChars="200"/>
      <w:textAlignment w:val="baseline"/>
    </w:pPr>
    <w:rPr>
      <w:rFonts w:cs="宋体"/>
      <w:szCs w:val="28"/>
    </w:rPr>
  </w:style>
  <w:style w:type="character" w:customStyle="1" w:styleId="250">
    <w:name w:val="标题 3 Char Char Char Char Char3"/>
    <w:autoRedefine/>
    <w:qFormat/>
    <w:uiPriority w:val="0"/>
    <w:rPr>
      <w:rFonts w:eastAsia="宋体"/>
      <w:b/>
      <w:bCs/>
      <w:kern w:val="2"/>
      <w:sz w:val="32"/>
      <w:szCs w:val="32"/>
      <w:lang w:val="en-US" w:eastAsia="zh-CN" w:bidi="ar-SA"/>
    </w:rPr>
  </w:style>
  <w:style w:type="paragraph" w:customStyle="1" w:styleId="251">
    <w:name w:val="Char2"/>
    <w:basedOn w:val="1"/>
    <w:autoRedefine/>
    <w:qFormat/>
    <w:uiPriority w:val="0"/>
    <w:pPr>
      <w:ind w:firstLine="200" w:firstLineChars="200"/>
    </w:pPr>
    <w:rPr>
      <w:rFonts w:ascii="宋体" w:hAnsi="宋体" w:cs="宋体"/>
    </w:rPr>
  </w:style>
  <w:style w:type="paragraph" w:customStyle="1" w:styleId="252">
    <w:name w:val="我的表头"/>
    <w:basedOn w:val="1"/>
    <w:next w:val="1"/>
    <w:autoRedefine/>
    <w:qFormat/>
    <w:uiPriority w:val="0"/>
    <w:pPr>
      <w:jc w:val="center"/>
    </w:pPr>
    <w:rPr>
      <w:b/>
    </w:rPr>
  </w:style>
  <w:style w:type="paragraph" w:customStyle="1" w:styleId="253">
    <w:name w:val="！正文"/>
    <w:basedOn w:val="1"/>
    <w:autoRedefine/>
    <w:qFormat/>
    <w:uiPriority w:val="0"/>
    <w:pPr>
      <w:spacing w:line="520" w:lineRule="exact"/>
      <w:ind w:firstLine="200" w:firstLineChars="200"/>
    </w:pPr>
    <w:rPr>
      <w:color w:val="000000"/>
    </w:rPr>
  </w:style>
  <w:style w:type="character" w:customStyle="1" w:styleId="254">
    <w:name w:val="标题 #6 + Arial Unicode MS"/>
    <w:autoRedefine/>
    <w:qFormat/>
    <w:uiPriority w:val="0"/>
    <w:rPr>
      <w:rFonts w:ascii="Arial Unicode MS" w:hAnsi="Arial Unicode MS" w:eastAsia="Arial Unicode MS" w:cs="Arial Unicode MS"/>
      <w:color w:val="000000"/>
      <w:spacing w:val="0"/>
      <w:w w:val="100"/>
      <w:position w:val="0"/>
      <w:sz w:val="11"/>
      <w:szCs w:val="11"/>
      <w:shd w:val="clear" w:color="auto" w:fill="FFFFFF"/>
      <w:lang w:val="zh-TW"/>
    </w:rPr>
  </w:style>
  <w:style w:type="character" w:customStyle="1" w:styleId="255">
    <w:name w:val="标题 #6_"/>
    <w:link w:val="256"/>
    <w:autoRedefine/>
    <w:qFormat/>
    <w:uiPriority w:val="0"/>
    <w:rPr>
      <w:rFonts w:ascii="宋体" w:hAnsi="宋体" w:eastAsia="宋体"/>
      <w:sz w:val="14"/>
      <w:szCs w:val="14"/>
      <w:shd w:val="clear" w:color="auto" w:fill="FFFFFF"/>
      <w:lang w:bidi="ar-SA"/>
    </w:rPr>
  </w:style>
  <w:style w:type="paragraph" w:customStyle="1" w:styleId="256">
    <w:name w:val="标题 #6"/>
    <w:basedOn w:val="1"/>
    <w:link w:val="255"/>
    <w:autoRedefine/>
    <w:qFormat/>
    <w:uiPriority w:val="0"/>
    <w:pPr>
      <w:shd w:val="clear" w:color="auto" w:fill="FFFFFF"/>
      <w:spacing w:after="120" w:line="0" w:lineRule="atLeast"/>
      <w:ind w:hanging="260"/>
      <w:jc w:val="left"/>
      <w:outlineLvl w:val="5"/>
    </w:pPr>
    <w:rPr>
      <w:rFonts w:ascii="宋体" w:hAnsi="宋体"/>
      <w:sz w:val="14"/>
      <w:szCs w:val="14"/>
      <w:shd w:val="clear" w:color="auto" w:fill="FFFFFF"/>
      <w:lang w:val="zh-CN"/>
    </w:rPr>
  </w:style>
  <w:style w:type="character" w:customStyle="1" w:styleId="257">
    <w:name w:val="正文表格 Char"/>
    <w:link w:val="258"/>
    <w:autoRedefine/>
    <w:qFormat/>
    <w:uiPriority w:val="0"/>
    <w:rPr>
      <w:rFonts w:eastAsia="宋体"/>
      <w:kern w:val="24"/>
      <w:sz w:val="24"/>
      <w:szCs w:val="24"/>
      <w:lang w:bidi="ar-SA"/>
    </w:rPr>
  </w:style>
  <w:style w:type="paragraph" w:customStyle="1" w:styleId="258">
    <w:name w:val="正文表格"/>
    <w:basedOn w:val="1"/>
    <w:link w:val="257"/>
    <w:autoRedefine/>
    <w:qFormat/>
    <w:uiPriority w:val="0"/>
    <w:pPr>
      <w:adjustRightInd w:val="0"/>
      <w:snapToGrid w:val="0"/>
      <w:jc w:val="center"/>
    </w:pPr>
    <w:rPr>
      <w:kern w:val="24"/>
      <w:szCs w:val="24"/>
      <w:lang w:val="zh-CN"/>
    </w:rPr>
  </w:style>
  <w:style w:type="paragraph" w:customStyle="1" w:styleId="259">
    <w:name w:val="3 Char Char Char Char"/>
    <w:basedOn w:val="1"/>
    <w:next w:val="1"/>
    <w:autoRedefine/>
    <w:qFormat/>
    <w:uiPriority w:val="0"/>
    <w:pPr>
      <w:spacing w:line="360" w:lineRule="auto"/>
      <w:ind w:firstLine="200" w:firstLineChars="200"/>
    </w:pPr>
    <w:rPr>
      <w:rFonts w:ascii="宋体" w:hAnsi="宋体" w:eastAsia="汉鼎简书宋" w:cs="宋体"/>
    </w:rPr>
  </w:style>
  <w:style w:type="character" w:customStyle="1" w:styleId="260">
    <w:name w:val="可研正文 Char Char"/>
    <w:link w:val="261"/>
    <w:autoRedefine/>
    <w:qFormat/>
    <w:uiPriority w:val="0"/>
    <w:rPr>
      <w:rFonts w:ascii="宋体" w:hAnsi="宋体" w:eastAsia="宋体"/>
      <w:sz w:val="28"/>
      <w:lang w:bidi="ar-SA"/>
    </w:rPr>
  </w:style>
  <w:style w:type="paragraph" w:customStyle="1" w:styleId="261">
    <w:name w:val="可研正文"/>
    <w:basedOn w:val="1"/>
    <w:link w:val="260"/>
    <w:autoRedefine/>
    <w:qFormat/>
    <w:uiPriority w:val="0"/>
    <w:pPr>
      <w:spacing w:line="360" w:lineRule="auto"/>
      <w:ind w:firstLine="560" w:firstLineChars="200"/>
    </w:pPr>
    <w:rPr>
      <w:rFonts w:ascii="宋体" w:hAnsi="宋体"/>
      <w:sz w:val="28"/>
      <w:lang w:val="zh-CN"/>
    </w:rPr>
  </w:style>
  <w:style w:type="paragraph" w:customStyle="1" w:styleId="262">
    <w:name w:val="p17"/>
    <w:basedOn w:val="1"/>
    <w:autoRedefine/>
    <w:qFormat/>
    <w:uiPriority w:val="0"/>
    <w:pPr>
      <w:widowControl/>
      <w:snapToGrid w:val="0"/>
      <w:spacing w:line="312" w:lineRule="auto"/>
      <w:ind w:left="113" w:right="113" w:firstLine="482"/>
      <w:jc w:val="left"/>
    </w:pPr>
  </w:style>
  <w:style w:type="character" w:customStyle="1" w:styleId="263">
    <w:name w:val="font31"/>
    <w:autoRedefine/>
    <w:qFormat/>
    <w:uiPriority w:val="0"/>
    <w:rPr>
      <w:rFonts w:hint="default" w:ascii="Calibri" w:hAnsi="Calibri" w:eastAsia="仿宋_GB2312" w:cs="”“Times New Roman”“"/>
      <w:color w:val="000000"/>
      <w:kern w:val="0"/>
      <w:sz w:val="21"/>
      <w:szCs w:val="21"/>
      <w:u w:val="none"/>
      <w:vertAlign w:val="superscript"/>
      <w:lang w:eastAsia="en-US"/>
    </w:rPr>
  </w:style>
  <w:style w:type="paragraph" w:customStyle="1" w:styleId="264">
    <w:name w:val="reader-word-layer reader-word-s6-9"/>
    <w:basedOn w:val="1"/>
    <w:autoRedefine/>
    <w:qFormat/>
    <w:uiPriority w:val="0"/>
    <w:pPr>
      <w:widowControl/>
      <w:spacing w:before="100" w:beforeAutospacing="1" w:after="100" w:afterAutospacing="1"/>
      <w:jc w:val="left"/>
    </w:pPr>
    <w:rPr>
      <w:rFonts w:ascii="宋体" w:hAnsi="宋体" w:cs="宋体"/>
    </w:rPr>
  </w:style>
  <w:style w:type="paragraph" w:customStyle="1" w:styleId="265">
    <w:name w:val="reader-word-layer reader-word-s6-13"/>
    <w:basedOn w:val="1"/>
    <w:autoRedefine/>
    <w:qFormat/>
    <w:uiPriority w:val="0"/>
    <w:pPr>
      <w:widowControl/>
      <w:spacing w:before="100" w:beforeAutospacing="1" w:after="100" w:afterAutospacing="1"/>
      <w:jc w:val="left"/>
    </w:pPr>
    <w:rPr>
      <w:rFonts w:ascii="宋体" w:hAnsi="宋体" w:cs="宋体"/>
    </w:rPr>
  </w:style>
  <w:style w:type="character" w:customStyle="1" w:styleId="266">
    <w:name w:val="样式 宋体 小四 Char"/>
    <w:link w:val="267"/>
    <w:autoRedefine/>
    <w:qFormat/>
    <w:uiPriority w:val="0"/>
    <w:rPr>
      <w:rFonts w:eastAsia="宋体"/>
      <w:color w:val="000000"/>
      <w:sz w:val="24"/>
      <w:lang w:val="en-US" w:eastAsia="zh-CN" w:bidi="ar-SA"/>
    </w:rPr>
  </w:style>
  <w:style w:type="paragraph" w:customStyle="1" w:styleId="267">
    <w:name w:val="样式 宋体 小四"/>
    <w:basedOn w:val="1"/>
    <w:link w:val="266"/>
    <w:autoRedefine/>
    <w:qFormat/>
    <w:uiPriority w:val="0"/>
    <w:pPr>
      <w:widowControl/>
      <w:spacing w:line="500" w:lineRule="exact"/>
      <w:ind w:firstLine="200" w:firstLineChars="200"/>
      <w:textAlignment w:val="baseline"/>
    </w:pPr>
    <w:rPr>
      <w:color w:val="000000"/>
    </w:rPr>
  </w:style>
  <w:style w:type="paragraph" w:customStyle="1" w:styleId="268">
    <w:name w:val="xl59"/>
    <w:basedOn w:val="1"/>
    <w:autoRedefine/>
    <w:qFormat/>
    <w:uiPriority w:val="0"/>
    <w:pPr>
      <w:widowControl/>
      <w:pBdr>
        <w:bottom w:val="single" w:color="auto" w:sz="8" w:space="0"/>
        <w:right w:val="single" w:color="000000" w:sz="8" w:space="0"/>
      </w:pBdr>
      <w:spacing w:before="100" w:beforeAutospacing="1" w:after="100" w:afterAutospacing="1"/>
      <w:textAlignment w:val="top"/>
    </w:pPr>
    <w:rPr>
      <w:rFonts w:ascii="Arial Unicode MS" w:hAnsi="Arial Unicode MS" w:eastAsia="Arial Unicode MS" w:cs="Arial Unicode MS"/>
    </w:rPr>
  </w:style>
  <w:style w:type="paragraph" w:customStyle="1" w:styleId="269">
    <w:name w:val="样式 表格正文 + 黑色 段后: 0.1 行 行距: 最小值 12 磅"/>
    <w:basedOn w:val="1"/>
    <w:autoRedefine/>
    <w:qFormat/>
    <w:uiPriority w:val="0"/>
    <w:pPr>
      <w:spacing w:line="360" w:lineRule="atLeast"/>
      <w:jc w:val="center"/>
    </w:pPr>
    <w:rPr>
      <w:rFonts w:hint="eastAsia"/>
      <w:color w:val="000000"/>
    </w:rPr>
  </w:style>
  <w:style w:type="paragraph" w:customStyle="1" w:styleId="270">
    <w:name w:val="正文（1）"/>
    <w:basedOn w:val="1"/>
    <w:autoRedefine/>
    <w:qFormat/>
    <w:uiPriority w:val="0"/>
    <w:pPr>
      <w:autoSpaceDE w:val="0"/>
      <w:autoSpaceDN w:val="0"/>
      <w:adjustRightInd w:val="0"/>
      <w:snapToGrid w:val="0"/>
      <w:spacing w:line="480" w:lineRule="exact"/>
      <w:ind w:firstLine="480" w:firstLineChars="200"/>
    </w:pPr>
    <w:rPr>
      <w:lang w:val="zh-CN"/>
    </w:rPr>
  </w:style>
  <w:style w:type="paragraph" w:customStyle="1" w:styleId="271">
    <w:name w:val="Char12"/>
    <w:basedOn w:val="1"/>
    <w:autoRedefine/>
    <w:qFormat/>
    <w:uiPriority w:val="0"/>
  </w:style>
  <w:style w:type="paragraph" w:customStyle="1" w:styleId="272">
    <w:name w:val="环评正文"/>
    <w:basedOn w:val="1"/>
    <w:autoRedefine/>
    <w:qFormat/>
    <w:uiPriority w:val="0"/>
    <w:pPr>
      <w:spacing w:line="360" w:lineRule="auto"/>
      <w:ind w:firstLine="200" w:firstLineChars="200"/>
    </w:pPr>
  </w:style>
  <w:style w:type="character" w:customStyle="1" w:styleId="273">
    <w:name w:val="24磅正文 Char"/>
    <w:link w:val="274"/>
    <w:autoRedefine/>
    <w:qFormat/>
    <w:uiPriority w:val="0"/>
    <w:rPr>
      <w:kern w:val="2"/>
      <w:sz w:val="24"/>
      <w:szCs w:val="24"/>
    </w:rPr>
  </w:style>
  <w:style w:type="paragraph" w:customStyle="1" w:styleId="274">
    <w:name w:val="24磅正文"/>
    <w:basedOn w:val="1"/>
    <w:link w:val="273"/>
    <w:autoRedefine/>
    <w:qFormat/>
    <w:uiPriority w:val="0"/>
    <w:pPr>
      <w:topLinePunct/>
      <w:autoSpaceDE w:val="0"/>
      <w:spacing w:line="480" w:lineRule="exact"/>
      <w:ind w:firstLine="480" w:firstLineChars="200"/>
    </w:pPr>
    <w:rPr>
      <w:szCs w:val="24"/>
      <w:lang w:val="zh-CN"/>
    </w:rPr>
  </w:style>
  <w:style w:type="character" w:customStyle="1" w:styleId="275">
    <w:name w:val="标题 Char1"/>
    <w:autoRedefine/>
    <w:qFormat/>
    <w:uiPriority w:val="0"/>
    <w:rPr>
      <w:rFonts w:ascii="Calibri Light" w:hAnsi="Calibri Light" w:cs="Times New Roman"/>
      <w:b/>
      <w:bCs/>
      <w:kern w:val="2"/>
      <w:sz w:val="32"/>
      <w:szCs w:val="32"/>
    </w:rPr>
  </w:style>
  <w:style w:type="character" w:customStyle="1" w:styleId="276">
    <w:name w:val="表格 仿宋5号 Char"/>
    <w:link w:val="277"/>
    <w:autoRedefine/>
    <w:qFormat/>
    <w:uiPriority w:val="0"/>
    <w:rPr>
      <w:rFonts w:eastAsia="仿宋"/>
      <w:color w:val="000000"/>
      <w:szCs w:val="21"/>
    </w:rPr>
  </w:style>
  <w:style w:type="paragraph" w:customStyle="1" w:styleId="277">
    <w:name w:val="表格 仿宋5号"/>
    <w:basedOn w:val="1"/>
    <w:link w:val="276"/>
    <w:autoRedefine/>
    <w:qFormat/>
    <w:uiPriority w:val="0"/>
    <w:pPr>
      <w:widowControl/>
      <w:adjustRightInd w:val="0"/>
      <w:snapToGrid w:val="0"/>
      <w:jc w:val="center"/>
    </w:pPr>
    <w:rPr>
      <w:rFonts w:eastAsia="仿宋"/>
      <w:color w:val="000000"/>
      <w:sz w:val="20"/>
      <w:lang w:val="zh-CN"/>
    </w:rPr>
  </w:style>
  <w:style w:type="paragraph" w:customStyle="1" w:styleId="278">
    <w:name w:val="Char Char8"/>
    <w:basedOn w:val="1"/>
    <w:autoRedefine/>
    <w:qFormat/>
    <w:uiPriority w:val="0"/>
  </w:style>
  <w:style w:type="character" w:customStyle="1" w:styleId="279">
    <w:name w:val="1正文，首行缩进 Char"/>
    <w:link w:val="280"/>
    <w:autoRedefine/>
    <w:qFormat/>
    <w:uiPriority w:val="0"/>
    <w:rPr>
      <w:snapToGrid/>
      <w:color w:val="000000"/>
      <w:sz w:val="24"/>
    </w:rPr>
  </w:style>
  <w:style w:type="paragraph" w:customStyle="1" w:styleId="280">
    <w:name w:val="1正文，首行缩进"/>
    <w:basedOn w:val="1"/>
    <w:link w:val="279"/>
    <w:autoRedefine/>
    <w:qFormat/>
    <w:uiPriority w:val="0"/>
    <w:pPr>
      <w:topLinePunct/>
      <w:adjustRightInd w:val="0"/>
      <w:snapToGrid w:val="0"/>
      <w:spacing w:line="360" w:lineRule="auto"/>
      <w:ind w:left="20" w:leftChars="20" w:right="20" w:rightChars="20" w:firstLine="200" w:firstLineChars="200"/>
    </w:pPr>
    <w:rPr>
      <w:color w:val="000000"/>
      <w:lang w:val="zh-CN"/>
    </w:rPr>
  </w:style>
  <w:style w:type="paragraph" w:customStyle="1" w:styleId="281">
    <w:name w:val="标准文本 首行缩进:2 字符 行距1倍"/>
    <w:basedOn w:val="1"/>
    <w:autoRedefine/>
    <w:qFormat/>
    <w:uiPriority w:val="0"/>
    <w:pPr>
      <w:widowControl/>
      <w:adjustRightInd w:val="0"/>
      <w:snapToGrid w:val="0"/>
      <w:spacing w:line="360" w:lineRule="auto"/>
      <w:ind w:firstLine="474" w:firstLineChars="225"/>
      <w:jc w:val="center"/>
      <w:textAlignment w:val="center"/>
    </w:pPr>
    <w:rPr>
      <w:b/>
      <w:color w:val="0000FF"/>
    </w:rPr>
  </w:style>
  <w:style w:type="paragraph" w:customStyle="1" w:styleId="282">
    <w:name w:val="表格文本 五号 居中 单倍行距"/>
    <w:basedOn w:val="1"/>
    <w:autoRedefine/>
    <w:qFormat/>
    <w:uiPriority w:val="0"/>
    <w:pPr>
      <w:widowControl/>
      <w:jc w:val="center"/>
    </w:pPr>
    <w:rPr>
      <w:rFonts w:ascii="黑体" w:eastAsia="黑体"/>
      <w:sz w:val="28"/>
      <w:szCs w:val="28"/>
    </w:rPr>
  </w:style>
  <w:style w:type="character" w:customStyle="1" w:styleId="283">
    <w:name w:val="正文文本 字符"/>
    <w:autoRedefine/>
    <w:qFormat/>
    <w:locked/>
    <w:uiPriority w:val="0"/>
    <w:rPr>
      <w:sz w:val="18"/>
    </w:rPr>
  </w:style>
  <w:style w:type="character" w:customStyle="1" w:styleId="284">
    <w:name w:val="正文缩进 字符"/>
    <w:autoRedefine/>
    <w:qFormat/>
    <w:uiPriority w:val="99"/>
    <w:rPr>
      <w:rFonts w:eastAsia="宋体"/>
      <w:spacing w:val="20"/>
      <w:kern w:val="2"/>
      <w:sz w:val="24"/>
      <w:lang w:val="en-US" w:eastAsia="zh-CN" w:bidi="ar-SA"/>
    </w:rPr>
  </w:style>
  <w:style w:type="character" w:customStyle="1" w:styleId="285">
    <w:name w:val="报告表正文 Char"/>
    <w:autoRedefine/>
    <w:qFormat/>
    <w:locked/>
    <w:uiPriority w:val="0"/>
    <w:rPr>
      <w:rFonts w:ascii="Times New Roman" w:hAnsi="Times New Roman" w:eastAsia="宋体" w:cs="Times New Roman"/>
      <w:kern w:val="0"/>
      <w:sz w:val="24"/>
      <w:szCs w:val="20"/>
    </w:rPr>
  </w:style>
  <w:style w:type="paragraph" w:customStyle="1" w:styleId="286">
    <w:name w:val="0表头"/>
    <w:basedOn w:val="1"/>
    <w:link w:val="729"/>
    <w:autoRedefine/>
    <w:qFormat/>
    <w:uiPriority w:val="0"/>
    <w:pPr>
      <w:framePr w:hSpace="180" w:wrap="around" w:vAnchor="text" w:hAnchor="text" w:xAlign="center" w:y="1"/>
      <w:suppressOverlap/>
      <w:adjustRightInd w:val="0"/>
      <w:snapToGrid w:val="0"/>
      <w:spacing w:after="0" w:line="460" w:lineRule="exact"/>
      <w:jc w:val="center"/>
    </w:pPr>
    <w:rPr>
      <w:b/>
      <w:sz w:val="21"/>
      <w:szCs w:val="22"/>
    </w:rPr>
  </w:style>
  <w:style w:type="paragraph" w:customStyle="1" w:styleId="287">
    <w:name w:val="0表内"/>
    <w:link w:val="680"/>
    <w:autoRedefine/>
    <w:qFormat/>
    <w:uiPriority w:val="0"/>
    <w:pPr>
      <w:framePr w:hSpace="180" w:wrap="around" w:vAnchor="text" w:hAnchor="text" w:xAlign="center" w:y="1"/>
      <w:suppressOverlap/>
      <w:adjustRightInd w:val="0"/>
      <w:snapToGrid w:val="0"/>
      <w:jc w:val="center"/>
    </w:pPr>
    <w:rPr>
      <w:rFonts w:ascii="Times New Roman" w:hAnsi="Times New Roman" w:eastAsia="宋体" w:cs="宋体"/>
      <w:kern w:val="2"/>
      <w:sz w:val="18"/>
      <w:szCs w:val="22"/>
      <w:lang w:val="zh-CN" w:eastAsia="zh-CN" w:bidi="ar-SA"/>
    </w:rPr>
  </w:style>
  <w:style w:type="paragraph" w:customStyle="1" w:styleId="288">
    <w:name w:val="A表格"/>
    <w:basedOn w:val="1"/>
    <w:link w:val="289"/>
    <w:autoRedefine/>
    <w:qFormat/>
    <w:uiPriority w:val="0"/>
    <w:pPr>
      <w:framePr w:hSpace="180" w:wrap="around" w:vAnchor="text" w:hAnchor="text" w:xAlign="center" w:y="1"/>
      <w:adjustRightInd w:val="0"/>
      <w:snapToGrid w:val="0"/>
      <w:jc w:val="center"/>
    </w:pPr>
    <w:rPr>
      <w:rFonts w:eastAsia="Times New Roman"/>
      <w:sz w:val="18"/>
      <w:lang w:val="zh-CN"/>
    </w:rPr>
  </w:style>
  <w:style w:type="character" w:customStyle="1" w:styleId="289">
    <w:name w:val="A表格 Char"/>
    <w:link w:val="288"/>
    <w:autoRedefine/>
    <w:qFormat/>
    <w:uiPriority w:val="0"/>
    <w:rPr>
      <w:rFonts w:eastAsia="Times New Roman"/>
      <w:kern w:val="2"/>
      <w:sz w:val="18"/>
      <w:szCs w:val="21"/>
      <w:lang w:val="zh-CN" w:eastAsia="zh-CN"/>
    </w:rPr>
  </w:style>
  <w:style w:type="paragraph" w:customStyle="1" w:styleId="290">
    <w:name w:val="Default1"/>
    <w:next w:val="1"/>
    <w:autoRedefine/>
    <w:qFormat/>
    <w:uiPriority w:val="0"/>
    <w:pPr>
      <w:widowControl w:val="0"/>
      <w:autoSpaceDE w:val="0"/>
      <w:autoSpaceDN w:val="0"/>
      <w:adjustRightInd w:val="0"/>
      <w:spacing w:after="160" w:line="278" w:lineRule="auto"/>
    </w:pPr>
    <w:rPr>
      <w:rFonts w:ascii="宋体" w:hAnsi="Times New Roman" w:eastAsia="宋体" w:cs="Times New Roman"/>
      <w:color w:val="000000"/>
      <w:kern w:val="2"/>
      <w:sz w:val="24"/>
      <w:szCs w:val="24"/>
      <w:lang w:val="en-US" w:eastAsia="zh-CN" w:bidi="ar-SA"/>
    </w:rPr>
  </w:style>
  <w:style w:type="paragraph" w:customStyle="1" w:styleId="291">
    <w:name w:val="Char Char1161"/>
    <w:basedOn w:val="1"/>
    <w:autoRedefine/>
    <w:qFormat/>
    <w:uiPriority w:val="0"/>
    <w:pPr>
      <w:spacing w:line="360" w:lineRule="auto"/>
      <w:ind w:firstLine="200" w:firstLineChars="200"/>
    </w:pPr>
    <w:rPr>
      <w:rFonts w:ascii="宋体" w:hAnsi="宋体"/>
    </w:rPr>
  </w:style>
  <w:style w:type="paragraph" w:customStyle="1" w:styleId="292">
    <w:name w:val="文本正文"/>
    <w:basedOn w:val="29"/>
    <w:next w:val="1"/>
    <w:link w:val="293"/>
    <w:autoRedefine/>
    <w:qFormat/>
    <w:uiPriority w:val="0"/>
    <w:pPr>
      <w:spacing w:before="50" w:beforeLines="50"/>
      <w:ind w:firstLine="560" w:firstLineChars="200"/>
    </w:pPr>
    <w:rPr>
      <w:rFonts w:ascii="Times New Roman" w:hAnsi="Times New Roman"/>
      <w:sz w:val="18"/>
      <w:szCs w:val="24"/>
      <w:lang w:val="zh-CN"/>
    </w:rPr>
  </w:style>
  <w:style w:type="character" w:customStyle="1" w:styleId="293">
    <w:name w:val="文本正文 Char"/>
    <w:link w:val="292"/>
    <w:autoRedefine/>
    <w:qFormat/>
    <w:uiPriority w:val="0"/>
    <w:rPr>
      <w:kern w:val="2"/>
      <w:sz w:val="18"/>
      <w:szCs w:val="24"/>
    </w:rPr>
  </w:style>
  <w:style w:type="paragraph" w:customStyle="1" w:styleId="294">
    <w:name w:val="表内正文"/>
    <w:basedOn w:val="1"/>
    <w:link w:val="295"/>
    <w:autoRedefine/>
    <w:qFormat/>
    <w:uiPriority w:val="0"/>
    <w:pPr>
      <w:wordWrap w:val="0"/>
      <w:spacing w:line="360" w:lineRule="auto"/>
      <w:ind w:firstLine="1044" w:firstLineChars="200"/>
      <w:jc w:val="left"/>
    </w:pPr>
    <w:rPr>
      <w:rFonts w:hint="eastAsia"/>
      <w:sz w:val="20"/>
      <w:lang w:val="zh-CN"/>
    </w:rPr>
  </w:style>
  <w:style w:type="character" w:customStyle="1" w:styleId="295">
    <w:name w:val="表内正文 Char"/>
    <w:link w:val="294"/>
    <w:autoRedefine/>
    <w:qFormat/>
    <w:uiPriority w:val="0"/>
    <w:rPr>
      <w:rFonts w:hint="eastAsia"/>
    </w:rPr>
  </w:style>
  <w:style w:type="paragraph" w:customStyle="1" w:styleId="296">
    <w:name w:val="表内最终版"/>
    <w:basedOn w:val="297"/>
    <w:autoRedefine/>
    <w:unhideWhenUsed/>
    <w:qFormat/>
    <w:uiPriority w:val="0"/>
    <w:pPr>
      <w:adjustRightInd w:val="0"/>
      <w:spacing w:line="240" w:lineRule="auto"/>
      <w:ind w:firstLine="0" w:firstLineChars="0"/>
      <w:jc w:val="center"/>
      <w:textAlignment w:val="baseline"/>
    </w:pPr>
    <w:rPr>
      <w:sz w:val="21"/>
    </w:rPr>
  </w:style>
  <w:style w:type="paragraph" w:customStyle="1" w:styleId="297">
    <w:name w:val="正文最终"/>
    <w:autoRedefine/>
    <w:qFormat/>
    <w:uiPriority w:val="0"/>
    <w:pPr>
      <w:widowControl w:val="0"/>
      <w:snapToGrid w:val="0"/>
      <w:spacing w:after="160" w:line="360" w:lineRule="auto"/>
      <w:ind w:firstLine="200" w:firstLineChars="200"/>
    </w:pPr>
    <w:rPr>
      <w:rFonts w:ascii="Times New Roman" w:hAnsi="Times New Roman" w:eastAsia="宋体" w:cs="Times New Roman"/>
      <w:kern w:val="2"/>
      <w:sz w:val="24"/>
      <w:szCs w:val="24"/>
      <w:lang w:val="en-US" w:eastAsia="zh-CN" w:bidi="ar-SA"/>
    </w:rPr>
  </w:style>
  <w:style w:type="paragraph" w:customStyle="1" w:styleId="298">
    <w:name w:val="图标 表标"/>
    <w:basedOn w:val="1"/>
    <w:autoRedefine/>
    <w:qFormat/>
    <w:uiPriority w:val="0"/>
    <w:pPr>
      <w:autoSpaceDE w:val="0"/>
      <w:autoSpaceDN w:val="0"/>
      <w:adjustRightInd w:val="0"/>
      <w:jc w:val="center"/>
    </w:pPr>
    <w:rPr>
      <w:b/>
      <w:bCs/>
      <w:kern w:val="21"/>
    </w:rPr>
  </w:style>
  <w:style w:type="paragraph" w:customStyle="1" w:styleId="299">
    <w:name w:val="表格标题、图标最终版"/>
    <w:basedOn w:val="1"/>
    <w:next w:val="1"/>
    <w:autoRedefine/>
    <w:unhideWhenUsed/>
    <w:qFormat/>
    <w:uiPriority w:val="0"/>
    <w:pPr>
      <w:jc w:val="center"/>
    </w:pPr>
    <w:rPr>
      <w:b/>
    </w:rPr>
  </w:style>
  <w:style w:type="paragraph" w:customStyle="1" w:styleId="300">
    <w:name w:val="表头文字"/>
    <w:basedOn w:val="1"/>
    <w:autoRedefine/>
    <w:qFormat/>
    <w:uiPriority w:val="0"/>
    <w:pPr>
      <w:spacing w:line="240" w:lineRule="atLeast"/>
      <w:jc w:val="center"/>
    </w:pPr>
    <w:rPr>
      <w:position w:val="-10"/>
      <w:szCs w:val="22"/>
    </w:rPr>
  </w:style>
  <w:style w:type="character" w:customStyle="1" w:styleId="301">
    <w:name w:val="表内文字 Char"/>
    <w:qFormat/>
    <w:uiPriority w:val="0"/>
    <w:rPr>
      <w:kern w:val="2"/>
      <w:sz w:val="18"/>
      <w:szCs w:val="18"/>
    </w:rPr>
  </w:style>
  <w:style w:type="character" w:customStyle="1" w:styleId="302">
    <w:name w:val="表头 Char"/>
    <w:qFormat/>
    <w:uiPriority w:val="0"/>
    <w:rPr>
      <w:b/>
      <w:kern w:val="2"/>
      <w:sz w:val="21"/>
      <w:szCs w:val="21"/>
    </w:rPr>
  </w:style>
  <w:style w:type="paragraph" w:customStyle="1" w:styleId="303">
    <w:name w:val="图片"/>
    <w:basedOn w:val="1"/>
    <w:next w:val="1"/>
    <w:link w:val="304"/>
    <w:qFormat/>
    <w:uiPriority w:val="0"/>
    <w:pPr>
      <w:wordWrap w:val="0"/>
      <w:adjustRightInd w:val="0"/>
      <w:snapToGrid w:val="0"/>
      <w:jc w:val="center"/>
    </w:pPr>
    <w:rPr>
      <w:szCs w:val="24"/>
      <w:lang w:val="zh-CN"/>
    </w:rPr>
  </w:style>
  <w:style w:type="character" w:customStyle="1" w:styleId="304">
    <w:name w:val="图片 Char"/>
    <w:link w:val="303"/>
    <w:qFormat/>
    <w:uiPriority w:val="0"/>
    <w:rPr>
      <w:kern w:val="2"/>
      <w:sz w:val="24"/>
      <w:szCs w:val="24"/>
    </w:rPr>
  </w:style>
  <w:style w:type="paragraph" w:customStyle="1" w:styleId="305">
    <w:name w:val="Table Text"/>
    <w:basedOn w:val="1"/>
    <w:semiHidden/>
    <w:qFormat/>
    <w:uiPriority w:val="0"/>
    <w:pPr>
      <w:wordWrap w:val="0"/>
      <w:spacing w:line="480" w:lineRule="exact"/>
      <w:ind w:firstLine="480" w:firstLineChars="200"/>
      <w:jc w:val="left"/>
    </w:pPr>
    <w:rPr>
      <w:rFonts w:ascii="宋体" w:hAnsi="宋体" w:cs="宋体"/>
      <w:lang w:eastAsia="en-US"/>
    </w:rPr>
  </w:style>
  <w:style w:type="paragraph" w:customStyle="1" w:styleId="306">
    <w:name w:val="样式 (中文) 仿宋_GB2312 四号 首行缩进:  0.98 厘米 行距: 固定值 22 磅"/>
    <w:basedOn w:val="1"/>
    <w:qFormat/>
    <w:uiPriority w:val="0"/>
    <w:pPr>
      <w:wordWrap w:val="0"/>
      <w:spacing w:line="300" w:lineRule="auto"/>
      <w:ind w:firstLine="556" w:firstLineChars="200"/>
      <w:jc w:val="left"/>
    </w:pPr>
    <w:rPr>
      <w:rFonts w:eastAsia="仿宋_GB2312" w:cs="宋体"/>
      <w:spacing w:val="-2"/>
      <w:sz w:val="28"/>
    </w:rPr>
  </w:style>
  <w:style w:type="character" w:customStyle="1" w:styleId="307">
    <w:name w:val="表格正文 Char1"/>
    <w:qFormat/>
    <w:uiPriority w:val="0"/>
  </w:style>
  <w:style w:type="character" w:customStyle="1" w:styleId="308">
    <w:name w:val="font11"/>
    <w:qFormat/>
    <w:uiPriority w:val="0"/>
    <w:rPr>
      <w:rFonts w:hint="default" w:ascii="Times New Roman" w:hAnsi="Times New Roman" w:cs="Times New Roman"/>
      <w:color w:val="000000"/>
      <w:sz w:val="21"/>
      <w:szCs w:val="21"/>
      <w:u w:val="none"/>
    </w:rPr>
  </w:style>
  <w:style w:type="character" w:customStyle="1" w:styleId="309">
    <w:name w:val="font21"/>
    <w:qFormat/>
    <w:uiPriority w:val="0"/>
    <w:rPr>
      <w:rFonts w:hint="eastAsia" w:ascii="宋体" w:hAnsi="宋体" w:eastAsia="宋体"/>
      <w:color w:val="000000"/>
      <w:sz w:val="21"/>
      <w:szCs w:val="21"/>
      <w:u w:val="none"/>
    </w:rPr>
  </w:style>
  <w:style w:type="character" w:customStyle="1" w:styleId="310">
    <w:name w:val="未处理的提及1"/>
    <w:unhideWhenUsed/>
    <w:qFormat/>
    <w:uiPriority w:val="99"/>
    <w:rPr>
      <w:color w:val="605E5C"/>
      <w:shd w:val="clear" w:color="auto" w:fill="E1DFDD"/>
    </w:rPr>
  </w:style>
  <w:style w:type="character" w:customStyle="1" w:styleId="311">
    <w:name w:val="脚注文本 字符"/>
    <w:qFormat/>
    <w:uiPriority w:val="0"/>
    <w:rPr>
      <w:rFonts w:ascii="Arial" w:hAnsi="Arial" w:eastAsia="仿宋_GB2312"/>
      <w:sz w:val="18"/>
      <w:szCs w:val="18"/>
    </w:rPr>
  </w:style>
  <w:style w:type="character" w:customStyle="1" w:styleId="312">
    <w:name w:val="标题 2 Char1"/>
    <w:qFormat/>
    <w:uiPriority w:val="0"/>
    <w:rPr>
      <w:rFonts w:ascii="等线 Light" w:hAnsi="等线 Light" w:eastAsia="等线 Light" w:cs="Times New Roman"/>
      <w:b/>
      <w:bCs/>
      <w:kern w:val="2"/>
      <w:sz w:val="32"/>
      <w:szCs w:val="32"/>
    </w:rPr>
  </w:style>
  <w:style w:type="character" w:customStyle="1" w:styleId="313">
    <w:name w:val="标题 3 Char1"/>
    <w:qFormat/>
    <w:uiPriority w:val="0"/>
    <w:rPr>
      <w:b/>
      <w:bCs/>
      <w:kern w:val="2"/>
      <w:sz w:val="32"/>
      <w:szCs w:val="32"/>
    </w:rPr>
  </w:style>
  <w:style w:type="character" w:customStyle="1" w:styleId="314">
    <w:name w:val="正文文本 Char3"/>
    <w:qFormat/>
    <w:locked/>
    <w:uiPriority w:val="0"/>
    <w:rPr>
      <w:sz w:val="18"/>
    </w:rPr>
  </w:style>
  <w:style w:type="character" w:customStyle="1" w:styleId="315">
    <w:name w:val="页脚 Char1"/>
    <w:qFormat/>
    <w:locked/>
    <w:uiPriority w:val="99"/>
    <w:rPr>
      <w:sz w:val="18"/>
    </w:rPr>
  </w:style>
  <w:style w:type="character" w:customStyle="1" w:styleId="316">
    <w:name w:val="页眉 Char1"/>
    <w:qFormat/>
    <w:locked/>
    <w:uiPriority w:val="0"/>
    <w:rPr>
      <w:sz w:val="18"/>
    </w:rPr>
  </w:style>
  <w:style w:type="table" w:customStyle="1" w:styleId="317">
    <w:name w:val="网格型1"/>
    <w:basedOn w:val="53"/>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18">
    <w:name w:val="纯文本11"/>
    <w:basedOn w:val="1"/>
    <w:qFormat/>
    <w:uiPriority w:val="0"/>
    <w:pPr>
      <w:widowControl/>
      <w:spacing w:before="100" w:beforeAutospacing="1" w:after="100" w:afterAutospacing="1"/>
      <w:jc w:val="left"/>
    </w:pPr>
    <w:rPr>
      <w:rFonts w:ascii="宋体" w:hAnsi="宋体"/>
    </w:rPr>
  </w:style>
  <w:style w:type="paragraph" w:customStyle="1" w:styleId="319">
    <w:name w:val="正文文字 6"/>
    <w:next w:val="1"/>
    <w:qFormat/>
    <w:uiPriority w:val="0"/>
    <w:pPr>
      <w:widowControl w:val="0"/>
      <w:spacing w:after="160" w:line="278" w:lineRule="auto"/>
      <w:ind w:left="240"/>
      <w:jc w:val="both"/>
    </w:pPr>
    <w:rPr>
      <w:rFonts w:ascii="宋体" w:hAnsi="Times New Roman" w:eastAsia="宋体" w:cs="Times New Roman"/>
      <w:b/>
      <w:bCs/>
      <w:kern w:val="2"/>
      <w:sz w:val="32"/>
      <w:szCs w:val="32"/>
      <w:lang w:val="en-US" w:eastAsia="zh-CN" w:bidi="ar-SA"/>
    </w:rPr>
  </w:style>
  <w:style w:type="character" w:customStyle="1" w:styleId="320">
    <w:name w:val="Char Char1 Char6"/>
    <w:link w:val="321"/>
    <w:qFormat/>
    <w:locked/>
    <w:uiPriority w:val="99"/>
    <w:rPr>
      <w:rFonts w:ascii="宋体"/>
      <w:kern w:val="2"/>
      <w:sz w:val="24"/>
    </w:rPr>
  </w:style>
  <w:style w:type="paragraph" w:customStyle="1" w:styleId="321">
    <w:name w:val="Char Char16"/>
    <w:basedOn w:val="1"/>
    <w:link w:val="320"/>
    <w:qFormat/>
    <w:uiPriority w:val="99"/>
    <w:pPr>
      <w:spacing w:line="360" w:lineRule="auto"/>
      <w:ind w:firstLine="200" w:firstLineChars="200"/>
    </w:pPr>
    <w:rPr>
      <w:rFonts w:ascii="宋体"/>
      <w:lang w:val="zh-CN"/>
    </w:rPr>
  </w:style>
  <w:style w:type="character" w:customStyle="1" w:styleId="322">
    <w:name w:val="正文首行缩进2个字 Char"/>
    <w:link w:val="323"/>
    <w:qFormat/>
    <w:uiPriority w:val="0"/>
    <w:rPr>
      <w:kern w:val="2"/>
      <w:sz w:val="24"/>
    </w:rPr>
  </w:style>
  <w:style w:type="paragraph" w:customStyle="1" w:styleId="323">
    <w:name w:val="正文首行缩进2个字"/>
    <w:basedOn w:val="1"/>
    <w:link w:val="322"/>
    <w:qFormat/>
    <w:uiPriority w:val="0"/>
    <w:pPr>
      <w:spacing w:line="360" w:lineRule="auto"/>
      <w:ind w:firstLine="480" w:firstLineChars="200"/>
    </w:pPr>
    <w:rPr>
      <w:lang w:val="zh-CN"/>
    </w:rPr>
  </w:style>
  <w:style w:type="character" w:customStyle="1" w:styleId="324">
    <w:name w:val="正文文本首行缩进 字符"/>
    <w:qFormat/>
    <w:uiPriority w:val="0"/>
    <w:rPr>
      <w:kern w:val="2"/>
      <w:sz w:val="21"/>
      <w:szCs w:val="24"/>
    </w:rPr>
  </w:style>
  <w:style w:type="character" w:customStyle="1" w:styleId="325">
    <w:name w:val="postbody"/>
    <w:qFormat/>
    <w:uiPriority w:val="0"/>
  </w:style>
  <w:style w:type="character" w:customStyle="1" w:styleId="326">
    <w:name w:val="表格外标 Char"/>
    <w:link w:val="327"/>
    <w:qFormat/>
    <w:uiPriority w:val="0"/>
    <w:rPr>
      <w:rFonts w:eastAsia="黑体"/>
      <w:sz w:val="24"/>
      <w:szCs w:val="24"/>
    </w:rPr>
  </w:style>
  <w:style w:type="paragraph" w:customStyle="1" w:styleId="327">
    <w:name w:val="表格外标"/>
    <w:basedOn w:val="1"/>
    <w:next w:val="1"/>
    <w:link w:val="326"/>
    <w:qFormat/>
    <w:uiPriority w:val="0"/>
    <w:pPr>
      <w:adjustRightInd w:val="0"/>
      <w:snapToGrid w:val="0"/>
      <w:spacing w:beforeLines="50" w:afterLines="20"/>
      <w:jc w:val="center"/>
    </w:pPr>
    <w:rPr>
      <w:rFonts w:eastAsia="黑体"/>
      <w:szCs w:val="24"/>
      <w:lang w:val="zh-CN"/>
    </w:rPr>
  </w:style>
  <w:style w:type="paragraph" w:customStyle="1" w:styleId="328">
    <w:name w:val="1-正文"/>
    <w:basedOn w:val="1"/>
    <w:qFormat/>
    <w:uiPriority w:val="0"/>
    <w:pPr>
      <w:spacing w:line="360" w:lineRule="auto"/>
      <w:ind w:firstLine="480" w:firstLineChars="200"/>
    </w:pPr>
    <w:rPr>
      <w:rFonts w:ascii="宋体" w:cs="宋体"/>
    </w:rPr>
  </w:style>
  <w:style w:type="character" w:customStyle="1" w:styleId="329">
    <w:name w:val="题注 Char1"/>
    <w:qFormat/>
    <w:uiPriority w:val="0"/>
    <w:rPr>
      <w:rFonts w:ascii="Arial" w:hAnsi="Arial" w:eastAsia="黑体" w:cs="Arial"/>
      <w:kern w:val="2"/>
      <w:lang w:val="en-US" w:eastAsia="zh-CN" w:bidi="ar-SA"/>
    </w:rPr>
  </w:style>
  <w:style w:type="character" w:customStyle="1" w:styleId="330">
    <w:name w:val="样式9 Char"/>
    <w:link w:val="331"/>
    <w:qFormat/>
    <w:uiPriority w:val="0"/>
    <w:rPr>
      <w:rFonts w:ascii="Arial" w:hAnsi="Arial" w:cs="Arial"/>
      <w:kern w:val="2"/>
      <w:sz w:val="24"/>
      <w:szCs w:val="24"/>
    </w:rPr>
  </w:style>
  <w:style w:type="paragraph" w:customStyle="1" w:styleId="331">
    <w:name w:val="样式9"/>
    <w:basedOn w:val="1"/>
    <w:link w:val="330"/>
    <w:qFormat/>
    <w:uiPriority w:val="0"/>
    <w:pPr>
      <w:spacing w:line="360" w:lineRule="auto"/>
      <w:ind w:firstLine="480" w:firstLineChars="200"/>
    </w:pPr>
    <w:rPr>
      <w:rFonts w:ascii="Arial" w:hAnsi="Arial"/>
      <w:szCs w:val="24"/>
      <w:lang w:val="zh-CN"/>
    </w:rPr>
  </w:style>
  <w:style w:type="character" w:customStyle="1" w:styleId="332">
    <w:name w:val="表头1 Char"/>
    <w:link w:val="333"/>
    <w:qFormat/>
    <w:uiPriority w:val="0"/>
    <w:rPr>
      <w:rFonts w:cs="宋体"/>
      <w:b/>
      <w:bCs/>
      <w:kern w:val="2"/>
      <w:sz w:val="21"/>
    </w:rPr>
  </w:style>
  <w:style w:type="paragraph" w:customStyle="1" w:styleId="333">
    <w:name w:val="表头1"/>
    <w:basedOn w:val="21"/>
    <w:next w:val="77"/>
    <w:link w:val="332"/>
    <w:qFormat/>
    <w:uiPriority w:val="0"/>
    <w:pPr>
      <w:widowControl w:val="0"/>
      <w:snapToGrid/>
      <w:spacing w:before="0" w:after="0" w:line="240" w:lineRule="auto"/>
      <w:ind w:right="0"/>
      <w:jc w:val="center"/>
      <w:textAlignment w:val="center"/>
    </w:pPr>
    <w:rPr>
      <w:b/>
      <w:bCs/>
      <w:kern w:val="2"/>
      <w:sz w:val="21"/>
    </w:rPr>
  </w:style>
  <w:style w:type="character" w:customStyle="1" w:styleId="334">
    <w:name w:val="Char Char1 Char1"/>
    <w:link w:val="335"/>
    <w:qFormat/>
    <w:locked/>
    <w:uiPriority w:val="99"/>
    <w:rPr>
      <w:rFonts w:ascii="宋体"/>
      <w:kern w:val="2"/>
      <w:sz w:val="24"/>
    </w:rPr>
  </w:style>
  <w:style w:type="paragraph" w:customStyle="1" w:styleId="335">
    <w:name w:val="Char Char1"/>
    <w:basedOn w:val="1"/>
    <w:link w:val="334"/>
    <w:qFormat/>
    <w:uiPriority w:val="0"/>
    <w:pPr>
      <w:spacing w:line="360" w:lineRule="auto"/>
      <w:ind w:firstLine="200" w:firstLineChars="200"/>
    </w:pPr>
    <w:rPr>
      <w:rFonts w:ascii="宋体"/>
      <w:lang w:val="zh-CN"/>
    </w:rPr>
  </w:style>
  <w:style w:type="character" w:customStyle="1" w:styleId="336">
    <w:name w:val="表格 Char1"/>
    <w:qFormat/>
    <w:uiPriority w:val="0"/>
    <w:rPr>
      <w:rFonts w:ascii="宋体" w:hAnsi="宋体" w:eastAsia="宋体"/>
      <w:snapToGrid w:val="0"/>
      <w:sz w:val="21"/>
      <w:lang w:val="en-US" w:eastAsia="zh-CN" w:bidi="ar-SA"/>
    </w:rPr>
  </w:style>
  <w:style w:type="character" w:customStyle="1" w:styleId="337">
    <w:name w:val="标题 4 字符"/>
    <w:semiHidden/>
    <w:qFormat/>
    <w:uiPriority w:val="0"/>
    <w:rPr>
      <w:rFonts w:ascii="等线 Light" w:hAnsi="等线 Light" w:eastAsia="等线 Light" w:cs="Times New Roman"/>
      <w:b/>
      <w:bCs/>
      <w:kern w:val="2"/>
      <w:sz w:val="28"/>
      <w:szCs w:val="28"/>
    </w:rPr>
  </w:style>
  <w:style w:type="character" w:customStyle="1" w:styleId="338">
    <w:name w:val="Other|1_"/>
    <w:link w:val="339"/>
    <w:qFormat/>
    <w:locked/>
    <w:uiPriority w:val="0"/>
    <w:rPr>
      <w:rFonts w:ascii="宋体" w:hAnsi="宋体" w:cs="宋体"/>
      <w:lang w:val="zh-TW" w:eastAsia="zh-TW" w:bidi="zh-TW"/>
    </w:rPr>
  </w:style>
  <w:style w:type="paragraph" w:customStyle="1" w:styleId="339">
    <w:name w:val="Other|1"/>
    <w:basedOn w:val="1"/>
    <w:link w:val="338"/>
    <w:qFormat/>
    <w:uiPriority w:val="0"/>
    <w:pPr>
      <w:spacing w:line="269" w:lineRule="exact"/>
      <w:jc w:val="center"/>
    </w:pPr>
    <w:rPr>
      <w:rFonts w:ascii="宋体" w:hAnsi="宋体" w:cs="宋体"/>
      <w:sz w:val="20"/>
      <w:lang w:val="zh-TW" w:eastAsia="zh-TW" w:bidi="zh-TW"/>
    </w:rPr>
  </w:style>
  <w:style w:type="character" w:customStyle="1" w:styleId="340">
    <w:name w:val="正文文本 Char2"/>
    <w:qFormat/>
    <w:uiPriority w:val="0"/>
    <w:rPr>
      <w:rFonts w:eastAsia="宋体"/>
      <w:kern w:val="2"/>
      <w:sz w:val="24"/>
      <w:szCs w:val="24"/>
      <w:lang w:val="en-US" w:eastAsia="zh-CN" w:bidi="ar-SA"/>
    </w:rPr>
  </w:style>
  <w:style w:type="character" w:customStyle="1" w:styleId="341">
    <w:name w:val="正文文本 Char1"/>
    <w:qFormat/>
    <w:uiPriority w:val="0"/>
    <w:rPr>
      <w:rFonts w:eastAsia="宋体"/>
      <w:kern w:val="2"/>
      <w:sz w:val="24"/>
      <w:szCs w:val="24"/>
      <w:lang w:val="en-US" w:eastAsia="zh-CN" w:bidi="ar-SA"/>
    </w:rPr>
  </w:style>
  <w:style w:type="character" w:customStyle="1" w:styleId="342">
    <w:name w:val="Body text|1_"/>
    <w:link w:val="343"/>
    <w:qFormat/>
    <w:locked/>
    <w:uiPriority w:val="0"/>
    <w:rPr>
      <w:rFonts w:ascii="宋体" w:hAnsi="宋体" w:cs="宋体"/>
      <w:lang w:val="zh-TW" w:eastAsia="zh-TW" w:bidi="zh-TW"/>
    </w:rPr>
  </w:style>
  <w:style w:type="paragraph" w:customStyle="1" w:styleId="343">
    <w:name w:val="Body text|1"/>
    <w:basedOn w:val="1"/>
    <w:link w:val="342"/>
    <w:qFormat/>
    <w:uiPriority w:val="0"/>
    <w:pPr>
      <w:jc w:val="left"/>
    </w:pPr>
    <w:rPr>
      <w:rFonts w:ascii="宋体" w:hAnsi="宋体" w:cs="宋体"/>
      <w:sz w:val="20"/>
      <w:lang w:val="zh-TW" w:eastAsia="zh-TW" w:bidi="zh-TW"/>
    </w:rPr>
  </w:style>
  <w:style w:type="character" w:customStyle="1" w:styleId="344">
    <w:name w:val="样式8 Char"/>
    <w:link w:val="345"/>
    <w:qFormat/>
    <w:uiPriority w:val="0"/>
    <w:rPr>
      <w:rFonts w:ascii="Arial" w:hAnsi="Arial" w:eastAsia="仿宋_GB2312" w:cs="Arial"/>
      <w:color w:val="000000"/>
      <w:kern w:val="2"/>
      <w:sz w:val="24"/>
      <w:szCs w:val="24"/>
    </w:rPr>
  </w:style>
  <w:style w:type="paragraph" w:customStyle="1" w:styleId="345">
    <w:name w:val="样式8"/>
    <w:basedOn w:val="7"/>
    <w:link w:val="344"/>
    <w:qFormat/>
    <w:uiPriority w:val="0"/>
    <w:pPr>
      <w:tabs>
        <w:tab w:val="left" w:pos="425"/>
      </w:tabs>
      <w:spacing w:before="120" w:after="0" w:line="264" w:lineRule="auto"/>
      <w:jc w:val="center"/>
    </w:pPr>
    <w:rPr>
      <w:rFonts w:eastAsia="仿宋_GB2312"/>
      <w:b w:val="0"/>
      <w:bCs w:val="0"/>
      <w:color w:val="000000"/>
      <w:sz w:val="24"/>
      <w:szCs w:val="24"/>
    </w:rPr>
  </w:style>
  <w:style w:type="character" w:customStyle="1" w:styleId="346">
    <w:name w:val="标题 5 字符"/>
    <w:qFormat/>
    <w:uiPriority w:val="0"/>
    <w:rPr>
      <w:b/>
      <w:bCs/>
      <w:kern w:val="2"/>
      <w:sz w:val="28"/>
      <w:szCs w:val="28"/>
    </w:rPr>
  </w:style>
  <w:style w:type="character" w:customStyle="1" w:styleId="347">
    <w:name w:val="环评文本样式 Char"/>
    <w:link w:val="348"/>
    <w:qFormat/>
    <w:uiPriority w:val="0"/>
    <w:rPr>
      <w:rFonts w:hAnsi="宋体"/>
      <w:kern w:val="2"/>
      <w:sz w:val="24"/>
      <w:szCs w:val="24"/>
      <w:lang w:val="en-US" w:eastAsia="zh-CN" w:bidi="ar-SA"/>
    </w:rPr>
  </w:style>
  <w:style w:type="paragraph" w:customStyle="1" w:styleId="348">
    <w:name w:val="环评文本样式"/>
    <w:link w:val="347"/>
    <w:qFormat/>
    <w:uiPriority w:val="0"/>
    <w:pPr>
      <w:spacing w:after="160" w:line="480" w:lineRule="exact"/>
      <w:ind w:firstLine="200" w:firstLineChars="200"/>
    </w:pPr>
    <w:rPr>
      <w:rFonts w:ascii="Times New Roman" w:hAnsi="宋体" w:eastAsia="宋体" w:cs="Times New Roman"/>
      <w:kern w:val="2"/>
      <w:sz w:val="24"/>
      <w:szCs w:val="24"/>
      <w:lang w:val="en-US" w:eastAsia="zh-CN" w:bidi="ar-SA"/>
    </w:rPr>
  </w:style>
  <w:style w:type="character" w:customStyle="1" w:styleId="349">
    <w:name w:val="标题 字符"/>
    <w:qFormat/>
    <w:uiPriority w:val="0"/>
    <w:rPr>
      <w:rFonts w:ascii="等线 Light" w:hAnsi="等线 Light" w:cs="Times New Roman"/>
      <w:b/>
      <w:bCs/>
      <w:kern w:val="2"/>
      <w:sz w:val="32"/>
      <w:szCs w:val="32"/>
    </w:rPr>
  </w:style>
  <w:style w:type="character" w:customStyle="1" w:styleId="350">
    <w:name w:val="hangju1"/>
    <w:qFormat/>
    <w:uiPriority w:val="0"/>
  </w:style>
  <w:style w:type="character" w:customStyle="1" w:styleId="351">
    <w:name w:val="headline-content"/>
    <w:qFormat/>
    <w:uiPriority w:val="0"/>
  </w:style>
  <w:style w:type="character" w:customStyle="1" w:styleId="352">
    <w:name w:val="ft1"/>
    <w:qFormat/>
    <w:uiPriority w:val="0"/>
    <w:rPr>
      <w:rFonts w:hint="default" w:ascii="Arial" w:hAnsi="Arial" w:cs="Arial"/>
      <w:color w:val="000000"/>
      <w:sz w:val="22"/>
      <w:szCs w:val="22"/>
      <w:u w:val="none"/>
    </w:rPr>
  </w:style>
  <w:style w:type="character" w:customStyle="1" w:styleId="353">
    <w:name w:val="正文11"/>
    <w:qFormat/>
    <w:uiPriority w:val="0"/>
    <w:rPr>
      <w:rFonts w:hint="eastAsia" w:ascii="宋体" w:hAnsi="宋体" w:eastAsia="宋体"/>
      <w:color w:val="000000"/>
      <w:sz w:val="22"/>
      <w:szCs w:val="22"/>
    </w:rPr>
  </w:style>
  <w:style w:type="character" w:customStyle="1" w:styleId="354">
    <w:name w:val="纯文本 字符"/>
    <w:qFormat/>
    <w:uiPriority w:val="0"/>
    <w:rPr>
      <w:rFonts w:ascii="宋体" w:hAnsi="Courier New" w:cs="Courier New"/>
      <w:kern w:val="2"/>
      <w:sz w:val="21"/>
      <w:szCs w:val="21"/>
    </w:rPr>
  </w:style>
  <w:style w:type="character" w:customStyle="1" w:styleId="355">
    <w:name w:val="正文00000 Char"/>
    <w:link w:val="356"/>
    <w:qFormat/>
    <w:uiPriority w:val="0"/>
    <w:rPr>
      <w:kern w:val="2"/>
      <w:sz w:val="24"/>
    </w:rPr>
  </w:style>
  <w:style w:type="paragraph" w:customStyle="1" w:styleId="356">
    <w:name w:val="正文00000"/>
    <w:basedOn w:val="1"/>
    <w:link w:val="355"/>
    <w:qFormat/>
    <w:uiPriority w:val="0"/>
    <w:pPr>
      <w:adjustRightInd w:val="0"/>
      <w:snapToGrid w:val="0"/>
      <w:spacing w:line="440" w:lineRule="atLeast"/>
      <w:ind w:firstLine="482"/>
    </w:pPr>
    <w:rPr>
      <w:lang w:val="zh-CN"/>
    </w:rPr>
  </w:style>
  <w:style w:type="character" w:customStyle="1" w:styleId="357">
    <w:name w:val="1级标题 Char"/>
    <w:link w:val="358"/>
    <w:qFormat/>
    <w:uiPriority w:val="0"/>
    <w:rPr>
      <w:b/>
      <w:kern w:val="2"/>
      <w:sz w:val="32"/>
      <w:szCs w:val="24"/>
    </w:rPr>
  </w:style>
  <w:style w:type="paragraph" w:customStyle="1" w:styleId="358">
    <w:name w:val="1级标题"/>
    <w:basedOn w:val="1"/>
    <w:link w:val="357"/>
    <w:qFormat/>
    <w:uiPriority w:val="0"/>
    <w:pPr>
      <w:spacing w:before="60" w:line="460" w:lineRule="exact"/>
      <w:outlineLvl w:val="0"/>
    </w:pPr>
    <w:rPr>
      <w:b/>
      <w:sz w:val="32"/>
      <w:szCs w:val="24"/>
      <w:lang w:val="zh-CN"/>
    </w:rPr>
  </w:style>
  <w:style w:type="character" w:customStyle="1" w:styleId="359">
    <w:name w:val="样式4 Char"/>
    <w:link w:val="360"/>
    <w:qFormat/>
    <w:locked/>
    <w:uiPriority w:val="0"/>
    <w:rPr>
      <w:rFonts w:ascii="Arial" w:hAnsi="Arial" w:cs="Arial"/>
      <w:kern w:val="2"/>
      <w:sz w:val="24"/>
      <w:szCs w:val="24"/>
    </w:rPr>
  </w:style>
  <w:style w:type="paragraph" w:customStyle="1" w:styleId="360">
    <w:name w:val="样式4"/>
    <w:basedOn w:val="14"/>
    <w:link w:val="359"/>
    <w:qFormat/>
    <w:uiPriority w:val="0"/>
    <w:pPr>
      <w:spacing w:line="360" w:lineRule="auto"/>
      <w:ind w:firstLine="480" w:firstLineChars="200"/>
    </w:pPr>
    <w:rPr>
      <w:rFonts w:ascii="Arial" w:hAnsi="Arial"/>
      <w:spacing w:val="0"/>
      <w:szCs w:val="24"/>
      <w:lang w:val="zh-CN"/>
    </w:rPr>
  </w:style>
  <w:style w:type="character" w:customStyle="1" w:styleId="361">
    <w:name w:val="样式 样式 (中文) 宋体 小四 行距: 多倍行距 1.1 字行 + 首行缩进:  2 字符 Char"/>
    <w:link w:val="362"/>
    <w:qFormat/>
    <w:uiPriority w:val="0"/>
    <w:rPr>
      <w:rFonts w:ascii="Arial" w:hAnsi="Arial" w:cs="宋体"/>
      <w:spacing w:val="10"/>
      <w:kern w:val="2"/>
      <w:sz w:val="24"/>
      <w:szCs w:val="24"/>
    </w:rPr>
  </w:style>
  <w:style w:type="paragraph" w:customStyle="1" w:styleId="362">
    <w:name w:val="样式 样式 (中文) 宋体 小四 行距: 多倍行距 1.1 字行 + 首行缩进:  2 字符"/>
    <w:basedOn w:val="1"/>
    <w:link w:val="361"/>
    <w:qFormat/>
    <w:uiPriority w:val="0"/>
    <w:pPr>
      <w:spacing w:line="264" w:lineRule="auto"/>
      <w:ind w:firstLine="489" w:firstLineChars="200"/>
      <w:textAlignment w:val="center"/>
    </w:pPr>
    <w:rPr>
      <w:rFonts w:ascii="Arial" w:hAnsi="Arial"/>
      <w:spacing w:val="10"/>
      <w:szCs w:val="24"/>
      <w:lang w:val="zh-CN"/>
    </w:rPr>
  </w:style>
  <w:style w:type="character" w:customStyle="1" w:styleId="363">
    <w:name w:val="样式 题注 + (中文) 宋体 小四 加粗 Char"/>
    <w:link w:val="364"/>
    <w:qFormat/>
    <w:uiPriority w:val="0"/>
    <w:rPr>
      <w:rFonts w:ascii="Arial" w:hAnsi="Arial"/>
      <w:b/>
      <w:bCs/>
      <w:sz w:val="24"/>
      <w:szCs w:val="24"/>
    </w:rPr>
  </w:style>
  <w:style w:type="paragraph" w:customStyle="1" w:styleId="364">
    <w:name w:val="样式 题注 + (中文) 宋体 小四 加粗"/>
    <w:basedOn w:val="15"/>
    <w:link w:val="363"/>
    <w:qFormat/>
    <w:uiPriority w:val="0"/>
    <w:pPr>
      <w:keepNext/>
      <w:spacing w:before="160" w:line="0" w:lineRule="atLeast"/>
      <w:contextualSpacing/>
      <w:jc w:val="center"/>
    </w:pPr>
    <w:rPr>
      <w:rFonts w:eastAsia="宋体" w:cs="Times New Roman"/>
      <w:sz w:val="24"/>
      <w:szCs w:val="24"/>
      <w:lang w:val="zh-CN"/>
    </w:rPr>
  </w:style>
  <w:style w:type="character" w:customStyle="1" w:styleId="365">
    <w:name w:val="正文文本的样式 Char"/>
    <w:link w:val="366"/>
    <w:qFormat/>
    <w:uiPriority w:val="0"/>
    <w:rPr>
      <w:rFonts w:ascii="Arial" w:hAnsi="Arial" w:cs="Arial"/>
      <w:sz w:val="24"/>
      <w:lang w:bidi="en-US"/>
    </w:rPr>
  </w:style>
  <w:style w:type="paragraph" w:customStyle="1" w:styleId="366">
    <w:name w:val="正文文本的样式"/>
    <w:basedOn w:val="1"/>
    <w:link w:val="365"/>
    <w:qFormat/>
    <w:uiPriority w:val="0"/>
    <w:pPr>
      <w:widowControl/>
      <w:spacing w:line="360" w:lineRule="auto"/>
      <w:ind w:firstLine="200" w:firstLineChars="200"/>
      <w:jc w:val="left"/>
    </w:pPr>
    <w:rPr>
      <w:rFonts w:ascii="Arial" w:hAnsi="Arial" w:cs="Arial"/>
      <w:lang w:val="zh-CN" w:bidi="en-US"/>
    </w:rPr>
  </w:style>
  <w:style w:type="character" w:customStyle="1" w:styleId="367">
    <w:name w:val="表格正文样式 Char"/>
    <w:link w:val="368"/>
    <w:qFormat/>
    <w:uiPriority w:val="0"/>
    <w:rPr>
      <w:rFonts w:ascii="Arial" w:hAnsi="Arial"/>
      <w:color w:val="000000"/>
      <w:sz w:val="21"/>
      <w:szCs w:val="21"/>
      <w:lang w:eastAsia="en-US" w:bidi="en-US"/>
    </w:rPr>
  </w:style>
  <w:style w:type="paragraph" w:customStyle="1" w:styleId="368">
    <w:name w:val="表格正文样式"/>
    <w:basedOn w:val="1"/>
    <w:link w:val="367"/>
    <w:qFormat/>
    <w:uiPriority w:val="0"/>
    <w:pPr>
      <w:widowControl/>
      <w:spacing w:line="0" w:lineRule="atLeast"/>
      <w:jc w:val="center"/>
    </w:pPr>
    <w:rPr>
      <w:rFonts w:ascii="Arial" w:hAnsi="Arial"/>
      <w:color w:val="000000"/>
      <w:sz w:val="21"/>
      <w:lang w:val="zh-CN" w:eastAsia="en-US" w:bidi="en-US"/>
    </w:rPr>
  </w:style>
  <w:style w:type="character" w:customStyle="1" w:styleId="369">
    <w:name w:val="javascript1"/>
    <w:qFormat/>
    <w:uiPriority w:val="0"/>
    <w:rPr>
      <w:rFonts w:ascii="Tahoma" w:hAnsi="Tahoma" w:eastAsia="宋体" w:cs="Tahoma"/>
      <w:i/>
      <w:spacing w:val="240"/>
      <w:sz w:val="24"/>
      <w:szCs w:val="18"/>
      <w:shd w:val="clear" w:color="auto" w:fill="CCCCCC"/>
    </w:rPr>
  </w:style>
  <w:style w:type="paragraph" w:customStyle="1" w:styleId="370">
    <w:name w:val="样式 加粗 居中"/>
    <w:basedOn w:val="1"/>
    <w:qFormat/>
    <w:uiPriority w:val="0"/>
    <w:pPr>
      <w:jc w:val="center"/>
    </w:pPr>
    <w:rPr>
      <w:rFonts w:ascii="Arial" w:hAnsi="Arial" w:cs="宋体"/>
      <w:b/>
      <w:bCs/>
    </w:rPr>
  </w:style>
  <w:style w:type="paragraph" w:customStyle="1" w:styleId="371">
    <w:name w:val="xl37"/>
    <w:basedOn w:val="1"/>
    <w:qFormat/>
    <w:uiPriority w:val="0"/>
    <w:pPr>
      <w:widowControl/>
      <w:spacing w:before="100" w:beforeAutospacing="1" w:after="100" w:afterAutospacing="1"/>
      <w:jc w:val="center"/>
    </w:pPr>
    <w:rPr>
      <w:rFonts w:ascii="宋体" w:hAnsi="宋体"/>
    </w:rPr>
  </w:style>
  <w:style w:type="paragraph" w:customStyle="1" w:styleId="3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ind w:firstLine="200" w:firstLineChars="200"/>
      <w:jc w:val="center"/>
    </w:pPr>
    <w:rPr>
      <w:rFonts w:ascii="宋体" w:hAnsi="宋体"/>
    </w:rPr>
  </w:style>
  <w:style w:type="paragraph" w:customStyle="1" w:styleId="373">
    <w:name w:val="04正文"/>
    <w:basedOn w:val="1"/>
    <w:semiHidden/>
    <w:qFormat/>
    <w:uiPriority w:val="0"/>
    <w:pPr>
      <w:spacing w:line="360" w:lineRule="auto"/>
      <w:ind w:firstLine="480" w:firstLineChars="200"/>
    </w:pPr>
    <w:rPr>
      <w:color w:val="000000"/>
    </w:rPr>
  </w:style>
  <w:style w:type="paragraph" w:customStyle="1" w:styleId="374">
    <w:name w:val="Char Char119"/>
    <w:basedOn w:val="1"/>
    <w:qFormat/>
    <w:uiPriority w:val="0"/>
    <w:pPr>
      <w:spacing w:line="360" w:lineRule="auto"/>
      <w:ind w:firstLine="200" w:firstLineChars="200"/>
    </w:pPr>
    <w:rPr>
      <w:rFonts w:ascii="宋体" w:hAnsi="宋体"/>
      <w:szCs w:val="22"/>
    </w:rPr>
  </w:style>
  <w:style w:type="paragraph" w:customStyle="1" w:styleId="375">
    <w:name w:val="Char Char13"/>
    <w:basedOn w:val="1"/>
    <w:autoRedefine/>
    <w:qFormat/>
    <w:uiPriority w:val="0"/>
    <w:pPr>
      <w:spacing w:line="360" w:lineRule="auto"/>
      <w:ind w:firstLine="200" w:firstLineChars="200"/>
    </w:pPr>
    <w:rPr>
      <w:rFonts w:ascii="宋体" w:hAnsi="宋体" w:cs="宋体"/>
    </w:rPr>
  </w:style>
  <w:style w:type="paragraph" w:customStyle="1" w:styleId="376">
    <w:name w:val="Char Char1 Char Char Char Char Char Char Char Char Char Char Char Char Char Char Char Char Char Char Char Char1 Char"/>
    <w:basedOn w:val="1"/>
    <w:qFormat/>
    <w:uiPriority w:val="0"/>
    <w:pPr>
      <w:spacing w:line="360" w:lineRule="auto"/>
      <w:ind w:firstLine="200" w:firstLineChars="200"/>
    </w:pPr>
    <w:rPr>
      <w:rFonts w:ascii="宋体" w:hAnsi="宋体" w:cs="宋体"/>
    </w:rPr>
  </w:style>
  <w:style w:type="paragraph" w:customStyle="1" w:styleId="377">
    <w:name w:val="表格内部的标题"/>
    <w:basedOn w:val="1"/>
    <w:qFormat/>
    <w:uiPriority w:val="99"/>
    <w:pPr>
      <w:keepNext/>
      <w:keepLines/>
      <w:jc w:val="center"/>
    </w:pPr>
    <w:rPr>
      <w:rFonts w:ascii="黑体" w:eastAsia="黑体"/>
      <w:sz w:val="20"/>
    </w:rPr>
  </w:style>
  <w:style w:type="paragraph" w:customStyle="1" w:styleId="378">
    <w:name w:val="_Style 42"/>
    <w:basedOn w:val="1"/>
    <w:next w:val="1"/>
    <w:qFormat/>
    <w:uiPriority w:val="39"/>
    <w:pPr>
      <w:tabs>
        <w:tab w:val="left" w:pos="599"/>
        <w:tab w:val="right" w:leader="dot" w:pos="9060"/>
      </w:tabs>
      <w:spacing w:before="120" w:after="120" w:line="480" w:lineRule="exact"/>
      <w:jc w:val="left"/>
    </w:pPr>
    <w:rPr>
      <w:rFonts w:eastAsia="华文中宋"/>
      <w:b/>
      <w:bCs/>
      <w:caps/>
      <w:sz w:val="28"/>
      <w:szCs w:val="28"/>
    </w:rPr>
  </w:style>
  <w:style w:type="paragraph" w:customStyle="1" w:styleId="379">
    <w:name w:val="表格下方正文"/>
    <w:basedOn w:val="380"/>
    <w:qFormat/>
    <w:uiPriority w:val="0"/>
    <w:pPr>
      <w:spacing w:before="400" w:after="0" w:line="460" w:lineRule="exact"/>
      <w:ind w:left="0" w:firstLine="200" w:firstLineChars="200"/>
    </w:pPr>
    <w:rPr>
      <w:rFonts w:ascii="Times New Roman" w:hAnsi="Times New Roman"/>
      <w:szCs w:val="24"/>
    </w:rPr>
  </w:style>
  <w:style w:type="paragraph" w:customStyle="1" w:styleId="380">
    <w:name w:val="注释"/>
    <w:basedOn w:val="1"/>
    <w:qFormat/>
    <w:uiPriority w:val="0"/>
    <w:pPr>
      <w:spacing w:before="60" w:after="60"/>
      <w:ind w:left="567" w:firstLine="425"/>
    </w:pPr>
    <w:rPr>
      <w:rFonts w:ascii="Arial" w:hAnsi="Arial"/>
    </w:rPr>
  </w:style>
  <w:style w:type="paragraph" w:customStyle="1" w:styleId="381">
    <w:name w:val="样式 xl26 + Arial 段前: 自动 段后: 自动 底端: (无框线) 左侧: (无框线) 右侧: (无框线)"/>
    <w:basedOn w:val="372"/>
    <w:qFormat/>
    <w:uiPriority w:val="0"/>
    <w:pPr>
      <w:pBdr>
        <w:left w:val="none" w:color="auto" w:sz="0" w:space="0"/>
        <w:bottom w:val="none" w:color="auto" w:sz="0" w:space="0"/>
        <w:right w:val="none" w:color="auto" w:sz="0" w:space="0"/>
      </w:pBdr>
      <w:spacing w:before="0" w:after="0"/>
      <w:ind w:firstLine="0" w:firstLineChars="0"/>
    </w:pPr>
    <w:rPr>
      <w:rFonts w:ascii="Arial" w:hAnsi="Arial" w:cs="宋体"/>
      <w:kern w:val="2"/>
    </w:rPr>
  </w:style>
  <w:style w:type="paragraph" w:customStyle="1" w:styleId="382">
    <w:name w:val="Char22"/>
    <w:basedOn w:val="1"/>
    <w:qFormat/>
    <w:uiPriority w:val="0"/>
    <w:pPr>
      <w:spacing w:line="360" w:lineRule="auto"/>
      <w:ind w:firstLine="200" w:firstLineChars="200"/>
    </w:pPr>
    <w:rPr>
      <w:rFonts w:ascii="宋体" w:hAnsi="宋体" w:cs="宋体"/>
    </w:rPr>
  </w:style>
  <w:style w:type="paragraph" w:customStyle="1" w:styleId="383">
    <w:name w:val="样式 表格001 + Arial 五号 行距: 最小值 0 磅"/>
    <w:basedOn w:val="1"/>
    <w:qFormat/>
    <w:uiPriority w:val="0"/>
    <w:pPr>
      <w:spacing w:line="0" w:lineRule="atLeast"/>
      <w:jc w:val="center"/>
    </w:pPr>
    <w:rPr>
      <w:rFonts w:ascii="Arial" w:hAnsi="Arial" w:cs="宋体"/>
      <w:spacing w:val="10"/>
    </w:rPr>
  </w:style>
  <w:style w:type="paragraph" w:customStyle="1" w:styleId="384">
    <w:name w:val="Char Char Char Char Char Char1 Char"/>
    <w:basedOn w:val="1"/>
    <w:qFormat/>
    <w:uiPriority w:val="0"/>
    <w:pPr>
      <w:widowControl/>
      <w:jc w:val="left"/>
    </w:pPr>
    <w:rPr>
      <w:rFonts w:ascii="宋体" w:hAnsi="宋体" w:cs="宋体"/>
    </w:rPr>
  </w:style>
  <w:style w:type="paragraph" w:customStyle="1" w:styleId="385">
    <w:name w:val="页面标题3"/>
    <w:basedOn w:val="1"/>
    <w:qFormat/>
    <w:uiPriority w:val="0"/>
    <w:pPr>
      <w:adjustRightInd w:val="0"/>
      <w:spacing w:line="360" w:lineRule="auto"/>
      <w:jc w:val="center"/>
      <w:textAlignment w:val="baseline"/>
    </w:pPr>
    <w:rPr>
      <w:rFonts w:ascii="黑体" w:hAnsi="宋体" w:eastAsia="黑体"/>
      <w:b/>
      <w:kern w:val="24"/>
      <w:sz w:val="32"/>
    </w:rPr>
  </w:style>
  <w:style w:type="paragraph" w:customStyle="1" w:styleId="386">
    <w:name w:val="表格内段落"/>
    <w:basedOn w:val="1"/>
    <w:qFormat/>
    <w:uiPriority w:val="0"/>
    <w:pPr>
      <w:widowControl/>
      <w:spacing w:line="0" w:lineRule="atLeast"/>
      <w:ind w:firstLine="200" w:firstLineChars="200"/>
      <w:jc w:val="left"/>
    </w:pPr>
    <w:rPr>
      <w:rFonts w:ascii="Arial" w:hAnsi="Arial"/>
    </w:rPr>
  </w:style>
  <w:style w:type="paragraph" w:customStyle="1" w:styleId="387">
    <w:name w:val="应填表格"/>
    <w:basedOn w:val="388"/>
    <w:qFormat/>
    <w:uiPriority w:val="0"/>
    <w:pPr>
      <w:jc w:val="left"/>
    </w:pPr>
    <w:rPr>
      <w:b w:val="0"/>
    </w:rPr>
  </w:style>
  <w:style w:type="paragraph" w:customStyle="1" w:styleId="388">
    <w:name w:val="已有表格"/>
    <w:basedOn w:val="1"/>
    <w:qFormat/>
    <w:uiPriority w:val="0"/>
    <w:pPr>
      <w:adjustRightInd w:val="0"/>
      <w:spacing w:before="40" w:after="40"/>
      <w:jc w:val="center"/>
      <w:textAlignment w:val="baseline"/>
    </w:pPr>
    <w:rPr>
      <w:b/>
    </w:rPr>
  </w:style>
  <w:style w:type="paragraph" w:customStyle="1" w:styleId="389">
    <w:name w:val="缩进"/>
    <w:basedOn w:val="348"/>
    <w:qFormat/>
    <w:uiPriority w:val="0"/>
    <w:pPr>
      <w:ind w:firstLine="0" w:firstLineChars="0"/>
    </w:pPr>
    <w:rPr>
      <w:rFonts w:hAnsi="Times New Roman"/>
    </w:rPr>
  </w:style>
  <w:style w:type="paragraph" w:customStyle="1" w:styleId="390">
    <w:name w:val="正文编号(1)"/>
    <w:basedOn w:val="1"/>
    <w:next w:val="14"/>
    <w:qFormat/>
    <w:uiPriority w:val="0"/>
    <w:pPr>
      <w:widowControl/>
      <w:numPr>
        <w:ilvl w:val="0"/>
        <w:numId w:val="2"/>
      </w:numPr>
      <w:tabs>
        <w:tab w:val="left" w:pos="896"/>
      </w:tabs>
      <w:contextualSpacing/>
    </w:pPr>
    <w:rPr>
      <w:rFonts w:ascii="Arial" w:hAnsi="Arial"/>
      <w:szCs w:val="22"/>
    </w:rPr>
  </w:style>
  <w:style w:type="paragraph" w:customStyle="1" w:styleId="391">
    <w:name w:val="标题3.5"/>
    <w:basedOn w:val="1"/>
    <w:qFormat/>
    <w:uiPriority w:val="0"/>
    <w:rPr>
      <w:rFonts w:eastAsia="仿宋_GB2312"/>
    </w:rPr>
  </w:style>
  <w:style w:type="paragraph" w:customStyle="1" w:styleId="392">
    <w:name w:val="Body Text 22"/>
    <w:basedOn w:val="1"/>
    <w:qFormat/>
    <w:uiPriority w:val="0"/>
    <w:pPr>
      <w:adjustRightInd w:val="0"/>
      <w:spacing w:line="440" w:lineRule="atLeast"/>
      <w:ind w:firstLine="480"/>
      <w:textAlignment w:val="baseline"/>
    </w:pPr>
    <w:rPr>
      <w:rFonts w:ascii="Arial" w:hAnsi="Arial" w:eastAsia="仿宋_GB2312"/>
    </w:rPr>
  </w:style>
  <w:style w:type="paragraph" w:customStyle="1" w:styleId="393">
    <w:name w:val="样式 首行缩进:  2 字符"/>
    <w:basedOn w:val="1"/>
    <w:qFormat/>
    <w:uiPriority w:val="0"/>
    <w:pPr>
      <w:spacing w:line="360" w:lineRule="auto"/>
      <w:ind w:firstLine="480" w:firstLineChars="200"/>
    </w:pPr>
    <w:rPr>
      <w:rFonts w:ascii="Arial" w:hAnsi="Arial"/>
    </w:rPr>
  </w:style>
  <w:style w:type="paragraph" w:customStyle="1" w:styleId="394">
    <w:name w:val="表名"/>
    <w:basedOn w:val="1"/>
    <w:qFormat/>
    <w:uiPriority w:val="0"/>
    <w:pPr>
      <w:adjustRightInd w:val="0"/>
      <w:spacing w:before="120" w:after="120" w:line="400" w:lineRule="atLeast"/>
      <w:jc w:val="center"/>
      <w:textAlignment w:val="baseline"/>
    </w:pPr>
    <w:rPr>
      <w:rFonts w:ascii="Arial" w:hAnsi="Arial"/>
      <w:b/>
      <w:bCs/>
    </w:rPr>
  </w:style>
  <w:style w:type="paragraph" w:customStyle="1" w:styleId="395">
    <w:name w:val="标题02"/>
    <w:basedOn w:val="1"/>
    <w:next w:val="1"/>
    <w:qFormat/>
    <w:uiPriority w:val="0"/>
    <w:pPr>
      <w:snapToGrid w:val="0"/>
      <w:spacing w:line="480" w:lineRule="exact"/>
      <w:outlineLvl w:val="1"/>
    </w:pPr>
    <w:rPr>
      <w:rFonts w:ascii="Arial" w:hAnsi="Arial"/>
      <w:b/>
      <w:bCs/>
      <w:i/>
    </w:rPr>
  </w:style>
  <w:style w:type="paragraph" w:customStyle="1" w:styleId="396">
    <w:name w:val="样式 表格样式1 + (西文) Arial (中文) 宋体 自动设置 两端对齐 行距: 单倍行距"/>
    <w:basedOn w:val="397"/>
    <w:qFormat/>
    <w:uiPriority w:val="0"/>
    <w:pPr>
      <w:widowControl w:val="0"/>
      <w:tabs>
        <w:tab w:val="center" w:pos="546"/>
      </w:tabs>
      <w:spacing w:line="240" w:lineRule="auto"/>
    </w:pPr>
    <w:rPr>
      <w:rFonts w:ascii="Arial" w:hAnsi="Arial" w:eastAsia="宋体" w:cs="宋体"/>
      <w:iCs w:val="0"/>
    </w:rPr>
  </w:style>
  <w:style w:type="paragraph" w:customStyle="1" w:styleId="397">
    <w:name w:val="表格样式1"/>
    <w:qFormat/>
    <w:uiPriority w:val="0"/>
    <w:pPr>
      <w:tabs>
        <w:tab w:val="center" w:pos="546"/>
      </w:tabs>
      <w:spacing w:after="160" w:line="440" w:lineRule="exact"/>
      <w:jc w:val="center"/>
    </w:pPr>
    <w:rPr>
      <w:rFonts w:ascii="Times New Roman" w:hAnsi="Times New Roman" w:eastAsia="仿宋_GB2312" w:cs="Times New Roman"/>
      <w:iCs/>
      <w:kern w:val="2"/>
      <w:sz w:val="21"/>
      <w:szCs w:val="21"/>
      <w:lang w:val="en-US" w:eastAsia="zh-CN" w:bidi="ar-SA"/>
    </w:rPr>
  </w:style>
  <w:style w:type="paragraph" w:customStyle="1" w:styleId="398">
    <w:name w:val="★表格正文"/>
    <w:basedOn w:val="1"/>
    <w:qFormat/>
    <w:uiPriority w:val="0"/>
    <w:pPr>
      <w:adjustRightInd w:val="0"/>
      <w:snapToGrid w:val="0"/>
      <w:spacing w:line="320" w:lineRule="exact"/>
      <w:jc w:val="center"/>
    </w:pPr>
    <w:rPr>
      <w:rFonts w:ascii="Arial" w:hAnsi="Arial"/>
      <w:lang w:val="zh-CN"/>
    </w:rPr>
  </w:style>
  <w:style w:type="paragraph" w:customStyle="1" w:styleId="399">
    <w:name w:val="char"/>
    <w:basedOn w:val="1"/>
    <w:qFormat/>
    <w:uiPriority w:val="0"/>
    <w:pPr>
      <w:widowControl/>
      <w:spacing w:line="240" w:lineRule="exact"/>
      <w:jc w:val="left"/>
    </w:pPr>
    <w:rPr>
      <w:rFonts w:ascii="Verdana" w:hAnsi="Verdana" w:eastAsia="仿宋_GB2312" w:cs="”“Times New Roman”“"/>
      <w:lang w:eastAsia="en-US"/>
    </w:rPr>
  </w:style>
  <w:style w:type="paragraph" w:customStyle="1" w:styleId="400">
    <w:name w:val="居中正文"/>
    <w:basedOn w:val="52"/>
    <w:link w:val="742"/>
    <w:qFormat/>
    <w:uiPriority w:val="0"/>
    <w:pPr>
      <w:adjustRightInd w:val="0"/>
      <w:spacing w:before="120" w:after="0" w:line="360" w:lineRule="auto"/>
      <w:ind w:firstLine="0" w:firstLineChars="0"/>
      <w:jc w:val="center"/>
      <w:textAlignment w:val="baseline"/>
    </w:pPr>
    <w:rPr>
      <w:rFonts w:ascii="宋体" w:hAnsi="Arial"/>
      <w:kern w:val="28"/>
      <w:sz w:val="24"/>
      <w:szCs w:val="20"/>
    </w:rPr>
  </w:style>
  <w:style w:type="paragraph" w:customStyle="1" w:styleId="401">
    <w:name w:val="正文样式1"/>
    <w:basedOn w:val="24"/>
    <w:qFormat/>
    <w:uiPriority w:val="0"/>
    <w:pPr>
      <w:snapToGrid w:val="0"/>
      <w:spacing w:after="0" w:line="540" w:lineRule="exact"/>
      <w:ind w:left="0" w:leftChars="0" w:firstLine="200" w:firstLineChars="200"/>
    </w:pPr>
    <w:rPr>
      <w:rFonts w:ascii="Arial" w:hAnsi="Arial"/>
      <w:sz w:val="24"/>
      <w:szCs w:val="20"/>
    </w:rPr>
  </w:style>
  <w:style w:type="paragraph" w:customStyle="1" w:styleId="402">
    <w:name w:val="正文 报告书"/>
    <w:basedOn w:val="373"/>
    <w:qFormat/>
    <w:uiPriority w:val="0"/>
    <w:pPr>
      <w:spacing w:line="480" w:lineRule="exact"/>
      <w:ind w:firstLine="200"/>
    </w:pPr>
    <w:rPr>
      <w:rFonts w:hAnsi="宋体"/>
    </w:rPr>
  </w:style>
  <w:style w:type="paragraph" w:customStyle="1" w:styleId="403">
    <w:name w:val="样式25"/>
    <w:basedOn w:val="6"/>
    <w:qFormat/>
    <w:uiPriority w:val="0"/>
    <w:pPr>
      <w:tabs>
        <w:tab w:val="left" w:pos="1080"/>
      </w:tabs>
      <w:spacing w:before="120" w:after="120" w:line="240" w:lineRule="auto"/>
      <w:ind w:left="709" w:hanging="709"/>
    </w:pPr>
    <w:rPr>
      <w:rFonts w:ascii="仿宋_GB2312" w:hAnsi="Arial" w:eastAsia="仿宋_GB2312"/>
      <w:bCs w:val="0"/>
      <w:sz w:val="24"/>
      <w:szCs w:val="20"/>
    </w:rPr>
  </w:style>
  <w:style w:type="paragraph" w:customStyle="1" w:styleId="404">
    <w:name w:val="Char Char1 Char Char Char Char Char Char Char Char Char Char Char Char Char Char Char Char Char Char Char Char1 Char2"/>
    <w:basedOn w:val="1"/>
    <w:qFormat/>
    <w:uiPriority w:val="0"/>
    <w:pPr>
      <w:spacing w:line="360" w:lineRule="auto"/>
      <w:ind w:firstLine="200" w:firstLineChars="200"/>
    </w:pPr>
    <w:rPr>
      <w:rFonts w:ascii="宋体" w:hAnsi="宋体" w:cs="宋体"/>
    </w:rPr>
  </w:style>
  <w:style w:type="paragraph" w:customStyle="1" w:styleId="405">
    <w:name w:val="样式26"/>
    <w:basedOn w:val="7"/>
    <w:qFormat/>
    <w:uiPriority w:val="0"/>
    <w:pPr>
      <w:tabs>
        <w:tab w:val="left" w:pos="2903"/>
      </w:tabs>
      <w:spacing w:before="120" w:after="0" w:line="240" w:lineRule="auto"/>
      <w:ind w:left="2903" w:hanging="563"/>
      <w:jc w:val="center"/>
    </w:pPr>
    <w:rPr>
      <w:rFonts w:eastAsia="仿宋_GB2312"/>
      <w:bCs w:val="0"/>
      <w:sz w:val="24"/>
      <w:szCs w:val="20"/>
    </w:rPr>
  </w:style>
  <w:style w:type="paragraph" w:customStyle="1" w:styleId="406">
    <w:name w:val="表格首行字体"/>
    <w:basedOn w:val="1"/>
    <w:qFormat/>
    <w:uiPriority w:val="0"/>
    <w:pPr>
      <w:jc w:val="center"/>
    </w:pPr>
    <w:rPr>
      <w:rFonts w:ascii="宋体" w:hAnsi="宋体"/>
      <w:b/>
    </w:rPr>
  </w:style>
  <w:style w:type="paragraph" w:customStyle="1" w:styleId="407">
    <w:name w:val="默认段落字体 Para Char Char Char Char Char Char Char"/>
    <w:basedOn w:val="17"/>
    <w:qFormat/>
    <w:uiPriority w:val="0"/>
    <w:pPr>
      <w:shd w:val="clear" w:color="auto" w:fill="000080"/>
    </w:pPr>
    <w:rPr>
      <w:rFonts w:ascii="Tahoma" w:hAnsi="Tahoma" w:cs="Tahoma"/>
      <w:sz w:val="24"/>
      <w:szCs w:val="24"/>
    </w:rPr>
  </w:style>
  <w:style w:type="paragraph" w:customStyle="1" w:styleId="408">
    <w:name w:val="AA报告表标题3"/>
    <w:basedOn w:val="1"/>
    <w:qFormat/>
    <w:uiPriority w:val="0"/>
    <w:pPr>
      <w:keepNext/>
      <w:keepLines/>
      <w:spacing w:line="480" w:lineRule="exact"/>
      <w:ind w:firstLine="200" w:firstLineChars="200"/>
      <w:outlineLvl w:val="2"/>
    </w:pPr>
    <w:rPr>
      <w:rFonts w:cs="宋体"/>
      <w:b/>
    </w:rPr>
  </w:style>
  <w:style w:type="paragraph" w:customStyle="1" w:styleId="409">
    <w:name w:val="Char Char Char Char"/>
    <w:basedOn w:val="1"/>
    <w:qFormat/>
    <w:uiPriority w:val="0"/>
  </w:style>
  <w:style w:type="paragraph" w:customStyle="1" w:styleId="410">
    <w:name w:val="font8"/>
    <w:basedOn w:val="1"/>
    <w:qFormat/>
    <w:uiPriority w:val="0"/>
    <w:pPr>
      <w:widowControl/>
      <w:spacing w:before="100" w:beforeAutospacing="1" w:after="100" w:afterAutospacing="1"/>
      <w:jc w:val="left"/>
    </w:pPr>
    <w:rPr>
      <w:rFonts w:eastAsia="Arial Unicode MS"/>
    </w:rPr>
  </w:style>
  <w:style w:type="paragraph" w:customStyle="1" w:styleId="411">
    <w:name w:val="Char4"/>
    <w:basedOn w:val="1"/>
    <w:link w:val="412"/>
    <w:qFormat/>
    <w:uiPriority w:val="0"/>
    <w:pPr>
      <w:tabs>
        <w:tab w:val="left" w:pos="937"/>
      </w:tabs>
      <w:ind w:left="1"/>
    </w:pPr>
    <w:rPr>
      <w:rFonts w:ascii="Arial" w:hAnsi="Arial"/>
      <w:b/>
      <w:bCs/>
      <w:sz w:val="32"/>
      <w:szCs w:val="32"/>
      <w:lang w:val="zh-CN"/>
    </w:rPr>
  </w:style>
  <w:style w:type="character" w:customStyle="1" w:styleId="412">
    <w:name w:val="Char Char7"/>
    <w:link w:val="411"/>
    <w:qFormat/>
    <w:uiPriority w:val="0"/>
    <w:rPr>
      <w:rFonts w:ascii="Arial" w:hAnsi="Arial" w:cs="Arial"/>
      <w:b/>
      <w:bCs/>
      <w:kern w:val="2"/>
      <w:sz w:val="32"/>
      <w:szCs w:val="32"/>
    </w:rPr>
  </w:style>
  <w:style w:type="paragraph" w:customStyle="1" w:styleId="413">
    <w:name w:val="标题01"/>
    <w:basedOn w:val="1"/>
    <w:qFormat/>
    <w:uiPriority w:val="0"/>
    <w:pPr>
      <w:spacing w:after="120" w:line="460" w:lineRule="atLeast"/>
      <w:outlineLvl w:val="0"/>
    </w:pPr>
    <w:rPr>
      <w:b/>
      <w:bCs/>
      <w:sz w:val="30"/>
      <w:szCs w:val="30"/>
    </w:rPr>
  </w:style>
  <w:style w:type="paragraph" w:customStyle="1" w:styleId="414">
    <w:name w:val="内容"/>
    <w:basedOn w:val="1"/>
    <w:qFormat/>
    <w:uiPriority w:val="0"/>
    <w:pPr>
      <w:adjustRightInd w:val="0"/>
      <w:spacing w:after="120" w:line="360" w:lineRule="atLeast"/>
      <w:ind w:left="851"/>
      <w:textAlignment w:val="baseline"/>
    </w:pPr>
    <w:rPr>
      <w:rFonts w:ascii="Arial" w:hAnsi="Arial"/>
    </w:rPr>
  </w:style>
  <w:style w:type="paragraph" w:customStyle="1" w:styleId="415">
    <w:name w:val="xl24"/>
    <w:basedOn w:val="1"/>
    <w:qFormat/>
    <w:uiPriority w:val="0"/>
    <w:pPr>
      <w:widowControl/>
      <w:spacing w:before="100" w:beforeAutospacing="1" w:after="100" w:afterAutospacing="1" w:line="360" w:lineRule="auto"/>
      <w:ind w:firstLine="200" w:firstLineChars="200"/>
      <w:jc w:val="center"/>
    </w:pPr>
    <w:rPr>
      <w:rFonts w:ascii="Arial Unicode MS" w:hAnsi="Arial Unicode MS" w:eastAsia="Arial Unicode MS" w:cs="Arial Unicode MS"/>
    </w:rPr>
  </w:style>
  <w:style w:type="paragraph" w:customStyle="1" w:styleId="416">
    <w:name w:val="正文001"/>
    <w:basedOn w:val="1"/>
    <w:link w:val="417"/>
    <w:qFormat/>
    <w:uiPriority w:val="0"/>
    <w:pPr>
      <w:spacing w:before="60" w:line="460" w:lineRule="exact"/>
      <w:ind w:firstLine="482"/>
    </w:pPr>
    <w:rPr>
      <w:lang w:val="zh-CN"/>
    </w:rPr>
  </w:style>
  <w:style w:type="character" w:customStyle="1" w:styleId="417">
    <w:name w:val="正文001 Char1"/>
    <w:link w:val="416"/>
    <w:qFormat/>
    <w:uiPriority w:val="0"/>
    <w:rPr>
      <w:kern w:val="2"/>
      <w:sz w:val="24"/>
    </w:rPr>
  </w:style>
  <w:style w:type="paragraph" w:customStyle="1" w:styleId="418">
    <w:name w:val="样式 样式 (西文) Arial (中文) 宋体 五号 居中 +"/>
    <w:basedOn w:val="1"/>
    <w:qFormat/>
    <w:uiPriority w:val="0"/>
    <w:pPr>
      <w:jc w:val="center"/>
      <w:textAlignment w:val="center"/>
    </w:pPr>
    <w:rPr>
      <w:rFonts w:ascii="Arial" w:hAnsi="Arial" w:cs="宋体"/>
    </w:rPr>
  </w:style>
  <w:style w:type="paragraph" w:customStyle="1" w:styleId="419">
    <w:name w:val="Body Text 21"/>
    <w:basedOn w:val="1"/>
    <w:qFormat/>
    <w:uiPriority w:val="0"/>
    <w:pPr>
      <w:autoSpaceDE w:val="0"/>
      <w:autoSpaceDN w:val="0"/>
      <w:adjustRightInd w:val="0"/>
      <w:spacing w:line="480" w:lineRule="exact"/>
      <w:ind w:firstLine="540"/>
      <w:textAlignment w:val="baseline"/>
    </w:pPr>
    <w:rPr>
      <w:rFonts w:ascii="宋体" w:hAnsi="Tms Rmn"/>
    </w:rPr>
  </w:style>
  <w:style w:type="paragraph" w:customStyle="1" w:styleId="420">
    <w:name w:val="样式3"/>
    <w:basedOn w:val="14"/>
    <w:next w:val="1"/>
    <w:qFormat/>
    <w:uiPriority w:val="0"/>
    <w:pPr>
      <w:spacing w:line="360" w:lineRule="auto"/>
      <w:ind w:firstLine="480"/>
    </w:pPr>
    <w:rPr>
      <w:rFonts w:ascii="Arial" w:hAnsi="Arial"/>
      <w:spacing w:val="10"/>
    </w:rPr>
  </w:style>
  <w:style w:type="paragraph" w:customStyle="1" w:styleId="421">
    <w:name w:val="xl23"/>
    <w:basedOn w:val="1"/>
    <w:qFormat/>
    <w:uiPriority w:val="0"/>
    <w:pPr>
      <w:widowControl/>
      <w:pBdr>
        <w:top w:val="single" w:color="auto" w:sz="4" w:space="0"/>
        <w:left w:val="single" w:color="auto" w:sz="4" w:space="0"/>
      </w:pBdr>
      <w:spacing w:before="100" w:beforeAutospacing="1" w:after="100" w:afterAutospacing="1"/>
      <w:jc w:val="center"/>
    </w:pPr>
    <w:rPr>
      <w:rFonts w:ascii="Arial" w:hAnsi="Arial" w:eastAsia="Arial Unicode MS"/>
    </w:rPr>
  </w:style>
  <w:style w:type="paragraph" w:customStyle="1" w:styleId="422">
    <w:name w:val="样式11"/>
    <w:basedOn w:val="1"/>
    <w:qFormat/>
    <w:uiPriority w:val="0"/>
    <w:pPr>
      <w:spacing w:line="360" w:lineRule="auto"/>
      <w:ind w:firstLine="480" w:firstLineChars="200"/>
    </w:pPr>
    <w:rPr>
      <w:rFonts w:ascii="Arial" w:hAnsi="Arial" w:cs="Arial"/>
    </w:rPr>
  </w:style>
  <w:style w:type="paragraph" w:customStyle="1" w:styleId="423">
    <w:name w:val="正文编号1."/>
    <w:basedOn w:val="14"/>
    <w:next w:val="14"/>
    <w:qFormat/>
    <w:uiPriority w:val="0"/>
    <w:pPr>
      <w:widowControl/>
      <w:numPr>
        <w:ilvl w:val="0"/>
        <w:numId w:val="3"/>
      </w:numPr>
      <w:tabs>
        <w:tab w:val="left" w:pos="709"/>
      </w:tabs>
      <w:spacing w:line="240" w:lineRule="auto"/>
      <w:ind w:left="1145" w:hanging="720"/>
      <w:contextualSpacing/>
    </w:pPr>
    <w:rPr>
      <w:rFonts w:ascii="Arial" w:hAnsi="Arial"/>
      <w:spacing w:val="0"/>
      <w:szCs w:val="22"/>
    </w:rPr>
  </w:style>
  <w:style w:type="paragraph" w:customStyle="1" w:styleId="424">
    <w:name w:val="表格正文正文"/>
    <w:basedOn w:val="1"/>
    <w:qFormat/>
    <w:uiPriority w:val="0"/>
    <w:pPr>
      <w:spacing w:line="0" w:lineRule="atLeast"/>
      <w:jc w:val="center"/>
    </w:pPr>
    <w:rPr>
      <w:rFonts w:ascii="Arial" w:hAnsi="Arial" w:cs="Arial"/>
    </w:rPr>
  </w:style>
  <w:style w:type="paragraph" w:customStyle="1" w:styleId="425">
    <w:name w:val="样式28"/>
    <w:basedOn w:val="14"/>
    <w:qFormat/>
    <w:uiPriority w:val="0"/>
    <w:pPr>
      <w:spacing w:line="264" w:lineRule="auto"/>
      <w:ind w:firstLine="476"/>
    </w:pPr>
    <w:rPr>
      <w:rFonts w:ascii="Arial" w:hAnsi="Arial"/>
      <w:spacing w:val="10"/>
    </w:rPr>
  </w:style>
  <w:style w:type="paragraph" w:customStyle="1" w:styleId="426">
    <w:name w:val="AA正文"/>
    <w:basedOn w:val="1"/>
    <w:qFormat/>
    <w:uiPriority w:val="0"/>
    <w:pPr>
      <w:spacing w:line="480" w:lineRule="exact"/>
      <w:ind w:firstLine="200" w:firstLineChars="200"/>
    </w:pPr>
    <w:rPr>
      <w:szCs w:val="22"/>
      <w:lang w:bidi="en-US"/>
    </w:rPr>
  </w:style>
  <w:style w:type="paragraph" w:customStyle="1" w:styleId="427">
    <w:name w:val="Char Char Char Char Char Char1 Char Char Char Char"/>
    <w:basedOn w:val="1"/>
    <w:qFormat/>
    <w:uiPriority w:val="0"/>
  </w:style>
  <w:style w:type="paragraph" w:customStyle="1" w:styleId="428">
    <w:name w:val="表头  报告书"/>
    <w:basedOn w:val="1"/>
    <w:qFormat/>
    <w:uiPriority w:val="0"/>
    <w:pPr>
      <w:spacing w:before="50" w:beforeLines="50" w:line="360" w:lineRule="auto"/>
      <w:jc w:val="center"/>
    </w:pPr>
    <w:rPr>
      <w:rFonts w:hAnsi="宋体"/>
      <w:b/>
    </w:rPr>
  </w:style>
  <w:style w:type="paragraph" w:customStyle="1" w:styleId="429">
    <w:name w:val="报告正文-连续目录"/>
    <w:basedOn w:val="1"/>
    <w:link w:val="430"/>
    <w:qFormat/>
    <w:uiPriority w:val="0"/>
    <w:pPr>
      <w:spacing w:line="440" w:lineRule="exact"/>
      <w:ind w:firstLine="200" w:firstLineChars="200"/>
    </w:pPr>
    <w:rPr>
      <w:rFonts w:ascii="Arial" w:hAnsi="Arial"/>
      <w:szCs w:val="24"/>
      <w:lang w:val="zh-CN"/>
    </w:rPr>
  </w:style>
  <w:style w:type="character" w:customStyle="1" w:styleId="430">
    <w:name w:val="报告正文-连续目录 Char Char"/>
    <w:link w:val="429"/>
    <w:qFormat/>
    <w:uiPriority w:val="0"/>
    <w:rPr>
      <w:rFonts w:ascii="Arial" w:hAnsi="Arial"/>
      <w:snapToGrid/>
      <w:sz w:val="24"/>
      <w:szCs w:val="24"/>
    </w:rPr>
  </w:style>
  <w:style w:type="character" w:customStyle="1" w:styleId="431">
    <w:name w:val="9p1"/>
    <w:qFormat/>
    <w:uiPriority w:val="0"/>
    <w:rPr>
      <w:sz w:val="18"/>
      <w:szCs w:val="18"/>
    </w:rPr>
  </w:style>
  <w:style w:type="table" w:customStyle="1" w:styleId="432">
    <w:name w:val="Table Normal1"/>
    <w:unhideWhenUsed/>
    <w:qFormat/>
    <w:uiPriority w:val="0"/>
    <w:rPr>
      <w:kern w:val="2"/>
      <w:szCs w:val="21"/>
    </w:rPr>
    <w:tblPr>
      <w:tblCellMar>
        <w:top w:w="0" w:type="dxa"/>
        <w:left w:w="0" w:type="dxa"/>
        <w:bottom w:w="0" w:type="dxa"/>
        <w:right w:w="0" w:type="dxa"/>
      </w:tblCellMar>
    </w:tblPr>
  </w:style>
  <w:style w:type="paragraph" w:customStyle="1" w:styleId="433">
    <w:name w:val="段"/>
    <w:qFormat/>
    <w:uiPriority w:val="0"/>
    <w:pPr>
      <w:tabs>
        <w:tab w:val="center" w:pos="4201"/>
        <w:tab w:val="right" w:leader="dot" w:pos="9298"/>
      </w:tabs>
      <w:autoSpaceDE w:val="0"/>
      <w:autoSpaceDN w:val="0"/>
      <w:spacing w:after="160" w:line="278" w:lineRule="auto"/>
      <w:ind w:firstLine="420" w:firstLineChars="200"/>
      <w:jc w:val="both"/>
    </w:pPr>
    <w:rPr>
      <w:rFonts w:ascii="宋体" w:hAnsi="Times New Roman" w:eastAsia="宋体" w:cs="Times New Roman"/>
      <w:kern w:val="2"/>
      <w:sz w:val="21"/>
      <w:szCs w:val="21"/>
      <w:lang w:val="en-US" w:eastAsia="zh-CN" w:bidi="ar-SA"/>
    </w:rPr>
  </w:style>
  <w:style w:type="paragraph" w:customStyle="1" w:styleId="434">
    <w:name w:val="UserStyle_0"/>
    <w:basedOn w:val="1"/>
    <w:qFormat/>
    <w:uiPriority w:val="0"/>
    <w:pPr>
      <w:spacing w:before="60" w:line="460" w:lineRule="exact"/>
      <w:textAlignment w:val="baseline"/>
    </w:pPr>
    <w:rPr>
      <w:rFonts w:ascii="Calibri" w:hAnsi="Calibri"/>
      <w:b/>
      <w:sz w:val="32"/>
    </w:rPr>
  </w:style>
  <w:style w:type="character" w:customStyle="1" w:styleId="435">
    <w:name w:val="样式 四号"/>
    <w:qFormat/>
    <w:uiPriority w:val="0"/>
    <w:rPr>
      <w:rFonts w:ascii="Times New Roman" w:hAnsi="Times New Roman" w:eastAsia="宋体"/>
      <w:sz w:val="28"/>
    </w:rPr>
  </w:style>
  <w:style w:type="paragraph" w:customStyle="1" w:styleId="436">
    <w:name w:val="表内表"/>
    <w:basedOn w:val="1"/>
    <w:semiHidden/>
    <w:qFormat/>
    <w:uiPriority w:val="0"/>
    <w:pPr>
      <w:jc w:val="center"/>
    </w:pPr>
    <w:rPr>
      <w:rFonts w:eastAsia="仿宋_GB2312"/>
    </w:rPr>
  </w:style>
  <w:style w:type="paragraph" w:customStyle="1" w:styleId="437">
    <w:name w:val="正文波"/>
    <w:basedOn w:val="1"/>
    <w:qFormat/>
    <w:uiPriority w:val="0"/>
    <w:pPr>
      <w:spacing w:line="490" w:lineRule="exact"/>
      <w:ind w:firstLine="560" w:firstLineChars="200"/>
    </w:pPr>
    <w:rPr>
      <w:rFonts w:cs="宋体"/>
      <w:sz w:val="28"/>
    </w:rPr>
  </w:style>
  <w:style w:type="paragraph" w:customStyle="1" w:styleId="438">
    <w:name w:val="正文+波"/>
    <w:basedOn w:val="439"/>
    <w:qFormat/>
    <w:uiPriority w:val="0"/>
    <w:pPr>
      <w:ind w:firstLine="560"/>
    </w:pPr>
    <w:rPr>
      <w:sz w:val="28"/>
    </w:rPr>
  </w:style>
  <w:style w:type="paragraph" w:customStyle="1" w:styleId="439">
    <w:name w:val="正文+ 波"/>
    <w:basedOn w:val="1"/>
    <w:qFormat/>
    <w:uiPriority w:val="0"/>
    <w:pPr>
      <w:spacing w:line="360" w:lineRule="auto"/>
      <w:ind w:firstLine="200" w:firstLineChars="200"/>
    </w:pPr>
    <w:rPr>
      <w:rFonts w:cs="宋体"/>
    </w:rPr>
  </w:style>
  <w:style w:type="table" w:customStyle="1" w:styleId="440">
    <w:name w:val="网格型121"/>
    <w:basedOn w:val="53"/>
    <w:qFormat/>
    <w:uiPriority w:val="59"/>
    <w:pPr>
      <w:jc w:val="both"/>
    </w:pPr>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441">
    <w:name w:val="No Spacing"/>
    <w:qFormat/>
    <w:uiPriority w:val="0"/>
    <w:pPr>
      <w:widowControl w:val="0"/>
      <w:spacing w:after="160" w:line="360" w:lineRule="auto"/>
      <w:ind w:firstLine="200" w:firstLineChars="200"/>
      <w:jc w:val="both"/>
    </w:pPr>
    <w:rPr>
      <w:rFonts w:ascii="Times New Roman" w:hAnsi="Times New Roman" w:eastAsia="宋体" w:cs="Times New Roman"/>
      <w:kern w:val="2"/>
      <w:sz w:val="24"/>
      <w:szCs w:val="22"/>
      <w:lang w:val="en-US" w:eastAsia="zh-CN" w:bidi="ar-SA"/>
    </w:rPr>
  </w:style>
  <w:style w:type="paragraph" w:customStyle="1" w:styleId="442">
    <w:name w:val="my"/>
    <w:basedOn w:val="1"/>
    <w:qFormat/>
    <w:uiPriority w:val="0"/>
    <w:pPr>
      <w:widowControl/>
      <w:tabs>
        <w:tab w:val="left" w:pos="0"/>
      </w:tabs>
      <w:adjustRightInd w:val="0"/>
      <w:spacing w:line="360" w:lineRule="auto"/>
      <w:ind w:firstLine="480" w:firstLineChars="200"/>
    </w:pPr>
    <w:rPr>
      <w:rFonts w:hAnsi="宋体"/>
    </w:rPr>
  </w:style>
  <w:style w:type="paragraph" w:customStyle="1" w:styleId="443">
    <w:name w:val="表格文字2018"/>
    <w:basedOn w:val="1"/>
    <w:unhideWhenUsed/>
    <w:qFormat/>
    <w:uiPriority w:val="0"/>
    <w:pPr>
      <w:widowControl/>
      <w:spacing w:line="320" w:lineRule="exact"/>
      <w:jc w:val="center"/>
    </w:pPr>
    <w:rPr>
      <w:rFonts w:eastAsia="仿宋_GB2312"/>
    </w:rPr>
  </w:style>
  <w:style w:type="paragraph" w:customStyle="1" w:styleId="444">
    <w:name w:val="1.1.1.1"/>
    <w:basedOn w:val="7"/>
    <w:next w:val="21"/>
    <w:qFormat/>
    <w:uiPriority w:val="0"/>
    <w:pPr>
      <w:ind w:firstLine="420" w:firstLineChars="200"/>
      <w:outlineLvl w:val="5"/>
    </w:pPr>
    <w:rPr>
      <w:rFonts w:ascii="Times New Roman" w:hAnsi="Times New Roman" w:eastAsia="宋体"/>
      <w:sz w:val="24"/>
    </w:rPr>
  </w:style>
  <w:style w:type="character" w:customStyle="1" w:styleId="445">
    <w:name w:val="批注文字 字符"/>
    <w:qFormat/>
    <w:locked/>
    <w:uiPriority w:val="0"/>
    <w:rPr>
      <w:rFonts w:ascii="Times New Roman" w:hAnsi="Times New Roman" w:eastAsia="宋体"/>
      <w:sz w:val="24"/>
    </w:rPr>
  </w:style>
  <w:style w:type="table" w:customStyle="1" w:styleId="446">
    <w:name w:val="网格型2"/>
    <w:basedOn w:val="53"/>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47">
    <w:name w:val="标题 2 字符"/>
    <w:qFormat/>
    <w:uiPriority w:val="0"/>
    <w:rPr>
      <w:rFonts w:ascii="Arial" w:hAnsi="Arial" w:eastAsia="黑体"/>
      <w:b/>
      <w:bCs/>
      <w:kern w:val="2"/>
      <w:sz w:val="32"/>
      <w:szCs w:val="32"/>
    </w:rPr>
  </w:style>
  <w:style w:type="character" w:customStyle="1" w:styleId="448">
    <w:name w:val="标题 3 字符"/>
    <w:qFormat/>
    <w:uiPriority w:val="0"/>
    <w:rPr>
      <w:b/>
      <w:bCs/>
      <w:kern w:val="2"/>
      <w:sz w:val="32"/>
      <w:szCs w:val="32"/>
    </w:rPr>
  </w:style>
  <w:style w:type="character" w:customStyle="1" w:styleId="449">
    <w:name w:val="题注 字符"/>
    <w:qFormat/>
    <w:uiPriority w:val="0"/>
    <w:rPr>
      <w:rFonts w:ascii="Arial" w:hAnsi="Arial" w:eastAsia="黑体" w:cs="Arial"/>
      <w:kern w:val="2"/>
    </w:rPr>
  </w:style>
  <w:style w:type="character" w:customStyle="1" w:styleId="450">
    <w:name w:val="文档结构图 字符"/>
    <w:qFormat/>
    <w:uiPriority w:val="0"/>
    <w:rPr>
      <w:kern w:val="2"/>
      <w:sz w:val="21"/>
      <w:szCs w:val="24"/>
      <w:shd w:val="clear" w:color="auto" w:fill="000080"/>
    </w:rPr>
  </w:style>
  <w:style w:type="character" w:customStyle="1" w:styleId="451">
    <w:name w:val="正文文本缩进 字符"/>
    <w:semiHidden/>
    <w:qFormat/>
    <w:locked/>
    <w:uiPriority w:val="0"/>
    <w:rPr>
      <w:rFonts w:ascii="Times New Roman" w:hAnsi="Times New Roman" w:eastAsia="宋体"/>
      <w:sz w:val="24"/>
    </w:rPr>
  </w:style>
  <w:style w:type="character" w:customStyle="1" w:styleId="452">
    <w:name w:val="日期 字符1"/>
    <w:qFormat/>
    <w:locked/>
    <w:uiPriority w:val="0"/>
    <w:rPr>
      <w:rFonts w:ascii="Times New Roman" w:hAnsi="Times New Roman" w:eastAsia="宋体"/>
      <w:sz w:val="24"/>
    </w:rPr>
  </w:style>
  <w:style w:type="character" w:customStyle="1" w:styleId="453">
    <w:name w:val="正文文本缩进 2 字符"/>
    <w:qFormat/>
    <w:uiPriority w:val="0"/>
    <w:rPr>
      <w:kern w:val="2"/>
      <w:sz w:val="21"/>
      <w:szCs w:val="24"/>
    </w:rPr>
  </w:style>
  <w:style w:type="character" w:customStyle="1" w:styleId="454">
    <w:name w:val="批注框文本 字符"/>
    <w:qFormat/>
    <w:locked/>
    <w:uiPriority w:val="0"/>
    <w:rPr>
      <w:rFonts w:ascii="Times New Roman" w:hAnsi="Times New Roman" w:eastAsia="宋体"/>
      <w:sz w:val="18"/>
    </w:rPr>
  </w:style>
  <w:style w:type="character" w:customStyle="1" w:styleId="455">
    <w:name w:val="页脚 字符1"/>
    <w:qFormat/>
    <w:locked/>
    <w:uiPriority w:val="99"/>
    <w:rPr>
      <w:sz w:val="18"/>
    </w:rPr>
  </w:style>
  <w:style w:type="character" w:customStyle="1" w:styleId="456">
    <w:name w:val="页眉 字符"/>
    <w:qFormat/>
    <w:locked/>
    <w:uiPriority w:val="0"/>
    <w:rPr>
      <w:sz w:val="18"/>
    </w:rPr>
  </w:style>
  <w:style w:type="character" w:customStyle="1" w:styleId="457">
    <w:name w:val="正文文本缩进 3 字符"/>
    <w:qFormat/>
    <w:uiPriority w:val="0"/>
    <w:rPr>
      <w:kern w:val="2"/>
      <w:sz w:val="16"/>
      <w:szCs w:val="16"/>
    </w:rPr>
  </w:style>
  <w:style w:type="character" w:customStyle="1" w:styleId="458">
    <w:name w:val="普通(网站) 字符"/>
    <w:qFormat/>
    <w:locked/>
    <w:uiPriority w:val="99"/>
    <w:rPr>
      <w:rFonts w:ascii="宋体" w:hAnsi="宋体" w:eastAsia="宋体"/>
      <w:sz w:val="24"/>
    </w:rPr>
  </w:style>
  <w:style w:type="character" w:customStyle="1" w:styleId="459">
    <w:name w:val="批注主题 字符"/>
    <w:qFormat/>
    <w:locked/>
    <w:uiPriority w:val="0"/>
    <w:rPr>
      <w:rFonts w:ascii="Times New Roman" w:hAnsi="Times New Roman" w:eastAsia="宋体"/>
      <w:b/>
      <w:kern w:val="2"/>
      <w:sz w:val="24"/>
    </w:rPr>
  </w:style>
  <w:style w:type="character" w:customStyle="1" w:styleId="460">
    <w:name w:val="正文文本首行缩进 字符1"/>
    <w:qFormat/>
    <w:uiPriority w:val="0"/>
    <w:rPr>
      <w:kern w:val="2"/>
      <w:sz w:val="21"/>
      <w:szCs w:val="24"/>
    </w:rPr>
  </w:style>
  <w:style w:type="character" w:customStyle="1" w:styleId="461">
    <w:name w:val="表后文 Char"/>
    <w:qFormat/>
    <w:uiPriority w:val="0"/>
    <w:rPr>
      <w:rFonts w:eastAsia="宋体"/>
      <w:kern w:val="2"/>
      <w:sz w:val="21"/>
      <w:lang w:val="en-US" w:eastAsia="zh-CN" w:bidi="ar-SA"/>
    </w:rPr>
  </w:style>
  <w:style w:type="character" w:customStyle="1" w:styleId="462">
    <w:name w:val="ddd"/>
    <w:qFormat/>
    <w:uiPriority w:val="0"/>
  </w:style>
  <w:style w:type="character" w:customStyle="1" w:styleId="463">
    <w:name w:val="正文 居中 Char Char"/>
    <w:qFormat/>
    <w:uiPriority w:val="0"/>
    <w:rPr>
      <w:rFonts w:eastAsia="宋体" w:cs="黑体"/>
      <w:kern w:val="2"/>
      <w:sz w:val="24"/>
      <w:szCs w:val="24"/>
      <w:lang w:val="zh-CN" w:eastAsia="zh-CN" w:bidi="ar-SA"/>
    </w:rPr>
  </w:style>
  <w:style w:type="character" w:customStyle="1" w:styleId="464">
    <w:name w:val="内容小标题 Char"/>
    <w:link w:val="465"/>
    <w:qFormat/>
    <w:uiPriority w:val="0"/>
    <w:rPr>
      <w:b/>
      <w:kern w:val="2"/>
      <w:sz w:val="24"/>
      <w:szCs w:val="24"/>
    </w:rPr>
  </w:style>
  <w:style w:type="paragraph" w:customStyle="1" w:styleId="465">
    <w:name w:val="内容小标题"/>
    <w:basedOn w:val="1"/>
    <w:link w:val="464"/>
    <w:qFormat/>
    <w:uiPriority w:val="0"/>
    <w:pPr>
      <w:spacing w:line="360" w:lineRule="auto"/>
      <w:jc w:val="left"/>
    </w:pPr>
    <w:rPr>
      <w:b/>
      <w:szCs w:val="24"/>
      <w:lang w:val="zh-CN"/>
    </w:rPr>
  </w:style>
  <w:style w:type="character" w:customStyle="1" w:styleId="466">
    <w:name w:val="纯文本 Char2"/>
    <w:qFormat/>
    <w:uiPriority w:val="0"/>
    <w:rPr>
      <w:rFonts w:ascii="宋体" w:hAnsi="Courier New" w:cs="Courier New"/>
      <w:kern w:val="2"/>
      <w:sz w:val="21"/>
      <w:szCs w:val="21"/>
    </w:rPr>
  </w:style>
  <w:style w:type="character" w:customStyle="1" w:styleId="467">
    <w:name w:val="正文文本缩进 3 Char1"/>
    <w:qFormat/>
    <w:uiPriority w:val="0"/>
    <w:rPr>
      <w:kern w:val="2"/>
      <w:sz w:val="16"/>
      <w:szCs w:val="16"/>
    </w:rPr>
  </w:style>
  <w:style w:type="character" w:customStyle="1" w:styleId="468">
    <w:name w:val="正文001- Char"/>
    <w:link w:val="469"/>
    <w:qFormat/>
    <w:uiPriority w:val="0"/>
    <w:rPr>
      <w:bCs/>
      <w:kern w:val="2"/>
      <w:sz w:val="24"/>
      <w:szCs w:val="24"/>
    </w:rPr>
  </w:style>
  <w:style w:type="paragraph" w:customStyle="1" w:styleId="469">
    <w:name w:val="正文001-"/>
    <w:basedOn w:val="1"/>
    <w:link w:val="468"/>
    <w:qFormat/>
    <w:uiPriority w:val="0"/>
    <w:pPr>
      <w:adjustRightInd w:val="0"/>
      <w:snapToGrid w:val="0"/>
      <w:spacing w:before="60" w:line="460" w:lineRule="exact"/>
      <w:ind w:firstLine="480" w:firstLineChars="200"/>
    </w:pPr>
    <w:rPr>
      <w:bCs/>
      <w:szCs w:val="24"/>
      <w:lang w:val="zh-CN"/>
    </w:rPr>
  </w:style>
  <w:style w:type="character" w:customStyle="1" w:styleId="470">
    <w:name w:val="信息表 Char Char"/>
    <w:link w:val="471"/>
    <w:qFormat/>
    <w:uiPriority w:val="0"/>
    <w:rPr>
      <w:rFonts w:ascii="宋体" w:hAnsi="宋体"/>
      <w:kern w:val="2"/>
      <w:sz w:val="24"/>
      <w:szCs w:val="24"/>
      <w:lang w:val="en-US" w:eastAsia="zh-CN" w:bidi="ar-SA"/>
    </w:rPr>
  </w:style>
  <w:style w:type="paragraph" w:customStyle="1" w:styleId="471">
    <w:name w:val="信息表"/>
    <w:next w:val="1"/>
    <w:link w:val="470"/>
    <w:qFormat/>
    <w:uiPriority w:val="0"/>
    <w:pPr>
      <w:widowControl w:val="0"/>
      <w:autoSpaceDE w:val="0"/>
      <w:autoSpaceDN w:val="0"/>
      <w:spacing w:after="160" w:line="360" w:lineRule="auto"/>
      <w:ind w:firstLine="480" w:firstLineChars="200"/>
      <w:jc w:val="both"/>
    </w:pPr>
    <w:rPr>
      <w:rFonts w:ascii="宋体" w:hAnsi="宋体" w:eastAsia="宋体" w:cs="Times New Roman"/>
      <w:kern w:val="2"/>
      <w:sz w:val="24"/>
      <w:szCs w:val="24"/>
      <w:lang w:val="en-US" w:eastAsia="zh-CN" w:bidi="ar-SA"/>
    </w:rPr>
  </w:style>
  <w:style w:type="character" w:customStyle="1" w:styleId="472">
    <w:name w:val="正文 居中 Char"/>
    <w:link w:val="473"/>
    <w:qFormat/>
    <w:uiPriority w:val="0"/>
    <w:rPr>
      <w:rFonts w:cs="黑体"/>
      <w:kern w:val="2"/>
      <w:sz w:val="24"/>
      <w:szCs w:val="24"/>
      <w:lang w:val="zh-CN"/>
    </w:rPr>
  </w:style>
  <w:style w:type="paragraph" w:customStyle="1" w:styleId="473">
    <w:name w:val="正文 居中"/>
    <w:basedOn w:val="1"/>
    <w:link w:val="472"/>
    <w:qFormat/>
    <w:uiPriority w:val="0"/>
    <w:pPr>
      <w:adjustRightInd w:val="0"/>
      <w:snapToGrid w:val="0"/>
      <w:jc w:val="center"/>
    </w:pPr>
    <w:rPr>
      <w:szCs w:val="24"/>
      <w:lang w:val="zh-CN"/>
    </w:rPr>
  </w:style>
  <w:style w:type="character" w:customStyle="1" w:styleId="474">
    <w:name w:val="bititle"/>
    <w:qFormat/>
    <w:uiPriority w:val="0"/>
  </w:style>
  <w:style w:type="paragraph" w:customStyle="1" w:styleId="475">
    <w:name w:val="样式 标题 3 + 小四 非加粗 段前: 0 磅 段后: 0 磅 行距: 1.5 倍行距"/>
    <w:basedOn w:val="6"/>
    <w:qFormat/>
    <w:uiPriority w:val="0"/>
    <w:pPr>
      <w:spacing w:before="0" w:after="0" w:line="360" w:lineRule="auto"/>
    </w:pPr>
    <w:rPr>
      <w:rFonts w:cs="宋体"/>
      <w:sz w:val="24"/>
      <w:szCs w:val="24"/>
    </w:rPr>
  </w:style>
  <w:style w:type="paragraph" w:customStyle="1" w:styleId="476">
    <w:name w:val="表图题"/>
    <w:basedOn w:val="1"/>
    <w:qFormat/>
    <w:uiPriority w:val="0"/>
    <w:pPr>
      <w:spacing w:line="440" w:lineRule="exact"/>
      <w:jc w:val="center"/>
    </w:pPr>
    <w:rPr>
      <w:rFonts w:eastAsia="华文细黑"/>
      <w:b/>
      <w:szCs w:val="28"/>
    </w:rPr>
  </w:style>
  <w:style w:type="paragraph" w:customStyle="1" w:styleId="477">
    <w:name w:val="Char Char Char Char2"/>
    <w:basedOn w:val="1"/>
    <w:qFormat/>
    <w:uiPriority w:val="0"/>
  </w:style>
  <w:style w:type="paragraph" w:customStyle="1" w:styleId="478">
    <w:name w:val="样式12"/>
    <w:basedOn w:val="1"/>
    <w:qFormat/>
    <w:uiPriority w:val="0"/>
    <w:pPr>
      <w:spacing w:line="360" w:lineRule="auto"/>
    </w:pPr>
    <w:rPr>
      <w:rFonts w:ascii="Arial" w:hAnsi="Arial" w:cs="Arial"/>
      <w:b/>
      <w:bCs/>
    </w:rPr>
  </w:style>
  <w:style w:type="paragraph" w:customStyle="1" w:styleId="479">
    <w:name w:val="Char Char1 Char Char Char Char Char Char Char Char Char Char Char Char Char Char Char Char Char Char2"/>
    <w:basedOn w:val="1"/>
    <w:qFormat/>
    <w:uiPriority w:val="0"/>
    <w:pPr>
      <w:spacing w:line="360" w:lineRule="auto"/>
      <w:ind w:firstLine="200" w:firstLineChars="200"/>
    </w:pPr>
    <w:rPr>
      <w:rFonts w:ascii="宋体" w:hAnsi="宋体" w:cs="宋体"/>
    </w:rPr>
  </w:style>
  <w:style w:type="paragraph" w:customStyle="1" w:styleId="480">
    <w:name w:val="二级标题"/>
    <w:basedOn w:val="1"/>
    <w:qFormat/>
    <w:uiPriority w:val="0"/>
    <w:pPr>
      <w:spacing w:before="120" w:line="540" w:lineRule="exact"/>
      <w:outlineLvl w:val="1"/>
    </w:pPr>
    <w:rPr>
      <w:b/>
      <w:sz w:val="28"/>
    </w:rPr>
  </w:style>
  <w:style w:type="paragraph" w:customStyle="1" w:styleId="481">
    <w:name w:val="字元 字元1 Char Char Char Char"/>
    <w:basedOn w:val="1"/>
    <w:qFormat/>
    <w:uiPriority w:val="0"/>
    <w:pPr>
      <w:spacing w:line="360" w:lineRule="auto"/>
      <w:ind w:firstLine="200" w:firstLineChars="200"/>
    </w:pPr>
    <w:rPr>
      <w:rFonts w:ascii="宋体" w:hAnsi="宋体" w:cs="宋体"/>
    </w:rPr>
  </w:style>
  <w:style w:type="paragraph" w:customStyle="1" w:styleId="482">
    <w:name w:val="Char1 Char Char Char Char Char"/>
    <w:basedOn w:val="1"/>
    <w:qFormat/>
    <w:uiPriority w:val="0"/>
    <w:pPr>
      <w:spacing w:line="360" w:lineRule="auto"/>
      <w:ind w:firstLine="200" w:firstLineChars="200"/>
    </w:pPr>
  </w:style>
  <w:style w:type="paragraph" w:customStyle="1" w:styleId="483">
    <w:name w:val="Char Char Char Char Char Char Char Char Char Char Char Char1 Char Char Char Char Char Char Char Char Char Char Char Char Char Char Char Char Char Char Char"/>
    <w:basedOn w:val="1"/>
    <w:qFormat/>
    <w:uiPriority w:val="0"/>
    <w:pPr>
      <w:spacing w:line="360" w:lineRule="auto"/>
      <w:ind w:firstLine="200" w:firstLineChars="200"/>
    </w:pPr>
    <w:rPr>
      <w:rFonts w:ascii="宋体" w:hAnsi="宋体" w:cs="宋体"/>
    </w:rPr>
  </w:style>
  <w:style w:type="paragraph" w:customStyle="1" w:styleId="484">
    <w:name w:val="Char Char Char Char Char Char Char Char Char Char Char Char1 Char Char Char Char Char Char Char Char Char Char Char Char Char Char Char Char Char Char Char1"/>
    <w:basedOn w:val="1"/>
    <w:qFormat/>
    <w:uiPriority w:val="0"/>
    <w:pPr>
      <w:spacing w:line="360" w:lineRule="auto"/>
      <w:ind w:firstLine="200" w:firstLineChars="200"/>
    </w:pPr>
    <w:rPr>
      <w:rFonts w:ascii="宋体" w:hAnsi="宋体" w:cs="宋体"/>
    </w:rPr>
  </w:style>
  <w:style w:type="paragraph" w:customStyle="1" w:styleId="485">
    <w:name w:val="标题4"/>
    <w:basedOn w:val="1"/>
    <w:qFormat/>
    <w:uiPriority w:val="0"/>
    <w:pPr>
      <w:widowControl/>
      <w:spacing w:line="600" w:lineRule="exact"/>
      <w:jc w:val="left"/>
    </w:pPr>
    <w:rPr>
      <w:b/>
    </w:rPr>
  </w:style>
  <w:style w:type="paragraph" w:customStyle="1" w:styleId="486">
    <w:name w:val="Char11"/>
    <w:basedOn w:val="1"/>
    <w:qFormat/>
    <w:uiPriority w:val="0"/>
    <w:pPr>
      <w:spacing w:line="360" w:lineRule="auto"/>
      <w:ind w:firstLine="200" w:firstLineChars="200"/>
    </w:pPr>
  </w:style>
  <w:style w:type="paragraph" w:customStyle="1" w:styleId="487">
    <w:name w:val="xl25"/>
    <w:basedOn w:val="1"/>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jc w:val="center"/>
      <w:textAlignment w:val="center"/>
    </w:pPr>
    <w:rPr>
      <w:rFonts w:hint="eastAsia" w:ascii="方正姚体" w:hAnsi="Arial Unicode MS" w:eastAsia="方正姚体" w:cs="Arial Unicode MS"/>
      <w:color w:val="000000"/>
      <w:sz w:val="18"/>
      <w:szCs w:val="18"/>
    </w:rPr>
  </w:style>
  <w:style w:type="character" w:customStyle="1" w:styleId="488">
    <w:name w:val="3级标题 Char"/>
    <w:link w:val="489"/>
    <w:qFormat/>
    <w:uiPriority w:val="0"/>
    <w:rPr>
      <w:b/>
      <w:sz w:val="24"/>
    </w:rPr>
  </w:style>
  <w:style w:type="paragraph" w:customStyle="1" w:styleId="489">
    <w:name w:val="3级标题"/>
    <w:basedOn w:val="1"/>
    <w:link w:val="488"/>
    <w:qFormat/>
    <w:uiPriority w:val="0"/>
    <w:pPr>
      <w:spacing w:before="300" w:line="460" w:lineRule="exact"/>
      <w:outlineLvl w:val="2"/>
    </w:pPr>
    <w:rPr>
      <w:b/>
      <w:lang w:val="zh-CN"/>
    </w:rPr>
  </w:style>
  <w:style w:type="character" w:customStyle="1" w:styleId="490">
    <w:name w:val="标题 3 Char2"/>
    <w:qFormat/>
    <w:uiPriority w:val="0"/>
    <w:rPr>
      <w:rFonts w:eastAsia="宋体"/>
      <w:b/>
      <w:bCs/>
      <w:kern w:val="2"/>
      <w:sz w:val="32"/>
      <w:szCs w:val="32"/>
      <w:lang w:val="en-US" w:eastAsia="zh-CN" w:bidi="ar-SA"/>
    </w:rPr>
  </w:style>
  <w:style w:type="paragraph" w:customStyle="1" w:styleId="491">
    <w:name w:val="内表头"/>
    <w:basedOn w:val="1"/>
    <w:qFormat/>
    <w:uiPriority w:val="0"/>
    <w:pPr>
      <w:adjustRightInd w:val="0"/>
      <w:snapToGrid w:val="0"/>
      <w:jc w:val="center"/>
    </w:pPr>
    <w:rPr>
      <w:rFonts w:eastAsia="黑体" w:cs="Arial"/>
      <w:sz w:val="20"/>
    </w:rPr>
  </w:style>
  <w:style w:type="paragraph" w:customStyle="1" w:styleId="492">
    <w:name w:val="TOC 标题1"/>
    <w:basedOn w:val="3"/>
    <w:next w:val="1"/>
    <w:qFormat/>
    <w:uiPriority w:val="39"/>
    <w:pPr>
      <w:keepLines/>
      <w:framePr w:wrap="around"/>
      <w:widowControl/>
      <w:snapToGrid/>
      <w:spacing w:before="480" w:line="276" w:lineRule="auto"/>
      <w:jc w:val="left"/>
      <w:outlineLvl w:val="9"/>
    </w:pPr>
    <w:rPr>
      <w:rFonts w:ascii="Cambria" w:hAnsi="Cambria"/>
      <w:color w:val="365F91"/>
      <w:sz w:val="28"/>
      <w:szCs w:val="28"/>
    </w:rPr>
  </w:style>
  <w:style w:type="character" w:customStyle="1" w:styleId="493">
    <w:name w:val="正文000000000000000 宋体 小四 黑色 首行缩进:  0.85 厘米 行距: 固定值 22 磅 Char Char"/>
    <w:link w:val="494"/>
    <w:qFormat/>
    <w:uiPriority w:val="0"/>
    <w:rPr>
      <w:color w:val="000000"/>
      <w:kern w:val="2"/>
      <w:sz w:val="24"/>
      <w:szCs w:val="24"/>
    </w:rPr>
  </w:style>
  <w:style w:type="paragraph" w:customStyle="1" w:styleId="494">
    <w:name w:val="正文000000000000000 宋体 小四 黑色 首行缩进:  0.85 厘米 行距: 固定值 22 磅"/>
    <w:basedOn w:val="1"/>
    <w:link w:val="493"/>
    <w:qFormat/>
    <w:uiPriority w:val="0"/>
    <w:pPr>
      <w:spacing w:line="440" w:lineRule="exact"/>
      <w:ind w:firstLine="200" w:firstLineChars="200"/>
    </w:pPr>
    <w:rPr>
      <w:color w:val="000000"/>
      <w:szCs w:val="24"/>
      <w:lang w:val="zh-CN"/>
    </w:rPr>
  </w:style>
  <w:style w:type="character" w:customStyle="1" w:styleId="495">
    <w:name w:val="正文首行缩进 2 + Times New Roman Char Char"/>
    <w:link w:val="496"/>
    <w:qFormat/>
    <w:uiPriority w:val="0"/>
    <w:rPr>
      <w:bCs/>
      <w:kern w:val="2"/>
      <w:sz w:val="24"/>
      <w:szCs w:val="24"/>
    </w:rPr>
  </w:style>
  <w:style w:type="paragraph" w:customStyle="1" w:styleId="496">
    <w:name w:val="正文首行缩进 2 + Times New Roman"/>
    <w:basedOn w:val="1"/>
    <w:link w:val="495"/>
    <w:qFormat/>
    <w:uiPriority w:val="0"/>
    <w:pPr>
      <w:tabs>
        <w:tab w:val="left" w:pos="0"/>
        <w:tab w:val="left" w:pos="870"/>
        <w:tab w:val="left" w:pos="3150"/>
      </w:tabs>
      <w:autoSpaceDE w:val="0"/>
      <w:autoSpaceDN w:val="0"/>
      <w:spacing w:line="360" w:lineRule="auto"/>
      <w:ind w:firstLine="480" w:firstLineChars="200"/>
      <w:jc w:val="left"/>
    </w:pPr>
    <w:rPr>
      <w:bCs/>
      <w:szCs w:val="24"/>
      <w:lang w:val="zh-CN"/>
    </w:rPr>
  </w:style>
  <w:style w:type="character" w:customStyle="1" w:styleId="497">
    <w:name w:val="font41"/>
    <w:qFormat/>
    <w:uiPriority w:val="0"/>
    <w:rPr>
      <w:rFonts w:hint="eastAsia" w:ascii="宋体" w:hAnsi="宋体" w:eastAsia="宋体" w:cs="宋体"/>
      <w:color w:val="000000"/>
      <w:sz w:val="22"/>
      <w:szCs w:val="22"/>
      <w:u w:val="none"/>
    </w:rPr>
  </w:style>
  <w:style w:type="character" w:customStyle="1" w:styleId="498">
    <w:name w:val="font51"/>
    <w:qFormat/>
    <w:uiPriority w:val="0"/>
    <w:rPr>
      <w:rFonts w:hint="default" w:ascii="Times New Roman" w:hAnsi="Times New Roman" w:cs="Times New Roman"/>
      <w:color w:val="000000"/>
      <w:sz w:val="22"/>
      <w:szCs w:val="22"/>
      <w:u w:val="none"/>
    </w:rPr>
  </w:style>
  <w:style w:type="character" w:customStyle="1" w:styleId="499">
    <w:name w:val="font61"/>
    <w:qFormat/>
    <w:uiPriority w:val="0"/>
    <w:rPr>
      <w:rFonts w:hint="default" w:ascii="Times New Roman" w:hAnsi="Times New Roman" w:cs="Times New Roman"/>
      <w:color w:val="000000"/>
      <w:sz w:val="22"/>
      <w:szCs w:val="22"/>
      <w:u w:val="none"/>
    </w:rPr>
  </w:style>
  <w:style w:type="paragraph" w:customStyle="1" w:styleId="500">
    <w:name w:val="表格正文8"/>
    <w:basedOn w:val="1"/>
    <w:qFormat/>
    <w:uiPriority w:val="0"/>
    <w:pPr>
      <w:spacing w:line="360" w:lineRule="exact"/>
      <w:jc w:val="center"/>
    </w:pPr>
    <w:rPr>
      <w:snapToGrid w:val="0"/>
    </w:rPr>
  </w:style>
  <w:style w:type="paragraph" w:customStyle="1" w:styleId="501">
    <w:name w:val="正文-7"/>
    <w:basedOn w:val="1"/>
    <w:qFormat/>
    <w:uiPriority w:val="0"/>
    <w:pPr>
      <w:spacing w:before="30" w:beforeLines="30" w:line="460" w:lineRule="exact"/>
      <w:ind w:firstLine="200" w:firstLineChars="200"/>
    </w:pPr>
    <w:rPr>
      <w:snapToGrid w:val="0"/>
    </w:rPr>
  </w:style>
  <w:style w:type="paragraph" w:customStyle="1" w:styleId="502">
    <w:name w:val="样式14"/>
    <w:basedOn w:val="1"/>
    <w:qFormat/>
    <w:uiPriority w:val="0"/>
    <w:pPr>
      <w:adjustRightInd w:val="0"/>
      <w:snapToGrid w:val="0"/>
      <w:jc w:val="center"/>
    </w:pPr>
    <w:rPr>
      <w:rFonts w:cs="Arial"/>
      <w:bCs/>
      <w:color w:val="000000"/>
    </w:rPr>
  </w:style>
  <w:style w:type="character" w:customStyle="1" w:styleId="503">
    <w:name w:val="副标题 Char1"/>
    <w:qFormat/>
    <w:uiPriority w:val="0"/>
    <w:rPr>
      <w:rFonts w:ascii="Cambria" w:hAnsi="Cambria" w:cs="Times New Roman"/>
      <w:b/>
      <w:bCs/>
      <w:kern w:val="28"/>
      <w:sz w:val="32"/>
      <w:szCs w:val="32"/>
    </w:rPr>
  </w:style>
  <w:style w:type="character" w:customStyle="1" w:styleId="504">
    <w:name w:val="fontstyle01"/>
    <w:qFormat/>
    <w:uiPriority w:val="0"/>
    <w:rPr>
      <w:rFonts w:hint="eastAsia" w:ascii="宋体" w:hAnsi="宋体" w:eastAsia="宋体" w:cs="宋体"/>
      <w:color w:val="000000"/>
      <w:sz w:val="24"/>
      <w:szCs w:val="24"/>
    </w:rPr>
  </w:style>
  <w:style w:type="paragraph" w:customStyle="1" w:styleId="505">
    <w:name w:val="小标"/>
    <w:basedOn w:val="1"/>
    <w:qFormat/>
    <w:uiPriority w:val="0"/>
    <w:pPr>
      <w:widowControl/>
      <w:ind w:firstLine="482" w:firstLineChars="200"/>
      <w:jc w:val="left"/>
    </w:pPr>
    <w:rPr>
      <w:b/>
      <w:bCs/>
    </w:rPr>
  </w:style>
  <w:style w:type="paragraph" w:customStyle="1" w:styleId="506">
    <w:name w:val="表格下方正文8"/>
    <w:basedOn w:val="1"/>
    <w:qFormat/>
    <w:uiPriority w:val="0"/>
    <w:pPr>
      <w:spacing w:before="300" w:line="460" w:lineRule="exact"/>
      <w:ind w:firstLine="200" w:firstLineChars="200"/>
    </w:pPr>
    <w:rPr>
      <w:snapToGrid w:val="0"/>
    </w:rPr>
  </w:style>
  <w:style w:type="paragraph" w:customStyle="1" w:styleId="507">
    <w:name w:val="正文-biao"/>
    <w:basedOn w:val="1"/>
    <w:link w:val="508"/>
    <w:qFormat/>
    <w:uiPriority w:val="0"/>
    <w:pPr>
      <w:spacing w:before="60" w:line="460" w:lineRule="exact"/>
      <w:ind w:firstLine="482"/>
    </w:pPr>
    <w:rPr>
      <w:rFonts w:hAnsi="宋体"/>
      <w:szCs w:val="24"/>
      <w:lang w:val="zh-CN"/>
    </w:rPr>
  </w:style>
  <w:style w:type="character" w:customStyle="1" w:styleId="508">
    <w:name w:val="正文-biao Char"/>
    <w:link w:val="507"/>
    <w:qFormat/>
    <w:uiPriority w:val="0"/>
    <w:rPr>
      <w:rFonts w:hAnsi="宋体"/>
      <w:kern w:val="2"/>
      <w:sz w:val="24"/>
      <w:szCs w:val="24"/>
    </w:rPr>
  </w:style>
  <w:style w:type="paragraph" w:customStyle="1" w:styleId="509">
    <w:name w:val="样式 表头 + 段前: 0.5 行 段后: 0.5 行"/>
    <w:basedOn w:val="1"/>
    <w:autoRedefine/>
    <w:qFormat/>
    <w:uiPriority w:val="0"/>
    <w:pPr>
      <w:autoSpaceDE w:val="0"/>
      <w:autoSpaceDN w:val="0"/>
      <w:adjustRightInd w:val="0"/>
      <w:spacing w:before="100" w:beforeAutospacing="1" w:after="100" w:afterAutospacing="1" w:line="480" w:lineRule="exact"/>
      <w:jc w:val="center"/>
    </w:pPr>
    <w:rPr>
      <w:b/>
      <w:bCs/>
      <w:lang w:val="zh-CN"/>
    </w:rPr>
  </w:style>
  <w:style w:type="character" w:customStyle="1" w:styleId="510">
    <w:name w:val="表格正文 Char Char"/>
    <w:qFormat/>
    <w:uiPriority w:val="0"/>
    <w:rPr>
      <w:rFonts w:eastAsia="宋体"/>
      <w:kern w:val="2"/>
      <w:sz w:val="21"/>
      <w:szCs w:val="24"/>
      <w:lang w:val="en-US" w:eastAsia="zh-CN" w:bidi="ar-SA"/>
    </w:rPr>
  </w:style>
  <w:style w:type="paragraph" w:customStyle="1" w:styleId="511">
    <w:name w:val="※正文"/>
    <w:basedOn w:val="36"/>
    <w:link w:val="512"/>
    <w:qFormat/>
    <w:uiPriority w:val="0"/>
    <w:pPr>
      <w:adjustRightInd w:val="0"/>
      <w:snapToGrid w:val="0"/>
      <w:spacing w:before="120" w:after="120" w:line="460" w:lineRule="exact"/>
      <w:ind w:firstLine="200" w:firstLineChars="200"/>
      <w:jc w:val="left"/>
    </w:pPr>
    <w:rPr>
      <w:rFonts w:ascii="Arial" w:hAnsi="Arial"/>
      <w:color w:val="000000"/>
      <w:lang w:val="zh-CN"/>
    </w:rPr>
  </w:style>
  <w:style w:type="character" w:customStyle="1" w:styleId="512">
    <w:name w:val="※正文 Char"/>
    <w:link w:val="511"/>
    <w:qFormat/>
    <w:uiPriority w:val="0"/>
    <w:rPr>
      <w:rFonts w:ascii="Arial" w:hAnsi="Arial"/>
      <w:color w:val="000000"/>
      <w:sz w:val="24"/>
      <w:szCs w:val="21"/>
    </w:rPr>
  </w:style>
  <w:style w:type="paragraph" w:customStyle="1" w:styleId="513">
    <w:name w:val="※题注"/>
    <w:basedOn w:val="7"/>
    <w:qFormat/>
    <w:uiPriority w:val="0"/>
    <w:pPr>
      <w:tabs>
        <w:tab w:val="left" w:pos="851"/>
      </w:tabs>
      <w:adjustRightInd w:val="0"/>
      <w:snapToGrid w:val="0"/>
      <w:spacing w:before="0" w:after="0" w:line="460" w:lineRule="exact"/>
      <w:jc w:val="center"/>
    </w:pPr>
    <w:rPr>
      <w:rFonts w:eastAsia="宋体"/>
      <w:sz w:val="21"/>
      <w:szCs w:val="24"/>
      <w:lang w:val="en-GB"/>
    </w:rPr>
  </w:style>
  <w:style w:type="paragraph" w:customStyle="1" w:styleId="514">
    <w:name w:val="报告表表格"/>
    <w:basedOn w:val="1"/>
    <w:qFormat/>
    <w:uiPriority w:val="0"/>
    <w:pPr>
      <w:spacing w:line="360" w:lineRule="exact"/>
      <w:jc w:val="center"/>
    </w:pPr>
    <w:rPr>
      <w:rFonts w:ascii="Arial" w:hAnsi="Arial"/>
    </w:rPr>
  </w:style>
  <w:style w:type="paragraph" w:customStyle="1" w:styleId="515">
    <w:name w:val="※表格正文"/>
    <w:basedOn w:val="1"/>
    <w:qFormat/>
    <w:uiPriority w:val="0"/>
    <w:pPr>
      <w:adjustRightInd w:val="0"/>
      <w:snapToGrid w:val="0"/>
      <w:spacing w:line="320" w:lineRule="exact"/>
      <w:jc w:val="center"/>
    </w:pPr>
    <w:rPr>
      <w:rFonts w:ascii="Arial" w:hAnsi="Arial" w:cs="Arial"/>
    </w:rPr>
  </w:style>
  <w:style w:type="character" w:customStyle="1" w:styleId="516">
    <w:name w:val="fontstyle21"/>
    <w:qFormat/>
    <w:uiPriority w:val="0"/>
    <w:rPr>
      <w:rFonts w:ascii="TimesNewRomanPS-BoldMT" w:hAnsi="TimesNewRomanPS-BoldMT" w:eastAsia="TimesNewRomanPS-BoldMT" w:cs="TimesNewRomanPS-BoldMT"/>
      <w:b/>
      <w:color w:val="000000"/>
      <w:sz w:val="24"/>
      <w:szCs w:val="24"/>
    </w:rPr>
  </w:style>
  <w:style w:type="paragraph" w:customStyle="1" w:styleId="517">
    <w:name w:val="表格中"/>
    <w:basedOn w:val="1"/>
    <w:next w:val="1"/>
    <w:qFormat/>
    <w:uiPriority w:val="0"/>
    <w:pPr>
      <w:widowControl/>
      <w:spacing w:line="360" w:lineRule="exact"/>
      <w:ind w:firstLine="200" w:firstLineChars="200"/>
      <w:jc w:val="center"/>
    </w:pPr>
    <w:rPr>
      <w:sz w:val="20"/>
    </w:rPr>
  </w:style>
  <w:style w:type="paragraph" w:customStyle="1" w:styleId="518">
    <w:name w:val="※表格正文1"/>
    <w:basedOn w:val="515"/>
    <w:qFormat/>
    <w:uiPriority w:val="0"/>
  </w:style>
  <w:style w:type="paragraph" w:customStyle="1" w:styleId="519">
    <w:name w:val="Char Char11"/>
    <w:basedOn w:val="1"/>
    <w:qFormat/>
    <w:uiPriority w:val="99"/>
    <w:pPr>
      <w:spacing w:line="360" w:lineRule="auto"/>
      <w:ind w:firstLine="200" w:firstLineChars="200"/>
    </w:pPr>
    <w:rPr>
      <w:rFonts w:ascii="宋体" w:hAnsi="宋体"/>
    </w:rPr>
  </w:style>
  <w:style w:type="character" w:customStyle="1" w:styleId="520">
    <w:name w:val="正文缩进 字符1"/>
    <w:qFormat/>
    <w:uiPriority w:val="99"/>
    <w:rPr>
      <w:kern w:val="2"/>
      <w:sz w:val="21"/>
    </w:rPr>
  </w:style>
  <w:style w:type="table" w:customStyle="1" w:styleId="521">
    <w:name w:val="Table Normal2"/>
    <w:unhideWhenUsed/>
    <w:qFormat/>
    <w:uiPriority w:val="0"/>
    <w:pPr>
      <w:widowControl w:val="0"/>
      <w:autoSpaceDE w:val="0"/>
      <w:autoSpaceDN w:val="0"/>
    </w:pPr>
    <w:rPr>
      <w:kern w:val="2"/>
      <w:sz w:val="22"/>
      <w:szCs w:val="21"/>
      <w:lang w:eastAsia="en-US"/>
    </w:rPr>
    <w:tblPr>
      <w:tblCellMar>
        <w:top w:w="0" w:type="dxa"/>
        <w:left w:w="0" w:type="dxa"/>
        <w:bottom w:w="0" w:type="dxa"/>
        <w:right w:w="0" w:type="dxa"/>
      </w:tblCellMar>
    </w:tblPr>
  </w:style>
  <w:style w:type="character" w:customStyle="1" w:styleId="522">
    <w:name w:val="标题 1 字符"/>
    <w:qFormat/>
    <w:uiPriority w:val="0"/>
    <w:rPr>
      <w:rFonts w:eastAsia="黑体"/>
      <w:b/>
      <w:bCs/>
      <w:color w:val="000000"/>
      <w:kern w:val="44"/>
      <w:sz w:val="30"/>
      <w:szCs w:val="30"/>
    </w:rPr>
  </w:style>
  <w:style w:type="character" w:customStyle="1" w:styleId="523">
    <w:name w:val="标题 4 字符1"/>
    <w:qFormat/>
    <w:uiPriority w:val="0"/>
    <w:rPr>
      <w:rFonts w:ascii="Cambria" w:hAnsi="Cambria"/>
      <w:b/>
      <w:bCs/>
      <w:kern w:val="2"/>
      <w:sz w:val="28"/>
      <w:szCs w:val="28"/>
    </w:rPr>
  </w:style>
  <w:style w:type="character" w:customStyle="1" w:styleId="524">
    <w:name w:val="标题 5 字符1"/>
    <w:qFormat/>
    <w:uiPriority w:val="0"/>
    <w:rPr>
      <w:rFonts w:ascii="Arial" w:hAnsi="Arial"/>
      <w:b/>
      <w:bCs/>
      <w:color w:val="000000"/>
      <w:kern w:val="1"/>
      <w:sz w:val="28"/>
      <w:szCs w:val="28"/>
      <w:lang w:eastAsia="ar-SA"/>
    </w:rPr>
  </w:style>
  <w:style w:type="character" w:customStyle="1" w:styleId="525">
    <w:name w:val="纯文本 字符1"/>
    <w:qFormat/>
    <w:uiPriority w:val="0"/>
    <w:rPr>
      <w:rFonts w:ascii="宋体" w:hAnsi="Courier New"/>
      <w:kern w:val="2"/>
      <w:sz w:val="21"/>
    </w:rPr>
  </w:style>
  <w:style w:type="character" w:customStyle="1" w:styleId="526">
    <w:name w:val="正文文本 2 字符"/>
    <w:qFormat/>
    <w:uiPriority w:val="0"/>
    <w:rPr>
      <w:color w:val="000000"/>
      <w:kern w:val="1"/>
      <w:sz w:val="24"/>
      <w:szCs w:val="21"/>
      <w:lang w:eastAsia="ar-SA"/>
    </w:rPr>
  </w:style>
  <w:style w:type="character" w:customStyle="1" w:styleId="527">
    <w:name w:val="标题 字符1"/>
    <w:qFormat/>
    <w:uiPriority w:val="0"/>
    <w:rPr>
      <w:rFonts w:ascii="Cambria" w:hAnsi="Cambria"/>
      <w:b/>
      <w:bCs/>
      <w:kern w:val="2"/>
      <w:sz w:val="32"/>
      <w:szCs w:val="32"/>
    </w:rPr>
  </w:style>
  <w:style w:type="character" w:customStyle="1" w:styleId="528">
    <w:name w:val="hot-word-count"/>
    <w:qFormat/>
    <w:uiPriority w:val="0"/>
    <w:rPr>
      <w:color w:val="FC5531"/>
    </w:rPr>
  </w:style>
  <w:style w:type="character" w:customStyle="1" w:styleId="529">
    <w:name w:val="fontborder"/>
    <w:qFormat/>
    <w:uiPriority w:val="0"/>
    <w:rPr>
      <w:bdr w:val="single" w:color="000000" w:sz="6" w:space="0"/>
    </w:rPr>
  </w:style>
  <w:style w:type="character" w:customStyle="1" w:styleId="530">
    <w:name w:val="hover5"/>
    <w:qFormat/>
    <w:uiPriority w:val="0"/>
  </w:style>
  <w:style w:type="character" w:customStyle="1" w:styleId="531">
    <w:name w:val="reward-close"/>
    <w:qFormat/>
    <w:uiPriority w:val="0"/>
  </w:style>
  <w:style w:type="character" w:customStyle="1" w:styleId="532">
    <w:name w:val="first-child"/>
    <w:qFormat/>
    <w:uiPriority w:val="0"/>
    <w:rPr>
      <w:shd w:val="clear" w:color="auto" w:fill="3083EB"/>
    </w:rPr>
  </w:style>
  <w:style w:type="character" w:customStyle="1" w:styleId="533">
    <w:name w:val="hover"/>
    <w:qFormat/>
    <w:uiPriority w:val="0"/>
    <w:rPr>
      <w:color w:val="FC5531"/>
      <w:bdr w:val="single" w:color="FC5531" w:sz="6" w:space="0"/>
    </w:rPr>
  </w:style>
  <w:style w:type="character" w:customStyle="1" w:styleId="534">
    <w:name w:val="hover7"/>
    <w:qFormat/>
    <w:uiPriority w:val="0"/>
    <w:rPr>
      <w:color w:val="FC5531"/>
      <w:bdr w:val="single" w:color="FC5531" w:sz="6" w:space="0"/>
    </w:rPr>
  </w:style>
  <w:style w:type="character" w:customStyle="1" w:styleId="535">
    <w:name w:val="quote2"/>
    <w:qFormat/>
    <w:uiPriority w:val="0"/>
    <w:rPr>
      <w:color w:val="6B6B6B"/>
      <w:sz w:val="18"/>
      <w:szCs w:val="18"/>
    </w:rPr>
  </w:style>
  <w:style w:type="character" w:customStyle="1" w:styleId="536">
    <w:name w:val="text"/>
    <w:qFormat/>
    <w:uiPriority w:val="0"/>
    <w:rPr>
      <w:vertAlign w:val="superscript"/>
    </w:rPr>
  </w:style>
  <w:style w:type="character" w:customStyle="1" w:styleId="537">
    <w:name w:val="hover6"/>
    <w:qFormat/>
    <w:uiPriority w:val="0"/>
    <w:rPr>
      <w:color w:val="FC5531"/>
      <w:bdr w:val="single" w:color="FC5531" w:sz="6" w:space="0"/>
    </w:rPr>
  </w:style>
  <w:style w:type="character" w:customStyle="1" w:styleId="538">
    <w:name w:val="fontstrikethrough"/>
    <w:qFormat/>
    <w:uiPriority w:val="0"/>
    <w:rPr>
      <w:strike/>
    </w:rPr>
  </w:style>
  <w:style w:type="character" w:customStyle="1" w:styleId="539">
    <w:name w:val="search-txt"/>
    <w:qFormat/>
    <w:uiPriority w:val="0"/>
    <w:rPr>
      <w:sz w:val="24"/>
      <w:szCs w:val="24"/>
    </w:rPr>
  </w:style>
  <w:style w:type="character" w:customStyle="1" w:styleId="540">
    <w:name w:val="search-bt"/>
    <w:qFormat/>
    <w:uiPriority w:val="0"/>
    <w:rPr>
      <w:color w:val="4E4E4E"/>
      <w:sz w:val="21"/>
      <w:szCs w:val="21"/>
      <w:shd w:val="clear" w:color="auto" w:fill="FFFFFF"/>
    </w:rPr>
  </w:style>
  <w:style w:type="character" w:customStyle="1" w:styleId="541">
    <w:name w:val="last-child"/>
    <w:qFormat/>
    <w:uiPriority w:val="0"/>
  </w:style>
  <w:style w:type="character" w:customStyle="1" w:styleId="542">
    <w:name w:val="hover1"/>
    <w:qFormat/>
    <w:uiPriority w:val="0"/>
    <w:rPr>
      <w:color w:val="FC5531"/>
    </w:rPr>
  </w:style>
  <w:style w:type="character" w:customStyle="1" w:styleId="543">
    <w:name w:val="advert-money"/>
    <w:qFormat/>
    <w:uiPriority w:val="0"/>
    <w:rPr>
      <w:b/>
      <w:color w:val="FC5531"/>
      <w:sz w:val="24"/>
      <w:szCs w:val="24"/>
    </w:rPr>
  </w:style>
  <w:style w:type="character" w:customStyle="1" w:styleId="544">
    <w:name w:val="first-child1"/>
    <w:qFormat/>
    <w:uiPriority w:val="0"/>
  </w:style>
  <w:style w:type="character" w:customStyle="1" w:styleId="545">
    <w:name w:val="小节标题 Char"/>
    <w:qFormat/>
    <w:uiPriority w:val="0"/>
    <w:rPr>
      <w:rFonts w:eastAsia="宋体"/>
      <w:b/>
      <w:bCs/>
      <w:kern w:val="2"/>
      <w:sz w:val="24"/>
      <w:szCs w:val="24"/>
      <w:lang w:val="en-US" w:eastAsia="zh-CN" w:bidi="ar-SA"/>
    </w:rPr>
  </w:style>
  <w:style w:type="character" w:customStyle="1" w:styleId="546">
    <w:name w:val="name"/>
    <w:qFormat/>
    <w:uiPriority w:val="0"/>
    <w:rPr>
      <w:color w:val="555666"/>
      <w:sz w:val="21"/>
      <w:szCs w:val="21"/>
    </w:rPr>
  </w:style>
  <w:style w:type="character" w:customStyle="1" w:styleId="547">
    <w:name w:val="nth-child(3n+1)"/>
    <w:qFormat/>
    <w:uiPriority w:val="0"/>
  </w:style>
  <w:style w:type="character" w:customStyle="1" w:styleId="548">
    <w:name w:val="tip2"/>
    <w:qFormat/>
    <w:uiPriority w:val="0"/>
    <w:rPr>
      <w:color w:val="999AAA"/>
      <w:sz w:val="18"/>
      <w:szCs w:val="18"/>
    </w:rPr>
  </w:style>
  <w:style w:type="character" w:customStyle="1" w:styleId="549">
    <w:name w:val="tip"/>
    <w:qFormat/>
    <w:uiPriority w:val="0"/>
    <w:rPr>
      <w:color w:val="999AAA"/>
      <w:sz w:val="18"/>
      <w:szCs w:val="18"/>
    </w:rPr>
  </w:style>
  <w:style w:type="character" w:customStyle="1" w:styleId="550">
    <w:name w:val="toolbar-adver-btn"/>
    <w:qFormat/>
    <w:uiPriority w:val="0"/>
    <w:rPr>
      <w:color w:val="FFFFFF"/>
      <w:sz w:val="33"/>
      <w:szCs w:val="33"/>
    </w:rPr>
  </w:style>
  <w:style w:type="character" w:customStyle="1" w:styleId="551">
    <w:name w:val="c-icon26"/>
    <w:qFormat/>
    <w:uiPriority w:val="0"/>
  </w:style>
  <w:style w:type="character" w:customStyle="1" w:styleId="552">
    <w:name w:val="count"/>
    <w:qFormat/>
    <w:uiPriority w:val="0"/>
    <w:rPr>
      <w:color w:val="999AAA"/>
      <w:sz w:val="18"/>
      <w:szCs w:val="18"/>
    </w:rPr>
  </w:style>
  <w:style w:type="character" w:customStyle="1" w:styleId="553">
    <w:name w:val="last-child1"/>
    <w:qFormat/>
    <w:uiPriority w:val="0"/>
    <w:rPr>
      <w:color w:val="3083EB"/>
      <w:sz w:val="24"/>
      <w:szCs w:val="24"/>
    </w:rPr>
  </w:style>
  <w:style w:type="character" w:customStyle="1" w:styleId="554">
    <w:name w:val="hot-word-bar"/>
    <w:qFormat/>
    <w:uiPriority w:val="0"/>
    <w:rPr>
      <w:shd w:val="clear" w:color="auto" w:fill="B1B1B1"/>
    </w:rPr>
  </w:style>
  <w:style w:type="character" w:customStyle="1" w:styleId="555">
    <w:name w:val="quote1"/>
    <w:qFormat/>
    <w:uiPriority w:val="0"/>
    <w:rPr>
      <w:color w:val="6B6B6B"/>
      <w:sz w:val="18"/>
      <w:szCs w:val="18"/>
    </w:rPr>
  </w:style>
  <w:style w:type="character" w:customStyle="1" w:styleId="556">
    <w:name w:val="toolbar-adver-btn1"/>
    <w:qFormat/>
    <w:uiPriority w:val="0"/>
    <w:rPr>
      <w:color w:val="FFFFFF"/>
      <w:sz w:val="33"/>
      <w:szCs w:val="33"/>
    </w:rPr>
  </w:style>
  <w:style w:type="character" w:customStyle="1" w:styleId="557">
    <w:name w:val="countx"/>
    <w:qFormat/>
    <w:uiPriority w:val="0"/>
    <w:rPr>
      <w:sz w:val="18"/>
      <w:szCs w:val="18"/>
    </w:rPr>
  </w:style>
  <w:style w:type="character" w:customStyle="1" w:styleId="558">
    <w:name w:val="text10"/>
    <w:qFormat/>
    <w:uiPriority w:val="0"/>
    <w:rPr>
      <w:vertAlign w:val="superscript"/>
    </w:rPr>
  </w:style>
  <w:style w:type="character" w:customStyle="1" w:styleId="559">
    <w:name w:val="引用1"/>
    <w:qFormat/>
    <w:uiPriority w:val="0"/>
    <w:rPr>
      <w:color w:val="6B6B6B"/>
      <w:sz w:val="18"/>
      <w:szCs w:val="18"/>
    </w:rPr>
  </w:style>
  <w:style w:type="character" w:customStyle="1" w:styleId="560">
    <w:name w:val="text8"/>
    <w:qFormat/>
    <w:uiPriority w:val="0"/>
    <w:rPr>
      <w:vertAlign w:val="superscript"/>
    </w:rPr>
  </w:style>
  <w:style w:type="character" w:customStyle="1" w:styleId="561">
    <w:name w:val="name7"/>
    <w:qFormat/>
    <w:uiPriority w:val="0"/>
    <w:rPr>
      <w:color w:val="555666"/>
      <w:sz w:val="21"/>
      <w:szCs w:val="21"/>
    </w:rPr>
  </w:style>
  <w:style w:type="character" w:customStyle="1" w:styleId="562">
    <w:name w:val="after2"/>
    <w:qFormat/>
    <w:uiPriority w:val="0"/>
  </w:style>
  <w:style w:type="character" w:customStyle="1" w:styleId="563">
    <w:name w:val="name10"/>
    <w:qFormat/>
    <w:uiPriority w:val="0"/>
    <w:rPr>
      <w:color w:val="555666"/>
      <w:sz w:val="21"/>
      <w:szCs w:val="21"/>
    </w:rPr>
  </w:style>
  <w:style w:type="character" w:customStyle="1" w:styleId="564">
    <w:name w:val="red"/>
    <w:qFormat/>
    <w:uiPriority w:val="0"/>
    <w:rPr>
      <w:color w:val="FF0000"/>
    </w:rPr>
  </w:style>
  <w:style w:type="character" w:customStyle="1" w:styleId="565">
    <w:name w:val="hover8"/>
    <w:qFormat/>
    <w:uiPriority w:val="0"/>
    <w:rPr>
      <w:color w:val="FC5531"/>
    </w:rPr>
  </w:style>
  <w:style w:type="character" w:customStyle="1" w:styleId="566">
    <w:name w:val="hover29"/>
    <w:qFormat/>
    <w:uiPriority w:val="0"/>
  </w:style>
  <w:style w:type="character" w:customStyle="1" w:styleId="567">
    <w:name w:val="hover30"/>
    <w:qFormat/>
    <w:uiPriority w:val="0"/>
    <w:rPr>
      <w:color w:val="315EFB"/>
    </w:rPr>
  </w:style>
  <w:style w:type="character" w:customStyle="1" w:styleId="568">
    <w:name w:val="count1"/>
    <w:qFormat/>
    <w:uiPriority w:val="0"/>
    <w:rPr>
      <w:color w:val="555666"/>
      <w:sz w:val="21"/>
      <w:szCs w:val="21"/>
    </w:rPr>
  </w:style>
  <w:style w:type="character" w:customStyle="1" w:styleId="569">
    <w:name w:val="advert-count-people"/>
    <w:qFormat/>
    <w:uiPriority w:val="0"/>
    <w:rPr>
      <w:color w:val="FC5531"/>
      <w:sz w:val="21"/>
      <w:szCs w:val="21"/>
    </w:rPr>
  </w:style>
  <w:style w:type="character" w:customStyle="1" w:styleId="570">
    <w:name w:val="txt"/>
    <w:qFormat/>
    <w:uiPriority w:val="0"/>
  </w:style>
  <w:style w:type="character" w:customStyle="1" w:styleId="571">
    <w:name w:val="choosed"/>
    <w:qFormat/>
    <w:uiPriority w:val="0"/>
    <w:rPr>
      <w:color w:val="FC5531"/>
      <w:bdr w:val="single" w:color="FC5531" w:sz="6" w:space="0"/>
    </w:rPr>
  </w:style>
  <w:style w:type="character" w:customStyle="1" w:styleId="572">
    <w:name w:val="quote3"/>
    <w:qFormat/>
    <w:uiPriority w:val="0"/>
    <w:rPr>
      <w:color w:val="6B6B6B"/>
      <w:sz w:val="18"/>
      <w:szCs w:val="18"/>
    </w:rPr>
  </w:style>
  <w:style w:type="paragraph" w:customStyle="1" w:styleId="573">
    <w:name w:val="Char Char121"/>
    <w:basedOn w:val="1"/>
    <w:qFormat/>
    <w:uiPriority w:val="0"/>
    <w:pPr>
      <w:spacing w:line="360" w:lineRule="auto"/>
      <w:ind w:firstLine="200" w:firstLineChars="200"/>
    </w:pPr>
    <w:rPr>
      <w:rFonts w:ascii="宋体" w:hAnsi="宋体" w:cs="宋体"/>
      <w:color w:val="000000"/>
      <w:kern w:val="1"/>
      <w:lang w:eastAsia="ar-SA"/>
    </w:rPr>
  </w:style>
  <w:style w:type="paragraph" w:customStyle="1" w:styleId="574">
    <w:name w:val="Char21"/>
    <w:basedOn w:val="1"/>
    <w:qFormat/>
    <w:uiPriority w:val="0"/>
    <w:pPr>
      <w:spacing w:line="360" w:lineRule="auto"/>
      <w:ind w:firstLine="200" w:firstLineChars="200"/>
    </w:pPr>
    <w:rPr>
      <w:rFonts w:ascii="宋体" w:hAnsi="宋体" w:cs="宋体"/>
      <w:color w:val="000000"/>
      <w:kern w:val="1"/>
      <w:lang w:eastAsia="ar-SA"/>
    </w:rPr>
  </w:style>
  <w:style w:type="paragraph" w:customStyle="1" w:styleId="575">
    <w:name w:val="Char Char Char Char11"/>
    <w:basedOn w:val="1"/>
    <w:qFormat/>
    <w:uiPriority w:val="0"/>
    <w:rPr>
      <w:color w:val="000000"/>
      <w:kern w:val="1"/>
      <w:lang w:eastAsia="ar-SA"/>
    </w:rPr>
  </w:style>
  <w:style w:type="paragraph" w:customStyle="1" w:styleId="576">
    <w:name w:val="Char3"/>
    <w:basedOn w:val="1"/>
    <w:qFormat/>
    <w:uiPriority w:val="0"/>
    <w:pPr>
      <w:tabs>
        <w:tab w:val="left" w:pos="937"/>
      </w:tabs>
      <w:ind w:left="1"/>
    </w:pPr>
    <w:rPr>
      <w:rFonts w:ascii="Arial" w:hAnsi="Arial" w:cs="Arial"/>
      <w:b/>
      <w:bCs/>
      <w:color w:val="000000"/>
      <w:kern w:val="1"/>
      <w:sz w:val="32"/>
      <w:szCs w:val="32"/>
      <w:lang w:eastAsia="ar-SA"/>
    </w:rPr>
  </w:style>
  <w:style w:type="paragraph" w:customStyle="1" w:styleId="577">
    <w:name w:val="正文3"/>
    <w:basedOn w:val="1"/>
    <w:qFormat/>
    <w:uiPriority w:val="0"/>
    <w:pPr>
      <w:suppressAutoHyphens/>
    </w:pPr>
    <w:rPr>
      <w:color w:val="000000"/>
      <w:kern w:val="1"/>
      <w:sz w:val="20"/>
      <w:lang w:eastAsia="ar-SA"/>
    </w:rPr>
  </w:style>
  <w:style w:type="paragraph" w:customStyle="1" w:styleId="578">
    <w:name w:val="Char Char1 Char Char Char Char Char Char Char Char Char Char Char Char Char Char Char Char Char Char Char Char1 Char1"/>
    <w:basedOn w:val="1"/>
    <w:qFormat/>
    <w:uiPriority w:val="0"/>
    <w:pPr>
      <w:spacing w:line="360" w:lineRule="auto"/>
      <w:ind w:firstLine="200" w:firstLineChars="200"/>
    </w:pPr>
    <w:rPr>
      <w:rFonts w:ascii="宋体" w:hAnsi="宋体" w:cs="宋体"/>
      <w:color w:val="000000"/>
      <w:kern w:val="1"/>
      <w:lang w:eastAsia="ar-SA"/>
    </w:rPr>
  </w:style>
  <w:style w:type="paragraph" w:customStyle="1" w:styleId="579">
    <w:name w:val="Char Char1 Char Char Char Char Char Char Char Char Char Char Char Char Char Char Char Char Char Char1"/>
    <w:basedOn w:val="1"/>
    <w:qFormat/>
    <w:uiPriority w:val="0"/>
    <w:pPr>
      <w:spacing w:line="360" w:lineRule="auto"/>
      <w:ind w:firstLine="200" w:firstLineChars="200"/>
    </w:pPr>
    <w:rPr>
      <w:rFonts w:ascii="宋体" w:hAnsi="宋体" w:cs="宋体"/>
      <w:color w:val="000000"/>
      <w:kern w:val="1"/>
      <w:lang w:eastAsia="ar-SA"/>
    </w:rPr>
  </w:style>
  <w:style w:type="paragraph" w:customStyle="1" w:styleId="580">
    <w:name w:val="Char Char Char1"/>
    <w:basedOn w:val="1"/>
    <w:qFormat/>
    <w:uiPriority w:val="0"/>
    <w:rPr>
      <w:rFonts w:ascii="Arial" w:hAnsi="Arial"/>
      <w:color w:val="000000"/>
      <w:kern w:val="1"/>
      <w:lang w:eastAsia="ar-SA"/>
    </w:rPr>
  </w:style>
  <w:style w:type="paragraph" w:customStyle="1" w:styleId="581">
    <w:name w:val="Char Char Char Char Char Char1 Char Char Char Char2"/>
    <w:basedOn w:val="1"/>
    <w:qFormat/>
    <w:uiPriority w:val="0"/>
    <w:rPr>
      <w:color w:val="000000"/>
      <w:kern w:val="1"/>
      <w:lang w:eastAsia="ar-SA"/>
    </w:rPr>
  </w:style>
  <w:style w:type="paragraph" w:customStyle="1" w:styleId="582">
    <w:name w:val="Char Char Char Char Char Char1 Char1"/>
    <w:basedOn w:val="1"/>
    <w:qFormat/>
    <w:uiPriority w:val="0"/>
    <w:pPr>
      <w:widowControl/>
      <w:jc w:val="left"/>
    </w:pPr>
    <w:rPr>
      <w:rFonts w:ascii="宋体" w:hAnsi="宋体" w:cs="宋体"/>
      <w:color w:val="000000"/>
      <w:lang w:eastAsia="ar-SA"/>
    </w:rPr>
  </w:style>
  <w:style w:type="paragraph" w:customStyle="1" w:styleId="583">
    <w:name w:val="Char Char Char Char Char Char1 Char Char Char Char1"/>
    <w:basedOn w:val="1"/>
    <w:qFormat/>
    <w:uiPriority w:val="0"/>
  </w:style>
  <w:style w:type="character" w:customStyle="1" w:styleId="584">
    <w:name w:val="正文缩进 字符2"/>
    <w:qFormat/>
    <w:uiPriority w:val="0"/>
    <w:rPr>
      <w:kern w:val="2"/>
      <w:sz w:val="21"/>
    </w:rPr>
  </w:style>
  <w:style w:type="paragraph" w:customStyle="1" w:styleId="585">
    <w:name w:val="_Style 7"/>
    <w:basedOn w:val="1"/>
    <w:next w:val="75"/>
    <w:qFormat/>
    <w:uiPriority w:val="34"/>
    <w:pPr>
      <w:ind w:firstLine="420" w:firstLineChars="200"/>
    </w:pPr>
  </w:style>
  <w:style w:type="paragraph" w:customStyle="1" w:styleId="586">
    <w:name w:val="表格1"/>
    <w:basedOn w:val="1"/>
    <w:next w:val="1"/>
    <w:qFormat/>
    <w:uiPriority w:val="0"/>
    <w:pPr>
      <w:adjustRightInd w:val="0"/>
      <w:snapToGrid w:val="0"/>
      <w:spacing w:beforeLines="10" w:line="254" w:lineRule="auto"/>
      <w:jc w:val="center"/>
    </w:pPr>
    <w:rPr>
      <w:rFonts w:hint="eastAsia" w:ascii="宋体"/>
      <w:color w:val="000000"/>
    </w:rPr>
  </w:style>
  <w:style w:type="paragraph" w:customStyle="1" w:styleId="587">
    <w:name w:val="表与图标题"/>
    <w:basedOn w:val="1"/>
    <w:qFormat/>
    <w:uiPriority w:val="0"/>
    <w:pPr>
      <w:adjustRightInd w:val="0"/>
      <w:jc w:val="center"/>
    </w:pPr>
    <w:rPr>
      <w:b/>
      <w:color w:val="000000"/>
      <w:kern w:val="1"/>
      <w:sz w:val="20"/>
    </w:rPr>
  </w:style>
  <w:style w:type="paragraph" w:customStyle="1" w:styleId="588">
    <w:name w:val="表格内字体（左对齐）"/>
    <w:basedOn w:val="236"/>
    <w:qFormat/>
    <w:uiPriority w:val="0"/>
    <w:pPr>
      <w:adjustRightInd/>
      <w:snapToGrid/>
      <w:jc w:val="both"/>
    </w:pPr>
    <w:rPr>
      <w:rFonts w:eastAsia="仿宋"/>
      <w:color w:val="000000"/>
      <w:kern w:val="1"/>
      <w:sz w:val="21"/>
    </w:rPr>
  </w:style>
  <w:style w:type="table" w:customStyle="1" w:styleId="589">
    <w:name w:val="网格型3"/>
    <w:basedOn w:val="53"/>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Normal3"/>
    <w:unhideWhenUsed/>
    <w:qFormat/>
    <w:uiPriority w:val="0"/>
    <w:pPr>
      <w:widowControl w:val="0"/>
      <w:autoSpaceDE w:val="0"/>
      <w:autoSpaceDN w:val="0"/>
    </w:pPr>
    <w:rPr>
      <w:kern w:val="2"/>
      <w:sz w:val="22"/>
      <w:szCs w:val="21"/>
      <w:lang w:eastAsia="en-US"/>
    </w:rPr>
    <w:tblPr>
      <w:tblCellMar>
        <w:top w:w="0" w:type="dxa"/>
        <w:left w:w="0" w:type="dxa"/>
        <w:bottom w:w="0" w:type="dxa"/>
        <w:right w:w="0" w:type="dxa"/>
      </w:tblCellMar>
    </w:tblPr>
  </w:style>
  <w:style w:type="character" w:customStyle="1" w:styleId="591">
    <w:name w:val="脚注文本 字符1"/>
    <w:qFormat/>
    <w:uiPriority w:val="0"/>
    <w:rPr>
      <w:rFonts w:ascii="Arial" w:hAnsi="Arial" w:eastAsia="仿宋_GB2312"/>
      <w:sz w:val="18"/>
      <w:szCs w:val="18"/>
    </w:rPr>
  </w:style>
  <w:style w:type="paragraph" w:customStyle="1" w:styleId="592">
    <w:name w:val="插入图片"/>
    <w:basedOn w:val="1"/>
    <w:qFormat/>
    <w:uiPriority w:val="0"/>
    <w:pPr>
      <w:framePr w:hSpace="180" w:wrap="around" w:vAnchor="text" w:hAnchor="text" w:xAlign="center" w:y="1"/>
      <w:adjustRightInd w:val="0"/>
      <w:spacing w:line="460" w:lineRule="exact"/>
      <w:jc w:val="center"/>
    </w:pPr>
    <w:rPr>
      <w:szCs w:val="22"/>
    </w:rPr>
  </w:style>
  <w:style w:type="paragraph" w:customStyle="1" w:styleId="593">
    <w:name w:val="111图片"/>
    <w:basedOn w:val="592"/>
    <w:qFormat/>
    <w:uiPriority w:val="0"/>
    <w:pPr>
      <w:framePr w:wrap="around"/>
      <w:spacing w:line="360" w:lineRule="auto"/>
    </w:pPr>
  </w:style>
  <w:style w:type="paragraph" w:customStyle="1" w:styleId="594">
    <w:name w:val="标题1"/>
    <w:basedOn w:val="1"/>
    <w:qFormat/>
    <w:uiPriority w:val="0"/>
    <w:pPr>
      <w:numPr>
        <w:ilvl w:val="0"/>
        <w:numId w:val="4"/>
      </w:numPr>
    </w:pPr>
  </w:style>
  <w:style w:type="paragraph" w:customStyle="1" w:styleId="595">
    <w:name w:val="标题2"/>
    <w:basedOn w:val="1"/>
    <w:qFormat/>
    <w:uiPriority w:val="0"/>
    <w:pPr>
      <w:numPr>
        <w:ilvl w:val="1"/>
        <w:numId w:val="4"/>
      </w:numPr>
    </w:pPr>
  </w:style>
  <w:style w:type="paragraph" w:customStyle="1" w:styleId="596">
    <w:name w:val="标题3"/>
    <w:basedOn w:val="1"/>
    <w:qFormat/>
    <w:uiPriority w:val="0"/>
    <w:pPr>
      <w:numPr>
        <w:ilvl w:val="2"/>
        <w:numId w:val="4"/>
      </w:numPr>
    </w:pPr>
  </w:style>
  <w:style w:type="paragraph" w:customStyle="1" w:styleId="597">
    <w:name w:val="列出段落2"/>
    <w:basedOn w:val="1"/>
    <w:qFormat/>
    <w:uiPriority w:val="0"/>
    <w:pPr>
      <w:autoSpaceDE w:val="0"/>
      <w:autoSpaceDN w:val="0"/>
      <w:ind w:left="1383" w:hanging="841"/>
      <w:jc w:val="left"/>
    </w:pPr>
    <w:rPr>
      <w:rFonts w:ascii="宋体" w:hAnsi="宋体" w:cs="宋体"/>
      <w:sz w:val="22"/>
      <w:szCs w:val="22"/>
    </w:rPr>
  </w:style>
  <w:style w:type="paragraph" w:customStyle="1" w:styleId="598">
    <w:name w:val="0一级标题"/>
    <w:basedOn w:val="1"/>
    <w:qFormat/>
    <w:uiPriority w:val="0"/>
    <w:pPr>
      <w:framePr w:hSpace="180" w:wrap="around" w:vAnchor="text" w:hAnchor="text" w:xAlign="center" w:y="1"/>
      <w:adjustRightInd w:val="0"/>
      <w:snapToGrid w:val="0"/>
      <w:spacing w:after="0" w:line="460" w:lineRule="exact"/>
      <w:jc w:val="left"/>
    </w:pPr>
    <w:rPr>
      <w:b/>
      <w:szCs w:val="22"/>
    </w:rPr>
  </w:style>
  <w:style w:type="paragraph" w:customStyle="1" w:styleId="599">
    <w:name w:val="正文my"/>
    <w:basedOn w:val="23"/>
    <w:qFormat/>
    <w:uiPriority w:val="0"/>
    <w:pPr>
      <w:ind w:firstLine="200" w:firstLineChars="200"/>
    </w:pPr>
  </w:style>
  <w:style w:type="paragraph" w:customStyle="1" w:styleId="600">
    <w:name w:val="WPSOffice手动目录 1"/>
    <w:qFormat/>
    <w:uiPriority w:val="0"/>
    <w:pPr>
      <w:spacing w:after="160" w:line="278" w:lineRule="auto"/>
    </w:pPr>
    <w:rPr>
      <w:rFonts w:ascii="Times New Roman" w:hAnsi="Times New Roman" w:eastAsia="宋体" w:cs="Times New Roman"/>
      <w:sz w:val="24"/>
      <w:lang w:val="en-US" w:eastAsia="zh-CN" w:bidi="ar-SA"/>
    </w:rPr>
  </w:style>
  <w:style w:type="paragraph" w:customStyle="1" w:styleId="601">
    <w:name w:val="11111111111"/>
    <w:basedOn w:val="1"/>
    <w:link w:val="602"/>
    <w:qFormat/>
    <w:uiPriority w:val="0"/>
    <w:pPr>
      <w:spacing w:line="480" w:lineRule="exact"/>
      <w:jc w:val="center"/>
    </w:pPr>
    <w:rPr>
      <w:b/>
      <w:sz w:val="21"/>
      <w:szCs w:val="24"/>
      <w:lang w:val="zh-CN"/>
    </w:rPr>
  </w:style>
  <w:style w:type="character" w:customStyle="1" w:styleId="602">
    <w:name w:val="11111111111 Char"/>
    <w:link w:val="601"/>
    <w:qFormat/>
    <w:locked/>
    <w:uiPriority w:val="0"/>
    <w:rPr>
      <w:b/>
      <w:kern w:val="2"/>
      <w:sz w:val="21"/>
      <w:szCs w:val="24"/>
    </w:rPr>
  </w:style>
  <w:style w:type="paragraph" w:customStyle="1" w:styleId="603">
    <w:name w:val="样式 样式 表头 + 段后: 0.5 行1 + 段前: 0.2 行 段后: 0.5 行"/>
    <w:basedOn w:val="1"/>
    <w:qFormat/>
    <w:uiPriority w:val="0"/>
    <w:pPr>
      <w:ind w:firstLine="422" w:firstLineChars="200"/>
      <w:jc w:val="center"/>
    </w:pPr>
    <w:rPr>
      <w:rFonts w:cs="宋体"/>
      <w:b/>
      <w:bCs/>
      <w:sz w:val="21"/>
    </w:rPr>
  </w:style>
  <w:style w:type="character" w:customStyle="1" w:styleId="604">
    <w:name w:val="表格内容 Char Char"/>
    <w:qFormat/>
    <w:uiPriority w:val="0"/>
    <w:rPr>
      <w:sz w:val="21"/>
      <w:szCs w:val="21"/>
      <w:lang w:val="zh-CN"/>
    </w:rPr>
  </w:style>
  <w:style w:type="paragraph" w:customStyle="1" w:styleId="605">
    <w:name w:val="TOC 标题2"/>
    <w:basedOn w:val="3"/>
    <w:next w:val="1"/>
    <w:unhideWhenUsed/>
    <w:qFormat/>
    <w:uiPriority w:val="39"/>
    <w:pPr>
      <w:keepNext/>
      <w:keepLines/>
      <w:framePr w:hSpace="0" w:wrap="around" w:vAnchor="margin" w:xAlign="left" w:yAlign="inline"/>
      <w:widowControl/>
      <w:adjustRightInd/>
      <w:snapToGrid/>
      <w:spacing w:before="240" w:line="259" w:lineRule="auto"/>
      <w:jc w:val="left"/>
      <w:outlineLvl w:val="9"/>
    </w:pPr>
    <w:rPr>
      <w:rFonts w:ascii="Calibri Light" w:hAnsi="Calibri Light"/>
      <w:color w:val="2E74B5"/>
      <w:sz w:val="32"/>
      <w:szCs w:val="32"/>
    </w:rPr>
  </w:style>
  <w:style w:type="character" w:customStyle="1" w:styleId="606">
    <w:name w:val="正文文本 3 Char1"/>
    <w:link w:val="20"/>
    <w:qFormat/>
    <w:uiPriority w:val="0"/>
    <w:rPr>
      <w:sz w:val="16"/>
      <w:szCs w:val="16"/>
    </w:rPr>
  </w:style>
  <w:style w:type="table" w:customStyle="1" w:styleId="607">
    <w:name w:val="网格型4"/>
    <w:basedOn w:val="5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08">
    <w:name w:val="表内字 Char1"/>
    <w:qFormat/>
    <w:uiPriority w:val="0"/>
    <w:rPr>
      <w:rFonts w:cs="Calibri"/>
      <w:sz w:val="24"/>
      <w:szCs w:val="24"/>
    </w:rPr>
  </w:style>
  <w:style w:type="paragraph" w:customStyle="1" w:styleId="609">
    <w:name w:val="w表格文字"/>
    <w:qFormat/>
    <w:uiPriority w:val="0"/>
    <w:pPr>
      <w:widowControl w:val="0"/>
      <w:adjustRightInd w:val="0"/>
      <w:snapToGrid w:val="0"/>
      <w:spacing w:after="160" w:line="278" w:lineRule="auto"/>
      <w:jc w:val="center"/>
    </w:pPr>
    <w:rPr>
      <w:rFonts w:ascii="Times New Roman" w:hAnsi="Times New Roman" w:eastAsia="宋体" w:cs="宋体"/>
      <w:color w:val="000000"/>
      <w:sz w:val="18"/>
      <w:szCs w:val="18"/>
      <w:u w:color="000000"/>
      <w:lang w:val="en-US" w:eastAsia="zh-CN" w:bidi="en-US"/>
    </w:rPr>
  </w:style>
  <w:style w:type="paragraph" w:customStyle="1" w:styleId="610">
    <w:name w:val="正文-ls"/>
    <w:basedOn w:val="1"/>
    <w:qFormat/>
    <w:uiPriority w:val="0"/>
    <w:pPr>
      <w:spacing w:line="360" w:lineRule="auto"/>
      <w:ind w:firstLine="200" w:firstLineChars="200"/>
    </w:pPr>
    <w:rPr>
      <w:rFonts w:ascii="Calibri" w:hAnsi="宋体"/>
      <w:szCs w:val="24"/>
    </w:rPr>
  </w:style>
  <w:style w:type="paragraph" w:customStyle="1" w:styleId="611">
    <w:name w:val="图表标题"/>
    <w:basedOn w:val="1"/>
    <w:qFormat/>
    <w:uiPriority w:val="0"/>
    <w:pPr>
      <w:spacing w:before="60" w:beforeLines="25" w:after="60" w:afterLines="25" w:line="360" w:lineRule="auto"/>
      <w:jc w:val="center"/>
      <w:outlineLvl w:val="4"/>
    </w:pPr>
    <w:rPr>
      <w:rFonts w:hint="eastAsia" w:ascii="宋体" w:hAnsi="宋体"/>
      <w:b/>
      <w:sz w:val="21"/>
      <w:szCs w:val="24"/>
    </w:rPr>
  </w:style>
  <w:style w:type="paragraph" w:customStyle="1" w:styleId="612">
    <w:name w:val="List Paragraph1"/>
    <w:basedOn w:val="1"/>
    <w:qFormat/>
    <w:uiPriority w:val="0"/>
    <w:pPr>
      <w:ind w:firstLine="420"/>
    </w:pPr>
    <w:rPr>
      <w:sz w:val="21"/>
      <w:szCs w:val="24"/>
    </w:rPr>
  </w:style>
  <w:style w:type="paragraph" w:customStyle="1" w:styleId="613">
    <w:name w:val="_Style 2"/>
    <w:basedOn w:val="1"/>
    <w:qFormat/>
    <w:uiPriority w:val="34"/>
    <w:pPr>
      <w:ind w:firstLine="420"/>
    </w:pPr>
    <w:rPr>
      <w:rFonts w:ascii="Calibri" w:hAnsi="Calibri"/>
      <w:sz w:val="21"/>
      <w:szCs w:val="24"/>
    </w:rPr>
  </w:style>
  <w:style w:type="paragraph" w:customStyle="1" w:styleId="614">
    <w:name w:val="标题4改"/>
    <w:basedOn w:val="1"/>
    <w:next w:val="1"/>
    <w:qFormat/>
    <w:uiPriority w:val="0"/>
    <w:pPr>
      <w:widowControl/>
      <w:spacing w:before="120" w:after="120"/>
      <w:jc w:val="left"/>
      <w:outlineLvl w:val="3"/>
    </w:pPr>
    <w:rPr>
      <w:rFonts w:eastAsia="黑体"/>
      <w:sz w:val="21"/>
      <w:szCs w:val="24"/>
    </w:rPr>
  </w:style>
  <w:style w:type="paragraph" w:customStyle="1" w:styleId="615">
    <w:name w:val="Char Char1111"/>
    <w:basedOn w:val="1"/>
    <w:qFormat/>
    <w:uiPriority w:val="0"/>
    <w:pPr>
      <w:spacing w:line="360" w:lineRule="auto"/>
      <w:ind w:firstLine="200" w:firstLineChars="200"/>
    </w:pPr>
    <w:rPr>
      <w:rFonts w:ascii="宋体" w:hAnsi="宋体"/>
      <w:szCs w:val="24"/>
    </w:rPr>
  </w:style>
  <w:style w:type="paragraph" w:customStyle="1" w:styleId="616">
    <w:name w:val="Char Char116"/>
    <w:basedOn w:val="1"/>
    <w:qFormat/>
    <w:uiPriority w:val="0"/>
    <w:pPr>
      <w:spacing w:line="360" w:lineRule="auto"/>
      <w:ind w:firstLine="200" w:firstLineChars="200"/>
    </w:pPr>
    <w:rPr>
      <w:rFonts w:ascii="宋体" w:hAnsi="宋体"/>
      <w:szCs w:val="24"/>
    </w:rPr>
  </w:style>
  <w:style w:type="paragraph" w:customStyle="1" w:styleId="617">
    <w:name w:val="4级（小）标题"/>
    <w:basedOn w:val="1"/>
    <w:qFormat/>
    <w:uiPriority w:val="0"/>
    <w:pPr>
      <w:spacing w:before="60" w:line="360" w:lineRule="auto"/>
      <w:ind w:firstLine="150" w:firstLineChars="150"/>
      <w:outlineLvl w:val="3"/>
    </w:pPr>
    <w:rPr>
      <w:b/>
      <w:szCs w:val="24"/>
    </w:rPr>
  </w:style>
  <w:style w:type="paragraph" w:customStyle="1" w:styleId="618">
    <w:name w:val="Char Char141"/>
    <w:basedOn w:val="1"/>
    <w:qFormat/>
    <w:uiPriority w:val="0"/>
    <w:pPr>
      <w:spacing w:line="360" w:lineRule="auto"/>
      <w:ind w:firstLine="200" w:firstLineChars="200"/>
    </w:pPr>
    <w:rPr>
      <w:rFonts w:ascii="宋体" w:hAnsi="宋体"/>
      <w:szCs w:val="24"/>
    </w:rPr>
  </w:style>
  <w:style w:type="paragraph" w:customStyle="1" w:styleId="619">
    <w:name w:val="表-标题"/>
    <w:next w:val="1"/>
    <w:qFormat/>
    <w:uiPriority w:val="99"/>
    <w:pPr>
      <w:spacing w:after="160" w:line="360" w:lineRule="auto"/>
      <w:jc w:val="center"/>
      <w:outlineLvl w:val="4"/>
    </w:pPr>
    <w:rPr>
      <w:rFonts w:ascii="Times New Roman" w:hAnsi="Times New Roman" w:eastAsia="宋体" w:cs="Times New Roman"/>
      <w:b/>
      <w:kern w:val="2"/>
      <w:sz w:val="21"/>
      <w:szCs w:val="22"/>
      <w:lang w:val="en-US" w:eastAsia="zh-CN" w:bidi="ar-SA"/>
    </w:rPr>
  </w:style>
  <w:style w:type="paragraph" w:customStyle="1" w:styleId="620">
    <w:name w:val="样式 表格 32 + 首行缩进:  2 字符"/>
    <w:basedOn w:val="1"/>
    <w:qFormat/>
    <w:uiPriority w:val="0"/>
    <w:pPr>
      <w:autoSpaceDE w:val="0"/>
      <w:autoSpaceDN w:val="0"/>
      <w:adjustRightInd w:val="0"/>
      <w:spacing w:line="0" w:lineRule="atLeast"/>
      <w:jc w:val="center"/>
      <w:textAlignment w:val="baseline"/>
    </w:pPr>
    <w:rPr>
      <w:sz w:val="21"/>
    </w:rPr>
  </w:style>
  <w:style w:type="paragraph" w:customStyle="1" w:styleId="621">
    <w:name w:val="标准表格"/>
    <w:basedOn w:val="77"/>
    <w:qFormat/>
    <w:uiPriority w:val="99"/>
    <w:pPr>
      <w:spacing w:line="240" w:lineRule="auto"/>
    </w:pPr>
    <w:rPr>
      <w:rFonts w:ascii="Times New Roman" w:cs="宋体"/>
      <w:lang w:val="en-US"/>
    </w:rPr>
  </w:style>
  <w:style w:type="paragraph" w:customStyle="1" w:styleId="622">
    <w:name w:val="小四表格"/>
    <w:basedOn w:val="1"/>
    <w:qFormat/>
    <w:uiPriority w:val="0"/>
    <w:pPr>
      <w:adjustRightInd w:val="0"/>
      <w:snapToGrid w:val="0"/>
      <w:spacing w:line="276" w:lineRule="auto"/>
      <w:jc w:val="center"/>
    </w:pPr>
    <w:rPr>
      <w:sz w:val="21"/>
      <w:szCs w:val="24"/>
    </w:rPr>
  </w:style>
  <w:style w:type="paragraph" w:customStyle="1" w:styleId="623">
    <w:name w:val="样式 标题 2标题 2 Char标题节标题节 Char Char标题 2 Char Char Char标题 2 Cha..."/>
    <w:basedOn w:val="4"/>
    <w:qFormat/>
    <w:uiPriority w:val="0"/>
    <w:pPr>
      <w:keepNext/>
      <w:keepLines/>
      <w:framePr w:hSpace="0" w:wrap="around" w:vAnchor="margin" w:xAlign="left" w:yAlign="inline"/>
      <w:adjustRightInd/>
      <w:snapToGrid/>
      <w:spacing w:line="360" w:lineRule="auto"/>
      <w:ind w:left="567" w:hanging="567"/>
    </w:pPr>
    <w:rPr>
      <w:rFonts w:cs="宋体"/>
      <w:bCs/>
      <w:sz w:val="28"/>
      <w:szCs w:val="20"/>
    </w:rPr>
  </w:style>
  <w:style w:type="paragraph" w:customStyle="1" w:styleId="624">
    <w:name w:val="Char Char114"/>
    <w:basedOn w:val="1"/>
    <w:qFormat/>
    <w:uiPriority w:val="0"/>
    <w:pPr>
      <w:spacing w:line="360" w:lineRule="auto"/>
      <w:ind w:firstLine="200" w:firstLineChars="200"/>
    </w:pPr>
    <w:rPr>
      <w:rFonts w:ascii="宋体" w:hAnsi="宋体"/>
      <w:szCs w:val="24"/>
    </w:rPr>
  </w:style>
  <w:style w:type="paragraph" w:customStyle="1" w:styleId="625">
    <w:name w:val="表格001"/>
    <w:basedOn w:val="1"/>
    <w:qFormat/>
    <w:uiPriority w:val="0"/>
    <w:pPr>
      <w:jc w:val="center"/>
    </w:pPr>
    <w:rPr>
      <w:rFonts w:ascii="Arial" w:hAnsi="Arial"/>
      <w:sz w:val="21"/>
    </w:rPr>
  </w:style>
  <w:style w:type="paragraph" w:customStyle="1" w:styleId="626">
    <w:name w:val="表标题"/>
    <w:basedOn w:val="1"/>
    <w:qFormat/>
    <w:uiPriority w:val="0"/>
    <w:pPr>
      <w:spacing w:line="500" w:lineRule="exact"/>
      <w:jc w:val="center"/>
    </w:pPr>
    <w:rPr>
      <w:rFonts w:eastAsia="黑体"/>
      <w:sz w:val="21"/>
      <w:szCs w:val="24"/>
    </w:rPr>
  </w:style>
  <w:style w:type="paragraph" w:customStyle="1" w:styleId="627">
    <w:name w:val="一级标题"/>
    <w:basedOn w:val="1"/>
    <w:qFormat/>
    <w:uiPriority w:val="0"/>
    <w:pPr>
      <w:widowControl/>
      <w:spacing w:before="60" w:line="460" w:lineRule="exact"/>
      <w:jc w:val="left"/>
      <w:outlineLvl w:val="0"/>
    </w:pPr>
    <w:rPr>
      <w:rFonts w:ascii="等线" w:hAnsi="等线" w:eastAsia="等线"/>
      <w:b/>
      <w:sz w:val="32"/>
      <w:szCs w:val="24"/>
    </w:rPr>
  </w:style>
  <w:style w:type="paragraph" w:customStyle="1" w:styleId="628">
    <w:name w:val="正文开头二"/>
    <w:basedOn w:val="1"/>
    <w:qFormat/>
    <w:uiPriority w:val="39"/>
    <w:pPr>
      <w:autoSpaceDE w:val="0"/>
      <w:autoSpaceDN w:val="0"/>
      <w:adjustRightInd w:val="0"/>
      <w:spacing w:before="60" w:line="400" w:lineRule="atLeast"/>
    </w:pPr>
    <w:rPr>
      <w:sz w:val="21"/>
      <w:szCs w:val="24"/>
    </w:rPr>
  </w:style>
  <w:style w:type="paragraph" w:customStyle="1" w:styleId="629">
    <w:name w:val="Char Char14"/>
    <w:basedOn w:val="1"/>
    <w:qFormat/>
    <w:uiPriority w:val="99"/>
    <w:pPr>
      <w:spacing w:line="360" w:lineRule="auto"/>
      <w:ind w:firstLine="200" w:firstLineChars="200"/>
    </w:pPr>
    <w:rPr>
      <w:rFonts w:ascii="宋体" w:hAnsi="宋体" w:eastAsia="等线"/>
      <w:szCs w:val="24"/>
    </w:rPr>
  </w:style>
  <w:style w:type="paragraph" w:customStyle="1" w:styleId="630">
    <w:name w:val="11111三级标题"/>
    <w:basedOn w:val="1"/>
    <w:qFormat/>
    <w:uiPriority w:val="0"/>
    <w:pPr>
      <w:spacing w:before="60" w:after="60" w:line="460" w:lineRule="exact"/>
      <w:ind w:firstLine="200" w:firstLineChars="200"/>
      <w:outlineLvl w:val="2"/>
    </w:pPr>
    <w:rPr>
      <w:rFonts w:ascii="Arial" w:hAnsi="Arial"/>
      <w:b/>
      <w:bCs/>
      <w:color w:val="000000"/>
      <w:sz w:val="34"/>
      <w:szCs w:val="34"/>
    </w:rPr>
  </w:style>
  <w:style w:type="paragraph" w:customStyle="1" w:styleId="631">
    <w:name w:val="Char Char122"/>
    <w:basedOn w:val="1"/>
    <w:qFormat/>
    <w:uiPriority w:val="0"/>
    <w:pPr>
      <w:spacing w:line="360" w:lineRule="auto"/>
      <w:ind w:firstLine="200" w:firstLineChars="200"/>
    </w:pPr>
    <w:rPr>
      <w:rFonts w:ascii="宋体" w:hAnsi="宋体"/>
      <w:szCs w:val="24"/>
    </w:rPr>
  </w:style>
  <w:style w:type="paragraph" w:customStyle="1" w:styleId="632">
    <w:name w:val="Char Char15"/>
    <w:basedOn w:val="1"/>
    <w:qFormat/>
    <w:uiPriority w:val="0"/>
    <w:pPr>
      <w:spacing w:line="360" w:lineRule="auto"/>
      <w:ind w:firstLine="200" w:firstLineChars="200"/>
    </w:pPr>
    <w:rPr>
      <w:rFonts w:ascii="宋体" w:hAnsi="宋体"/>
      <w:szCs w:val="24"/>
    </w:rPr>
  </w:style>
  <w:style w:type="paragraph" w:customStyle="1" w:styleId="633">
    <w:name w:val="普通表格1"/>
    <w:basedOn w:val="29"/>
    <w:qFormat/>
    <w:uiPriority w:val="0"/>
    <w:pPr>
      <w:snapToGrid w:val="0"/>
      <w:spacing w:line="276" w:lineRule="auto"/>
      <w:jc w:val="center"/>
    </w:pPr>
  </w:style>
  <w:style w:type="paragraph" w:customStyle="1" w:styleId="634">
    <w:name w:val="三级标题"/>
    <w:basedOn w:val="1"/>
    <w:qFormat/>
    <w:uiPriority w:val="0"/>
    <w:pPr>
      <w:spacing w:before="300" w:line="460" w:lineRule="exact"/>
      <w:outlineLvl w:val="2"/>
    </w:pPr>
    <w:rPr>
      <w:b/>
      <w:bCs/>
      <w:color w:val="000000"/>
      <w:szCs w:val="24"/>
    </w:rPr>
  </w:style>
  <w:style w:type="paragraph" w:customStyle="1" w:styleId="635">
    <w:name w:val="w正文"/>
    <w:basedOn w:val="1"/>
    <w:link w:val="751"/>
    <w:qFormat/>
    <w:uiPriority w:val="0"/>
    <w:pPr>
      <w:overflowPunct w:val="0"/>
      <w:spacing w:line="360" w:lineRule="auto"/>
      <w:ind w:firstLine="200" w:firstLineChars="200"/>
    </w:pPr>
    <w:rPr>
      <w:rFonts w:eastAsia="Times New Roman"/>
    </w:rPr>
  </w:style>
  <w:style w:type="paragraph" w:customStyle="1" w:styleId="636">
    <w:name w:val="表内文字1"/>
    <w:basedOn w:val="1"/>
    <w:qFormat/>
    <w:uiPriority w:val="0"/>
    <w:pPr>
      <w:spacing w:line="440" w:lineRule="exact"/>
    </w:pPr>
    <w:rPr>
      <w:color w:val="000000"/>
    </w:rPr>
  </w:style>
  <w:style w:type="table" w:customStyle="1" w:styleId="637">
    <w:name w:val="Table Normal4"/>
    <w:basedOn w:val="53"/>
    <w:unhideWhenUsed/>
    <w:qFormat/>
    <w:uiPriority w:val="0"/>
    <w:tblPr>
      <w:tblCellMar>
        <w:left w:w="0" w:type="dxa"/>
        <w:right w:w="0" w:type="dxa"/>
      </w:tblCellMar>
    </w:tblPr>
  </w:style>
  <w:style w:type="table" w:customStyle="1" w:styleId="638">
    <w:name w:val="网格型5"/>
    <w:basedOn w:val="5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Normal5"/>
    <w:basedOn w:val="53"/>
    <w:unhideWhenUsed/>
    <w:qFormat/>
    <w:uiPriority w:val="0"/>
    <w:tblPr>
      <w:tblCellMar>
        <w:left w:w="0" w:type="dxa"/>
        <w:right w:w="0" w:type="dxa"/>
      </w:tblCellMar>
    </w:tblPr>
  </w:style>
  <w:style w:type="character" w:customStyle="1" w:styleId="640">
    <w:name w:val="称呼 Char"/>
    <w:basedOn w:val="56"/>
    <w:link w:val="19"/>
    <w:qFormat/>
    <w:uiPriority w:val="0"/>
    <w:rPr>
      <w:rFonts w:hint="default" w:ascii="Tahoma" w:hAnsi="Tahoma" w:eastAsia="Tahoma" w:cs="Tahoma"/>
      <w:kern w:val="2"/>
      <w:sz w:val="21"/>
      <w:szCs w:val="24"/>
    </w:rPr>
  </w:style>
  <w:style w:type="paragraph" w:customStyle="1" w:styleId="641">
    <w:name w:val="2"/>
    <w:basedOn w:val="1"/>
    <w:next w:val="75"/>
    <w:qFormat/>
    <w:uiPriority w:val="99"/>
    <w:pPr>
      <w:ind w:firstLine="420" w:firstLineChars="200"/>
    </w:pPr>
    <w:rPr>
      <w:szCs w:val="22"/>
    </w:rPr>
  </w:style>
  <w:style w:type="table" w:customStyle="1" w:styleId="642">
    <w:name w:val="网格型6"/>
    <w:basedOn w:val="53"/>
    <w:qFormat/>
    <w:uiPriority w:val="0"/>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表格主题1"/>
    <w:basedOn w:val="5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4">
    <w:name w:val="Char Char31"/>
    <w:qFormat/>
    <w:uiPriority w:val="0"/>
    <w:rPr>
      <w:kern w:val="2"/>
      <w:sz w:val="28"/>
      <w:szCs w:val="24"/>
    </w:rPr>
  </w:style>
  <w:style w:type="character" w:customStyle="1" w:styleId="645">
    <w:name w:val="Char Char Char2"/>
    <w:qFormat/>
    <w:uiPriority w:val="0"/>
    <w:rPr>
      <w:rFonts w:eastAsia="宋体"/>
      <w:kern w:val="2"/>
      <w:sz w:val="28"/>
      <w:szCs w:val="24"/>
      <w:lang w:val="en-US" w:eastAsia="zh-CN" w:bidi="ar-SA"/>
    </w:rPr>
  </w:style>
  <w:style w:type="character" w:customStyle="1" w:styleId="646">
    <w:name w:val="Char Char123"/>
    <w:qFormat/>
    <w:uiPriority w:val="0"/>
    <w:rPr>
      <w:rFonts w:hint="eastAsia" w:ascii="宋体" w:hAnsi="宋体" w:eastAsia="宋体" w:cs="宋体"/>
      <w:kern w:val="2"/>
      <w:sz w:val="28"/>
      <w:szCs w:val="21"/>
      <w:lang w:val="en-US" w:eastAsia="zh-CN" w:bidi="ar"/>
    </w:rPr>
  </w:style>
  <w:style w:type="character" w:customStyle="1" w:styleId="647">
    <w:name w:val="Char Char61"/>
    <w:qFormat/>
    <w:uiPriority w:val="0"/>
    <w:rPr>
      <w:rFonts w:eastAsia="宋体"/>
      <w:b/>
      <w:bCs/>
      <w:kern w:val="2"/>
      <w:sz w:val="32"/>
      <w:szCs w:val="32"/>
      <w:lang w:val="en-US" w:eastAsia="zh-CN" w:bidi="ar-SA"/>
    </w:rPr>
  </w:style>
  <w:style w:type="character" w:customStyle="1" w:styleId="648">
    <w:name w:val="Char Char9"/>
    <w:qFormat/>
    <w:uiPriority w:val="0"/>
    <w:rPr>
      <w:rFonts w:eastAsia="宋体"/>
      <w:kern w:val="2"/>
      <w:sz w:val="18"/>
      <w:szCs w:val="18"/>
      <w:lang w:val="en-US" w:eastAsia="zh-CN" w:bidi="ar-SA"/>
    </w:rPr>
  </w:style>
  <w:style w:type="character" w:customStyle="1" w:styleId="649">
    <w:name w:val="Char Char51"/>
    <w:qFormat/>
    <w:uiPriority w:val="0"/>
    <w:rPr>
      <w:rFonts w:ascii="宋体" w:hAnsi="宋体" w:eastAsia="宋体" w:cs="宋体"/>
      <w:sz w:val="24"/>
      <w:szCs w:val="24"/>
      <w:lang w:val="en-US" w:eastAsia="zh-CN" w:bidi="ar-SA"/>
    </w:rPr>
  </w:style>
  <w:style w:type="character" w:customStyle="1" w:styleId="650">
    <w:name w:val="Char Char22"/>
    <w:qFormat/>
    <w:uiPriority w:val="0"/>
    <w:rPr>
      <w:rFonts w:eastAsia="宋体"/>
      <w:kern w:val="2"/>
      <w:sz w:val="18"/>
      <w:szCs w:val="18"/>
      <w:lang w:val="en-US" w:eastAsia="zh-CN" w:bidi="ar-SA"/>
    </w:rPr>
  </w:style>
  <w:style w:type="character" w:customStyle="1" w:styleId="651">
    <w:name w:val="Char Char42"/>
    <w:qFormat/>
    <w:uiPriority w:val="0"/>
    <w:rPr>
      <w:rFonts w:eastAsia="宋体"/>
      <w:kern w:val="2"/>
      <w:sz w:val="28"/>
      <w:szCs w:val="24"/>
      <w:lang w:val="en-US" w:eastAsia="zh-CN" w:bidi="ar-SA"/>
    </w:rPr>
  </w:style>
  <w:style w:type="character" w:customStyle="1" w:styleId="652">
    <w:name w:val="111表格 Char"/>
    <w:link w:val="653"/>
    <w:qFormat/>
    <w:uiPriority w:val="0"/>
    <w:rPr>
      <w:color w:val="C00000"/>
      <w:kern w:val="2"/>
      <w:sz w:val="21"/>
      <w:szCs w:val="21"/>
    </w:rPr>
  </w:style>
  <w:style w:type="paragraph" w:customStyle="1" w:styleId="653">
    <w:name w:val="111表格"/>
    <w:basedOn w:val="1"/>
    <w:link w:val="652"/>
    <w:qFormat/>
    <w:uiPriority w:val="0"/>
    <w:pPr>
      <w:jc w:val="center"/>
    </w:pPr>
    <w:rPr>
      <w:color w:val="C00000"/>
      <w:kern w:val="2"/>
      <w:sz w:val="21"/>
      <w:szCs w:val="21"/>
    </w:rPr>
  </w:style>
  <w:style w:type="paragraph" w:customStyle="1" w:styleId="654">
    <w:name w:val="列表段落1"/>
    <w:basedOn w:val="1"/>
    <w:qFormat/>
    <w:uiPriority w:val="0"/>
    <w:pPr>
      <w:autoSpaceDE w:val="0"/>
      <w:autoSpaceDN w:val="0"/>
      <w:ind w:left="1383" w:hanging="841"/>
      <w:jc w:val="left"/>
    </w:pPr>
    <w:rPr>
      <w:rFonts w:ascii="宋体" w:hAnsi="宋体" w:cs="宋体"/>
      <w:sz w:val="22"/>
      <w:szCs w:val="22"/>
    </w:rPr>
  </w:style>
  <w:style w:type="paragraph" w:customStyle="1" w:styleId="655">
    <w:name w:val="字元 字元1"/>
    <w:basedOn w:val="1"/>
    <w:qFormat/>
    <w:uiPriority w:val="0"/>
  </w:style>
  <w:style w:type="paragraph" w:customStyle="1" w:styleId="656">
    <w:name w:val="Char Char Char Char Char Char Char2"/>
    <w:basedOn w:val="1"/>
    <w:qFormat/>
    <w:uiPriority w:val="0"/>
    <w:pPr>
      <w:adjustRightInd w:val="0"/>
      <w:spacing w:line="360" w:lineRule="auto"/>
    </w:pPr>
  </w:style>
  <w:style w:type="paragraph" w:customStyle="1" w:styleId="657">
    <w:name w:val="正文4"/>
    <w:qFormat/>
    <w:uiPriority w:val="0"/>
    <w:pPr>
      <w:spacing w:after="160" w:line="278" w:lineRule="auto"/>
      <w:jc w:val="both"/>
    </w:pPr>
    <w:rPr>
      <w:rFonts w:ascii="Calibri" w:hAnsi="Calibri" w:eastAsia="宋体" w:cs="宋体"/>
      <w:snapToGrid w:val="0"/>
      <w:color w:val="000000"/>
      <w:kern w:val="2"/>
      <w:sz w:val="21"/>
      <w:szCs w:val="21"/>
      <w:lang w:val="en-US" w:eastAsia="zh-CN" w:bidi="ar-SA"/>
    </w:rPr>
  </w:style>
  <w:style w:type="paragraph" w:customStyle="1" w:styleId="658">
    <w:name w:val="Char Char Char Char12"/>
    <w:basedOn w:val="1"/>
    <w:qFormat/>
    <w:uiPriority w:val="0"/>
  </w:style>
  <w:style w:type="paragraph" w:customStyle="1" w:styleId="659">
    <w:name w:val="Char Char1 Char2"/>
    <w:basedOn w:val="1"/>
    <w:qFormat/>
    <w:uiPriority w:val="0"/>
    <w:pPr>
      <w:adjustRightInd w:val="0"/>
      <w:spacing w:line="360" w:lineRule="auto"/>
    </w:pPr>
  </w:style>
  <w:style w:type="paragraph" w:customStyle="1" w:styleId="660">
    <w:name w:val="标题 22"/>
    <w:basedOn w:val="1"/>
    <w:qFormat/>
    <w:uiPriority w:val="0"/>
    <w:pPr>
      <w:spacing w:before="26"/>
      <w:ind w:left="721"/>
      <w:jc w:val="left"/>
      <w:outlineLvl w:val="2"/>
    </w:pPr>
    <w:rPr>
      <w:rFonts w:ascii="宋体" w:hAnsi="宋体"/>
      <w:b/>
      <w:bCs/>
      <w:lang w:eastAsia="en-US"/>
    </w:rPr>
  </w:style>
  <w:style w:type="paragraph" w:customStyle="1" w:styleId="661">
    <w:name w:val="Char Char Char Char Char Char Char Char Char Char Char Char Char Char Char Char Char Char Char Char Char Char Char Char Char1"/>
    <w:basedOn w:val="1"/>
    <w:qFormat/>
    <w:uiPriority w:val="0"/>
  </w:style>
  <w:style w:type="paragraph" w:customStyle="1" w:styleId="662">
    <w:name w:val="纯文本2"/>
    <w:basedOn w:val="1"/>
    <w:qFormat/>
    <w:uiPriority w:val="0"/>
    <w:rPr>
      <w:rFonts w:hint="eastAsia" w:ascii="宋体" w:hAnsi="Courier New"/>
    </w:rPr>
  </w:style>
  <w:style w:type="paragraph" w:customStyle="1" w:styleId="663">
    <w:name w:val="Char Char1 Char Char Char Char Char Char Char Char Char Char Char Char Char Char Char Char Char Char3"/>
    <w:basedOn w:val="1"/>
    <w:qFormat/>
    <w:uiPriority w:val="0"/>
    <w:pPr>
      <w:spacing w:line="360" w:lineRule="auto"/>
      <w:ind w:firstLine="200" w:firstLineChars="200"/>
    </w:pPr>
    <w:rPr>
      <w:rFonts w:ascii="宋体" w:hAnsi="宋体" w:cs="宋体"/>
    </w:rPr>
  </w:style>
  <w:style w:type="paragraph" w:customStyle="1" w:styleId="664">
    <w:name w:val="1"/>
    <w:basedOn w:val="1"/>
    <w:link w:val="712"/>
    <w:qFormat/>
    <w:uiPriority w:val="0"/>
  </w:style>
  <w:style w:type="table" w:customStyle="1" w:styleId="665">
    <w:name w:val="Table Normal6"/>
    <w:basedOn w:val="53"/>
    <w:qFormat/>
    <w:uiPriority w:val="0"/>
    <w:rPr>
      <w:kern w:val="2"/>
      <w:sz w:val="21"/>
      <w:szCs w:val="22"/>
    </w:rPr>
    <w:tblPr>
      <w:tblCellMar>
        <w:left w:w="0" w:type="dxa"/>
        <w:right w:w="0" w:type="dxa"/>
      </w:tblCellMar>
    </w:tblPr>
  </w:style>
  <w:style w:type="paragraph" w:customStyle="1" w:styleId="666">
    <w:name w:val="Char Char Char Char Char Char Char Char Char Char1 Char Char Char Char Char1"/>
    <w:basedOn w:val="1"/>
    <w:next w:val="1"/>
    <w:qFormat/>
    <w:uiPriority w:val="0"/>
    <w:pPr>
      <w:keepNext/>
      <w:keepLines/>
      <w:widowControl/>
      <w:adjustRightInd w:val="0"/>
      <w:spacing w:before="40" w:after="40" w:line="360" w:lineRule="auto"/>
      <w:ind w:firstLine="200" w:firstLineChars="200"/>
      <w:textAlignment w:val="baseline"/>
    </w:pPr>
    <w:rPr>
      <w:rFonts w:cs="宋体"/>
      <w:szCs w:val="28"/>
    </w:rPr>
  </w:style>
  <w:style w:type="paragraph" w:customStyle="1" w:styleId="667">
    <w:name w:val="Char13"/>
    <w:basedOn w:val="1"/>
    <w:qFormat/>
    <w:uiPriority w:val="0"/>
  </w:style>
  <w:style w:type="paragraph" w:customStyle="1" w:styleId="668">
    <w:name w:val="00表格内容"/>
    <w:basedOn w:val="1"/>
    <w:qFormat/>
    <w:uiPriority w:val="0"/>
    <w:pPr>
      <w:framePr w:hSpace="180" w:wrap="around" w:vAnchor="text" w:hAnchor="text" w:xAlign="center" w:y="1"/>
      <w:autoSpaceDE w:val="0"/>
      <w:autoSpaceDN w:val="0"/>
      <w:adjustRightInd w:val="0"/>
      <w:snapToGrid w:val="0"/>
      <w:jc w:val="center"/>
    </w:pPr>
    <w:rPr>
      <w:rFonts w:eastAsia="Times New Roman"/>
      <w:bCs/>
      <w:spacing w:val="3"/>
      <w:szCs w:val="21"/>
      <w:lang w:val="zh-CN"/>
    </w:rPr>
  </w:style>
  <w:style w:type="paragraph" w:customStyle="1" w:styleId="669">
    <w:name w:val="0报告正文"/>
    <w:basedOn w:val="181"/>
    <w:link w:val="683"/>
    <w:qFormat/>
    <w:uiPriority w:val="0"/>
    <w:pPr>
      <w:ind w:firstLine="480"/>
    </w:pPr>
  </w:style>
  <w:style w:type="character" w:customStyle="1" w:styleId="670">
    <w:name w:val="未处理的提及2"/>
    <w:unhideWhenUsed/>
    <w:qFormat/>
    <w:uiPriority w:val="99"/>
    <w:rPr>
      <w:color w:val="605E5C"/>
      <w:shd w:val="clear" w:color="auto" w:fill="E1DFDD"/>
    </w:rPr>
  </w:style>
  <w:style w:type="character" w:customStyle="1" w:styleId="671">
    <w:name w:val="批注文字 Char2"/>
    <w:qFormat/>
    <w:locked/>
    <w:uiPriority w:val="0"/>
    <w:rPr>
      <w:rFonts w:ascii="Times New Roman" w:hAnsi="Times New Roman" w:eastAsia="宋体"/>
      <w:sz w:val="24"/>
    </w:rPr>
  </w:style>
  <w:style w:type="character" w:customStyle="1" w:styleId="672">
    <w:name w:val="批注文字 Char"/>
    <w:qFormat/>
    <w:locked/>
    <w:uiPriority w:val="0"/>
    <w:rPr>
      <w:rFonts w:ascii="Times New Roman" w:hAnsi="Times New Roman" w:eastAsia="宋体"/>
      <w:sz w:val="24"/>
    </w:rPr>
  </w:style>
  <w:style w:type="table" w:customStyle="1" w:styleId="673">
    <w:name w:val="Table Normal11"/>
    <w:unhideWhenUsed/>
    <w:qFormat/>
    <w:uiPriority w:val="0"/>
    <w:rPr>
      <w:snapToGrid w:val="0"/>
      <w:color w:val="000000"/>
      <w:kern w:val="2"/>
      <w:szCs w:val="21"/>
    </w:rPr>
    <w:tblPr>
      <w:tblCellMar>
        <w:top w:w="0" w:type="dxa"/>
        <w:left w:w="0" w:type="dxa"/>
        <w:bottom w:w="0" w:type="dxa"/>
        <w:right w:w="0" w:type="dxa"/>
      </w:tblCellMar>
    </w:tblPr>
  </w:style>
  <w:style w:type="table" w:customStyle="1" w:styleId="674">
    <w:name w:val="Table Normal21"/>
    <w:unhideWhenUsed/>
    <w:qFormat/>
    <w:uiPriority w:val="0"/>
    <w:pPr>
      <w:widowControl w:val="0"/>
      <w:autoSpaceDE w:val="0"/>
      <w:autoSpaceDN w:val="0"/>
    </w:pPr>
    <w:rPr>
      <w:snapToGrid w:val="0"/>
      <w:color w:val="000000"/>
      <w:kern w:val="2"/>
      <w:sz w:val="22"/>
      <w:szCs w:val="21"/>
      <w:lang w:eastAsia="en-US"/>
    </w:rPr>
    <w:tblPr>
      <w:tblCellMar>
        <w:top w:w="0" w:type="dxa"/>
        <w:left w:w="0" w:type="dxa"/>
        <w:bottom w:w="0" w:type="dxa"/>
        <w:right w:w="0" w:type="dxa"/>
      </w:tblCellMar>
    </w:tblPr>
  </w:style>
  <w:style w:type="table" w:customStyle="1" w:styleId="675">
    <w:name w:val="Table Normal31"/>
    <w:unhideWhenUsed/>
    <w:qFormat/>
    <w:uiPriority w:val="0"/>
    <w:pPr>
      <w:widowControl w:val="0"/>
      <w:autoSpaceDE w:val="0"/>
      <w:autoSpaceDN w:val="0"/>
    </w:pPr>
    <w:rPr>
      <w:snapToGrid w:val="0"/>
      <w:color w:val="000000"/>
      <w:kern w:val="2"/>
      <w:sz w:val="22"/>
      <w:szCs w:val="21"/>
      <w:lang w:eastAsia="en-US"/>
    </w:rPr>
    <w:tblPr>
      <w:tblCellMar>
        <w:top w:w="0" w:type="dxa"/>
        <w:left w:w="0" w:type="dxa"/>
        <w:bottom w:w="0" w:type="dxa"/>
        <w:right w:w="0" w:type="dxa"/>
      </w:tblCellMar>
    </w:tblPr>
  </w:style>
  <w:style w:type="table" w:customStyle="1" w:styleId="676">
    <w:name w:val="网格型61"/>
    <w:basedOn w:val="5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表格主题11"/>
    <w:basedOn w:val="5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Table Normal61"/>
    <w:basedOn w:val="53"/>
    <w:qFormat/>
    <w:uiPriority w:val="0"/>
    <w:tblPr>
      <w:tblCellMar>
        <w:left w:w="0" w:type="dxa"/>
        <w:right w:w="0" w:type="dxa"/>
      </w:tblCellMar>
    </w:tblPr>
  </w:style>
  <w:style w:type="paragraph" w:customStyle="1" w:styleId="679">
    <w:name w:val="0biaonei"/>
    <w:basedOn w:val="287"/>
    <w:link w:val="681"/>
    <w:qFormat/>
    <w:uiPriority w:val="0"/>
    <w:pPr>
      <w:framePr w:wrap="around"/>
    </w:pPr>
  </w:style>
  <w:style w:type="character" w:customStyle="1" w:styleId="680">
    <w:name w:val="0表内 字符"/>
    <w:basedOn w:val="56"/>
    <w:link w:val="287"/>
    <w:qFormat/>
    <w:uiPriority w:val="0"/>
    <w:rPr>
      <w:rFonts w:cs="宋体"/>
      <w:kern w:val="2"/>
      <w:sz w:val="18"/>
      <w:szCs w:val="22"/>
      <w:lang w:val="zh-CN"/>
    </w:rPr>
  </w:style>
  <w:style w:type="character" w:customStyle="1" w:styleId="681">
    <w:name w:val="0biaonei 字符"/>
    <w:basedOn w:val="680"/>
    <w:link w:val="679"/>
    <w:qFormat/>
    <w:uiPriority w:val="0"/>
    <w:rPr>
      <w:rFonts w:ascii="Times New Roman" w:hAnsi="Times New Roman" w:cs="宋体"/>
      <w:kern w:val="2"/>
      <w:sz w:val="18"/>
      <w:szCs w:val="22"/>
      <w:lang w:val="zh-CN"/>
    </w:rPr>
  </w:style>
  <w:style w:type="paragraph" w:customStyle="1" w:styleId="682">
    <w:name w:val="0zw"/>
    <w:basedOn w:val="669"/>
    <w:link w:val="684"/>
    <w:qFormat/>
    <w:uiPriority w:val="0"/>
    <w:rPr>
      <w:shd w:val="clear" w:color="auto" w:fill="FFFFFF"/>
    </w:rPr>
  </w:style>
  <w:style w:type="character" w:customStyle="1" w:styleId="683">
    <w:name w:val="0报告正文 字符"/>
    <w:basedOn w:val="56"/>
    <w:link w:val="669"/>
    <w:qFormat/>
    <w:uiPriority w:val="0"/>
    <w:rPr>
      <w:sz w:val="24"/>
      <w:lang w:bidi="en-US"/>
    </w:rPr>
  </w:style>
  <w:style w:type="character" w:customStyle="1" w:styleId="684">
    <w:name w:val="0zw 字符"/>
    <w:basedOn w:val="683"/>
    <w:link w:val="682"/>
    <w:qFormat/>
    <w:uiPriority w:val="0"/>
    <w:rPr>
      <w:snapToGrid/>
      <w:color w:val="000000"/>
      <w:kern w:val="2"/>
      <w:sz w:val="24"/>
      <w:szCs w:val="24"/>
      <w:lang w:bidi="en-US"/>
    </w:rPr>
  </w:style>
  <w:style w:type="character" w:customStyle="1" w:styleId="685">
    <w:name w:val="标题 1 Char"/>
    <w:qFormat/>
    <w:uiPriority w:val="99"/>
    <w:rPr>
      <w:b/>
    </w:rPr>
  </w:style>
  <w:style w:type="character" w:customStyle="1" w:styleId="686">
    <w:name w:val="标题 2 Char"/>
    <w:qFormat/>
    <w:uiPriority w:val="0"/>
    <w:rPr>
      <w:b/>
      <w:sz w:val="24"/>
      <w:szCs w:val="24"/>
    </w:rPr>
  </w:style>
  <w:style w:type="character" w:customStyle="1" w:styleId="687">
    <w:name w:val="标题 3 Char"/>
    <w:qFormat/>
    <w:uiPriority w:val="0"/>
    <w:rPr>
      <w:rFonts w:eastAsia="宋体"/>
      <w:b/>
      <w:bCs/>
      <w:kern w:val="2"/>
      <w:sz w:val="32"/>
      <w:szCs w:val="32"/>
      <w:lang w:val="en-US" w:eastAsia="zh-CN" w:bidi="ar-SA"/>
    </w:rPr>
  </w:style>
  <w:style w:type="character" w:customStyle="1" w:styleId="688">
    <w:name w:val="标题 4 Char"/>
    <w:qFormat/>
    <w:uiPriority w:val="0"/>
    <w:rPr>
      <w:rFonts w:ascii="Arial" w:hAnsi="Arial" w:eastAsia="黑体"/>
      <w:b/>
      <w:bCs/>
      <w:kern w:val="2"/>
      <w:sz w:val="28"/>
      <w:szCs w:val="28"/>
    </w:rPr>
  </w:style>
  <w:style w:type="character" w:customStyle="1" w:styleId="689">
    <w:name w:val="标题 5 Char"/>
    <w:qFormat/>
    <w:uiPriority w:val="0"/>
    <w:rPr>
      <w:b/>
      <w:kern w:val="2"/>
      <w:sz w:val="28"/>
      <w:szCs w:val="24"/>
    </w:rPr>
  </w:style>
  <w:style w:type="character" w:customStyle="1" w:styleId="690">
    <w:name w:val="正文缩进 Char"/>
    <w:qFormat/>
    <w:uiPriority w:val="99"/>
    <w:rPr>
      <w:rFonts w:eastAsia="宋体"/>
      <w:spacing w:val="20"/>
      <w:kern w:val="2"/>
      <w:sz w:val="24"/>
      <w:lang w:val="en-US" w:eastAsia="zh-CN" w:bidi="ar-SA"/>
    </w:rPr>
  </w:style>
  <w:style w:type="character" w:customStyle="1" w:styleId="691">
    <w:name w:val="正文文本 Char"/>
    <w:qFormat/>
    <w:locked/>
    <w:uiPriority w:val="0"/>
    <w:rPr>
      <w:sz w:val="18"/>
    </w:rPr>
  </w:style>
  <w:style w:type="character" w:customStyle="1" w:styleId="692">
    <w:name w:val="题注 Char"/>
    <w:qFormat/>
    <w:uiPriority w:val="0"/>
    <w:rPr>
      <w:rFonts w:ascii="Arial" w:hAnsi="Arial" w:eastAsia="黑体" w:cs="Arial"/>
      <w:kern w:val="2"/>
      <w:lang w:val="en-US" w:eastAsia="zh-CN" w:bidi="ar-SA"/>
    </w:rPr>
  </w:style>
  <w:style w:type="character" w:customStyle="1" w:styleId="693">
    <w:name w:val="文档结构图 Char"/>
    <w:qFormat/>
    <w:uiPriority w:val="0"/>
    <w:rPr>
      <w:rFonts w:ascii="宋体"/>
      <w:kern w:val="2"/>
      <w:sz w:val="18"/>
      <w:szCs w:val="18"/>
    </w:rPr>
  </w:style>
  <w:style w:type="character" w:customStyle="1" w:styleId="694">
    <w:name w:val="正文文本缩进 Char"/>
    <w:semiHidden/>
    <w:qFormat/>
    <w:locked/>
    <w:uiPriority w:val="0"/>
    <w:rPr>
      <w:rFonts w:ascii="Times New Roman" w:hAnsi="Times New Roman" w:eastAsia="宋体"/>
      <w:sz w:val="24"/>
    </w:rPr>
  </w:style>
  <w:style w:type="character" w:customStyle="1" w:styleId="695">
    <w:name w:val="纯文本 Char"/>
    <w:qFormat/>
    <w:uiPriority w:val="0"/>
    <w:rPr>
      <w:rFonts w:ascii="宋体" w:hAnsi="Courier New" w:eastAsia="宋体"/>
      <w:kern w:val="2"/>
      <w:sz w:val="21"/>
      <w:szCs w:val="21"/>
      <w:lang w:val="en-US" w:eastAsia="zh-CN" w:bidi="ar-SA"/>
    </w:rPr>
  </w:style>
  <w:style w:type="character" w:customStyle="1" w:styleId="696">
    <w:name w:val="日期 Char"/>
    <w:qFormat/>
    <w:locked/>
    <w:uiPriority w:val="0"/>
    <w:rPr>
      <w:rFonts w:ascii="Times New Roman" w:hAnsi="Times New Roman" w:eastAsia="宋体"/>
      <w:sz w:val="24"/>
    </w:rPr>
  </w:style>
  <w:style w:type="character" w:customStyle="1" w:styleId="697">
    <w:name w:val="正文文本缩进 2 Char"/>
    <w:qFormat/>
    <w:uiPriority w:val="0"/>
    <w:rPr>
      <w:kern w:val="2"/>
      <w:sz w:val="28"/>
      <w:szCs w:val="24"/>
    </w:rPr>
  </w:style>
  <w:style w:type="character" w:customStyle="1" w:styleId="698">
    <w:name w:val="批注框文本 Char"/>
    <w:qFormat/>
    <w:locked/>
    <w:uiPriority w:val="0"/>
    <w:rPr>
      <w:rFonts w:ascii="Times New Roman" w:hAnsi="Times New Roman" w:eastAsia="宋体"/>
      <w:sz w:val="18"/>
    </w:rPr>
  </w:style>
  <w:style w:type="character" w:customStyle="1" w:styleId="699">
    <w:name w:val="页脚 Char"/>
    <w:qFormat/>
    <w:locked/>
    <w:uiPriority w:val="0"/>
    <w:rPr>
      <w:sz w:val="18"/>
    </w:rPr>
  </w:style>
  <w:style w:type="character" w:customStyle="1" w:styleId="700">
    <w:name w:val="页眉 Char"/>
    <w:qFormat/>
    <w:locked/>
    <w:uiPriority w:val="0"/>
    <w:rPr>
      <w:sz w:val="18"/>
    </w:rPr>
  </w:style>
  <w:style w:type="character" w:customStyle="1" w:styleId="701">
    <w:name w:val="副标题 Char"/>
    <w:qFormat/>
    <w:uiPriority w:val="0"/>
    <w:rPr>
      <w:rFonts w:ascii="宋体" w:hAnsi="宋体" w:eastAsia="仿宋" w:cs="宋体"/>
      <w:spacing w:val="-16"/>
      <w:kern w:val="2"/>
      <w:sz w:val="21"/>
      <w:szCs w:val="21"/>
    </w:rPr>
  </w:style>
  <w:style w:type="character" w:customStyle="1" w:styleId="702">
    <w:name w:val="脚注文本 Char"/>
    <w:qFormat/>
    <w:uiPriority w:val="0"/>
    <w:rPr>
      <w:rFonts w:ascii="Arial" w:hAnsi="Arial" w:eastAsia="仿宋_GB2312"/>
      <w:sz w:val="18"/>
      <w:szCs w:val="18"/>
    </w:rPr>
  </w:style>
  <w:style w:type="character" w:customStyle="1" w:styleId="703">
    <w:name w:val="正文文本缩进 3 Char"/>
    <w:qFormat/>
    <w:uiPriority w:val="0"/>
    <w:rPr>
      <w:kern w:val="2"/>
      <w:sz w:val="16"/>
      <w:szCs w:val="16"/>
    </w:rPr>
  </w:style>
  <w:style w:type="character" w:customStyle="1" w:styleId="704">
    <w:name w:val="正文文本 2 Char"/>
    <w:qFormat/>
    <w:uiPriority w:val="0"/>
    <w:rPr>
      <w:kern w:val="2"/>
      <w:sz w:val="28"/>
      <w:szCs w:val="24"/>
    </w:rPr>
  </w:style>
  <w:style w:type="character" w:customStyle="1" w:styleId="705">
    <w:name w:val="HTML 预设格式 Char"/>
    <w:qFormat/>
    <w:uiPriority w:val="0"/>
    <w:rPr>
      <w:rFonts w:ascii="Arial" w:hAnsi="Arial"/>
      <w:kern w:val="2"/>
      <w:sz w:val="21"/>
      <w:szCs w:val="21"/>
    </w:rPr>
  </w:style>
  <w:style w:type="character" w:customStyle="1" w:styleId="706">
    <w:name w:val="普通(网站) Char"/>
    <w:qFormat/>
    <w:locked/>
    <w:uiPriority w:val="0"/>
    <w:rPr>
      <w:rFonts w:ascii="宋体" w:hAnsi="宋体" w:eastAsia="宋体"/>
      <w:sz w:val="24"/>
    </w:rPr>
  </w:style>
  <w:style w:type="character" w:customStyle="1" w:styleId="707">
    <w:name w:val="标题 Char"/>
    <w:qFormat/>
    <w:uiPriority w:val="0"/>
    <w:rPr>
      <w:rFonts w:ascii="Cambria" w:hAnsi="Cambria" w:eastAsia="Times New Roman"/>
      <w:b/>
      <w:bCs/>
      <w:kern w:val="2"/>
      <w:sz w:val="21"/>
      <w:szCs w:val="32"/>
    </w:rPr>
  </w:style>
  <w:style w:type="character" w:customStyle="1" w:styleId="708">
    <w:name w:val="批注主题 Char"/>
    <w:qFormat/>
    <w:locked/>
    <w:uiPriority w:val="0"/>
    <w:rPr>
      <w:rFonts w:ascii="Times New Roman" w:hAnsi="Times New Roman" w:eastAsia="宋体"/>
      <w:b/>
      <w:kern w:val="2"/>
      <w:sz w:val="24"/>
    </w:rPr>
  </w:style>
  <w:style w:type="character" w:customStyle="1" w:styleId="709">
    <w:name w:val="正文首行缩进 Char"/>
    <w:qFormat/>
    <w:locked/>
    <w:uiPriority w:val="0"/>
    <w:rPr>
      <w:rFonts w:eastAsia="宋体"/>
      <w:kern w:val="2"/>
      <w:sz w:val="21"/>
      <w:szCs w:val="24"/>
      <w:lang w:val="en-US" w:eastAsia="zh-CN" w:bidi="ar-SA"/>
    </w:rPr>
  </w:style>
  <w:style w:type="character" w:customStyle="1" w:styleId="710">
    <w:name w:val="正文首行缩进 2 Char"/>
    <w:qFormat/>
    <w:uiPriority w:val="0"/>
    <w:rPr>
      <w:kern w:val="2"/>
      <w:sz w:val="21"/>
      <w:szCs w:val="24"/>
    </w:rPr>
  </w:style>
  <w:style w:type="table" w:customStyle="1" w:styleId="711">
    <w:name w:val="网格型7"/>
    <w:basedOn w:val="53"/>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12">
    <w:name w:val="1 Char"/>
    <w:link w:val="664"/>
    <w:qFormat/>
    <w:uiPriority w:val="0"/>
  </w:style>
  <w:style w:type="table" w:customStyle="1" w:styleId="713">
    <w:name w:val="Table Normal7"/>
    <w:basedOn w:val="53"/>
    <w:qFormat/>
    <w:uiPriority w:val="0"/>
    <w:tblPr>
      <w:tblCellMar>
        <w:left w:w="0" w:type="dxa"/>
        <w:right w:w="0" w:type="dxa"/>
      </w:tblCellMar>
    </w:tblPr>
  </w:style>
  <w:style w:type="table" w:customStyle="1" w:styleId="714">
    <w:name w:val="网格型11"/>
    <w:basedOn w:val="53"/>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le Normal111"/>
    <w:unhideWhenUsed/>
    <w:qFormat/>
    <w:uiPriority w:val="0"/>
    <w:rPr>
      <w:kern w:val="2"/>
      <w:szCs w:val="21"/>
    </w:rPr>
    <w:tblPr>
      <w:tblCellMar>
        <w:top w:w="0" w:type="dxa"/>
        <w:left w:w="0" w:type="dxa"/>
        <w:bottom w:w="0" w:type="dxa"/>
        <w:right w:w="0" w:type="dxa"/>
      </w:tblCellMar>
    </w:tblPr>
  </w:style>
  <w:style w:type="table" w:customStyle="1" w:styleId="716">
    <w:name w:val="网格型1211"/>
    <w:basedOn w:val="53"/>
    <w:qFormat/>
    <w:uiPriority w:val="59"/>
    <w:pPr>
      <w:jc w:val="both"/>
    </w:pPr>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网格型21"/>
    <w:basedOn w:val="53"/>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le Normal211"/>
    <w:unhideWhenUsed/>
    <w:qFormat/>
    <w:uiPriority w:val="0"/>
    <w:pPr>
      <w:widowControl w:val="0"/>
      <w:autoSpaceDE w:val="0"/>
      <w:autoSpaceDN w:val="0"/>
    </w:pPr>
    <w:rPr>
      <w:kern w:val="2"/>
      <w:sz w:val="22"/>
      <w:szCs w:val="21"/>
      <w:lang w:eastAsia="en-US"/>
    </w:rPr>
    <w:tblPr>
      <w:tblCellMar>
        <w:top w:w="0" w:type="dxa"/>
        <w:left w:w="0" w:type="dxa"/>
        <w:bottom w:w="0" w:type="dxa"/>
        <w:right w:w="0" w:type="dxa"/>
      </w:tblCellMar>
    </w:tblPr>
  </w:style>
  <w:style w:type="table" w:customStyle="1" w:styleId="719">
    <w:name w:val="网格型31"/>
    <w:basedOn w:val="53"/>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Normal311"/>
    <w:unhideWhenUsed/>
    <w:qFormat/>
    <w:uiPriority w:val="0"/>
    <w:pPr>
      <w:widowControl w:val="0"/>
      <w:autoSpaceDE w:val="0"/>
      <w:autoSpaceDN w:val="0"/>
    </w:pPr>
    <w:rPr>
      <w:kern w:val="2"/>
      <w:sz w:val="22"/>
      <w:szCs w:val="21"/>
      <w:lang w:eastAsia="en-US"/>
    </w:rPr>
    <w:tblPr>
      <w:tblCellMar>
        <w:top w:w="0" w:type="dxa"/>
        <w:left w:w="0" w:type="dxa"/>
        <w:bottom w:w="0" w:type="dxa"/>
        <w:right w:w="0" w:type="dxa"/>
      </w:tblCellMar>
    </w:tblPr>
  </w:style>
  <w:style w:type="paragraph" w:customStyle="1" w:styleId="721">
    <w:name w:val="TOC 标题3"/>
    <w:basedOn w:val="3"/>
    <w:next w:val="1"/>
    <w:unhideWhenUsed/>
    <w:qFormat/>
    <w:uiPriority w:val="39"/>
    <w:pPr>
      <w:keepNext/>
      <w:keepLines/>
      <w:framePr w:hSpace="0" w:wrap="around" w:vAnchor="margin" w:xAlign="left" w:yAlign="inline"/>
      <w:widowControl/>
      <w:adjustRightInd/>
      <w:snapToGrid/>
      <w:spacing w:before="240" w:line="259" w:lineRule="auto"/>
      <w:jc w:val="left"/>
      <w:outlineLvl w:val="9"/>
    </w:pPr>
    <w:rPr>
      <w:rFonts w:ascii="Calibri Light" w:hAnsi="Calibri Light"/>
      <w:color w:val="2E74B5"/>
      <w:sz w:val="32"/>
      <w:szCs w:val="32"/>
    </w:rPr>
  </w:style>
  <w:style w:type="character" w:customStyle="1" w:styleId="722">
    <w:name w:val="正文文本 3 Char"/>
    <w:qFormat/>
    <w:uiPriority w:val="0"/>
    <w:rPr>
      <w:sz w:val="16"/>
      <w:szCs w:val="16"/>
    </w:rPr>
  </w:style>
  <w:style w:type="table" w:customStyle="1" w:styleId="723">
    <w:name w:val="网格型41"/>
    <w:basedOn w:val="5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24">
    <w:name w:val="Char Char17"/>
    <w:basedOn w:val="1"/>
    <w:qFormat/>
    <w:uiPriority w:val="0"/>
    <w:pPr>
      <w:spacing w:line="360" w:lineRule="auto"/>
      <w:ind w:firstLine="200" w:firstLineChars="200"/>
    </w:pPr>
    <w:rPr>
      <w:rFonts w:ascii="宋体" w:hAnsi="宋体"/>
      <w:kern w:val="2"/>
      <w:szCs w:val="24"/>
    </w:rPr>
  </w:style>
  <w:style w:type="table" w:customStyle="1" w:styleId="725">
    <w:name w:val="Table Normal41"/>
    <w:basedOn w:val="53"/>
    <w:unhideWhenUsed/>
    <w:qFormat/>
    <w:uiPriority w:val="0"/>
    <w:tblPr>
      <w:tblCellMar>
        <w:left w:w="0" w:type="dxa"/>
        <w:right w:w="0" w:type="dxa"/>
      </w:tblCellMar>
    </w:tblPr>
  </w:style>
  <w:style w:type="table" w:customStyle="1" w:styleId="726">
    <w:name w:val="网格型51"/>
    <w:basedOn w:val="5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le Normal51"/>
    <w:basedOn w:val="53"/>
    <w:unhideWhenUsed/>
    <w:qFormat/>
    <w:uiPriority w:val="0"/>
    <w:tblPr>
      <w:tblCellMar>
        <w:left w:w="0" w:type="dxa"/>
        <w:right w:w="0" w:type="dxa"/>
      </w:tblCellMar>
    </w:tblPr>
  </w:style>
  <w:style w:type="paragraph" w:customStyle="1" w:styleId="728">
    <w:name w:val="0BT"/>
    <w:basedOn w:val="286"/>
    <w:link w:val="730"/>
    <w:qFormat/>
    <w:uiPriority w:val="0"/>
    <w:pPr>
      <w:framePr w:hSpace="0" w:wrap="around" w:vAnchor="margin" w:xAlign="left" w:yAlign="inline"/>
      <w:spacing w:line="440" w:lineRule="exact"/>
    </w:pPr>
    <w:rPr>
      <w:snapToGrid w:val="0"/>
      <w:kern w:val="2"/>
    </w:rPr>
  </w:style>
  <w:style w:type="character" w:customStyle="1" w:styleId="729">
    <w:name w:val="0表头 字符"/>
    <w:basedOn w:val="56"/>
    <w:link w:val="286"/>
    <w:qFormat/>
    <w:uiPriority w:val="0"/>
    <w:rPr>
      <w:b/>
      <w:sz w:val="21"/>
      <w:szCs w:val="22"/>
    </w:rPr>
  </w:style>
  <w:style w:type="character" w:customStyle="1" w:styleId="730">
    <w:name w:val="0BT 字符"/>
    <w:basedOn w:val="729"/>
    <w:link w:val="728"/>
    <w:qFormat/>
    <w:uiPriority w:val="0"/>
    <w:rPr>
      <w:rFonts w:ascii="Times New Roman" w:hAnsi="Times New Roman" w:cs="Times New Roman"/>
      <w:snapToGrid w:val="0"/>
      <w:kern w:val="2"/>
      <w:sz w:val="21"/>
      <w:szCs w:val="22"/>
    </w:rPr>
  </w:style>
  <w:style w:type="paragraph" w:customStyle="1" w:styleId="731">
    <w:name w:val="0BN"/>
    <w:link w:val="732"/>
    <w:qFormat/>
    <w:uiPriority w:val="0"/>
    <w:pPr>
      <w:spacing w:after="160" w:line="278" w:lineRule="auto"/>
      <w:jc w:val="center"/>
    </w:pPr>
    <w:rPr>
      <w:rFonts w:ascii="Times New Roman" w:hAnsi="Times New Roman" w:eastAsia="宋体" w:cs="Times New Roman"/>
      <w:color w:val="000000"/>
      <w:kern w:val="2"/>
      <w:sz w:val="18"/>
      <w:szCs w:val="22"/>
      <w:lang w:val="en-US" w:eastAsia="zh-CN" w:bidi="ar-SA"/>
    </w:rPr>
  </w:style>
  <w:style w:type="character" w:customStyle="1" w:styleId="732">
    <w:name w:val="0BN 字符"/>
    <w:basedOn w:val="56"/>
    <w:link w:val="731"/>
    <w:qFormat/>
    <w:uiPriority w:val="0"/>
    <w:rPr>
      <w:color w:val="000000"/>
      <w:kern w:val="2"/>
      <w:sz w:val="18"/>
      <w:szCs w:val="22"/>
    </w:rPr>
  </w:style>
  <w:style w:type="character" w:customStyle="1" w:styleId="733">
    <w:name w:val="标题 7 Char"/>
    <w:basedOn w:val="56"/>
    <w:link w:val="10"/>
    <w:semiHidden/>
    <w:qFormat/>
    <w:uiPriority w:val="0"/>
    <w:rPr>
      <w:b/>
      <w:bCs/>
      <w:szCs w:val="24"/>
    </w:rPr>
  </w:style>
  <w:style w:type="character" w:customStyle="1" w:styleId="734">
    <w:name w:val="未处理的提及3"/>
    <w:basedOn w:val="56"/>
    <w:semiHidden/>
    <w:unhideWhenUsed/>
    <w:qFormat/>
    <w:uiPriority w:val="99"/>
    <w:rPr>
      <w:color w:val="605E5C"/>
      <w:shd w:val="clear" w:color="auto" w:fill="E1DFDD"/>
    </w:rPr>
  </w:style>
  <w:style w:type="character" w:customStyle="1" w:styleId="735">
    <w:name w:val="宏文本 Char"/>
    <w:basedOn w:val="56"/>
    <w:link w:val="2"/>
    <w:qFormat/>
    <w:uiPriority w:val="0"/>
    <w:rPr>
      <w:rFonts w:ascii="Courier New" w:hAnsi="Courier New"/>
      <w:sz w:val="24"/>
      <w:szCs w:val="24"/>
    </w:rPr>
  </w:style>
  <w:style w:type="paragraph" w:customStyle="1" w:styleId="736">
    <w:name w:val="S307"/>
    <w:qFormat/>
    <w:uiPriority w:val="0"/>
    <w:pPr>
      <w:widowControl w:val="0"/>
      <w:tabs>
        <w:tab w:val="left" w:pos="6096"/>
      </w:tabs>
      <w:spacing w:after="160" w:line="360" w:lineRule="auto"/>
      <w:ind w:firstLine="480" w:firstLineChars="200"/>
      <w:jc w:val="both"/>
    </w:pPr>
    <w:rPr>
      <w:rFonts w:ascii="Times New Roman" w:hAnsi="Times New Roman" w:eastAsia="宋体" w:cs="Times New Roman"/>
      <w:sz w:val="24"/>
      <w:szCs w:val="21"/>
      <w:lang w:val="en-US" w:eastAsia="zh-CN" w:bidi="ar-SA"/>
    </w:rPr>
  </w:style>
  <w:style w:type="character" w:customStyle="1" w:styleId="737">
    <w:name w:val="首行缩进两字 Char"/>
    <w:qFormat/>
    <w:uiPriority w:val="0"/>
    <w:rPr>
      <w:rFonts w:ascii="Arial" w:hAnsi="Arial" w:eastAsia="宋体"/>
      <w:spacing w:val="10"/>
      <w:kern w:val="2"/>
      <w:sz w:val="24"/>
      <w:lang w:val="en-US" w:eastAsia="zh-CN" w:bidi="ar-SA"/>
    </w:rPr>
  </w:style>
  <w:style w:type="paragraph" w:customStyle="1" w:styleId="738">
    <w:name w:val="_Style 122"/>
    <w:basedOn w:val="1"/>
    <w:next w:val="1"/>
    <w:qFormat/>
    <w:uiPriority w:val="39"/>
    <w:pPr>
      <w:tabs>
        <w:tab w:val="left" w:pos="599"/>
        <w:tab w:val="right" w:leader="dot" w:pos="9060"/>
      </w:tabs>
      <w:spacing w:before="120" w:after="120" w:line="480" w:lineRule="exact"/>
      <w:jc w:val="left"/>
    </w:pPr>
    <w:rPr>
      <w:rFonts w:eastAsia="华文中宋"/>
      <w:b/>
      <w:bCs/>
      <w:caps/>
      <w:kern w:val="2"/>
      <w:sz w:val="28"/>
      <w:szCs w:val="28"/>
    </w:rPr>
  </w:style>
  <w:style w:type="paragraph" w:customStyle="1" w:styleId="739">
    <w:name w:val="reader-word-layer reader-word-s3-0"/>
    <w:basedOn w:val="1"/>
    <w:qFormat/>
    <w:uiPriority w:val="0"/>
    <w:pPr>
      <w:widowControl/>
      <w:spacing w:before="100" w:beforeAutospacing="1" w:after="100" w:afterAutospacing="1"/>
      <w:jc w:val="left"/>
    </w:pPr>
    <w:rPr>
      <w:rFonts w:ascii="宋体" w:hAnsi="宋体" w:cs="宋体"/>
      <w:sz w:val="21"/>
      <w:szCs w:val="24"/>
    </w:rPr>
  </w:style>
  <w:style w:type="paragraph" w:customStyle="1" w:styleId="740">
    <w:name w:val="reader-word-layer"/>
    <w:basedOn w:val="1"/>
    <w:qFormat/>
    <w:uiPriority w:val="0"/>
    <w:pPr>
      <w:widowControl/>
      <w:spacing w:before="100" w:beforeAutospacing="1" w:after="100" w:afterAutospacing="1"/>
      <w:jc w:val="left"/>
    </w:pPr>
    <w:rPr>
      <w:rFonts w:ascii="宋体" w:hAnsi="宋体" w:cs="宋体"/>
      <w:sz w:val="21"/>
      <w:szCs w:val="24"/>
    </w:rPr>
  </w:style>
  <w:style w:type="paragraph" w:customStyle="1" w:styleId="741">
    <w:name w:val="p24"/>
    <w:basedOn w:val="1"/>
    <w:qFormat/>
    <w:uiPriority w:val="0"/>
    <w:pPr>
      <w:widowControl/>
      <w:spacing w:before="100" w:beforeAutospacing="1" w:after="100" w:afterAutospacing="1"/>
      <w:jc w:val="left"/>
    </w:pPr>
    <w:rPr>
      <w:rFonts w:ascii="宋体" w:hAnsi="宋体" w:cs="宋体"/>
      <w:szCs w:val="24"/>
    </w:rPr>
  </w:style>
  <w:style w:type="character" w:customStyle="1" w:styleId="742">
    <w:name w:val="居中正文 Char"/>
    <w:link w:val="400"/>
    <w:qFormat/>
    <w:uiPriority w:val="0"/>
    <w:rPr>
      <w:rFonts w:ascii="宋体" w:hAnsi="Arial"/>
      <w:kern w:val="28"/>
      <w:sz w:val="24"/>
    </w:rPr>
  </w:style>
  <w:style w:type="character" w:customStyle="1" w:styleId="743">
    <w:name w:val="表格内文字 Char"/>
    <w:link w:val="236"/>
    <w:qFormat/>
    <w:uiPriority w:val="0"/>
    <w:rPr>
      <w:rFonts w:eastAsia="仿宋_GB2312"/>
      <w:sz w:val="24"/>
    </w:rPr>
  </w:style>
  <w:style w:type="character" w:customStyle="1" w:styleId="744">
    <w:name w:val="主体 Char"/>
    <w:link w:val="745"/>
    <w:qFormat/>
    <w:uiPriority w:val="0"/>
    <w:rPr>
      <w:rFonts w:eastAsia="仿宋_GB2312"/>
      <w:bCs/>
      <w:kern w:val="2"/>
      <w:sz w:val="24"/>
      <w:szCs w:val="24"/>
    </w:rPr>
  </w:style>
  <w:style w:type="paragraph" w:customStyle="1" w:styleId="745">
    <w:name w:val="主体"/>
    <w:link w:val="744"/>
    <w:qFormat/>
    <w:uiPriority w:val="0"/>
    <w:pPr>
      <w:widowControl w:val="0"/>
      <w:autoSpaceDE w:val="0"/>
      <w:autoSpaceDN w:val="0"/>
      <w:spacing w:after="160" w:line="440" w:lineRule="exact"/>
      <w:ind w:firstLine="480" w:firstLineChars="200"/>
      <w:jc w:val="both"/>
    </w:pPr>
    <w:rPr>
      <w:rFonts w:ascii="Times New Roman" w:hAnsi="Times New Roman" w:eastAsia="仿宋_GB2312" w:cs="Times New Roman"/>
      <w:bCs/>
      <w:kern w:val="2"/>
      <w:sz w:val="24"/>
      <w:szCs w:val="24"/>
      <w:lang w:val="en-US" w:eastAsia="zh-CN" w:bidi="ar-SA"/>
    </w:rPr>
  </w:style>
  <w:style w:type="character" w:customStyle="1" w:styleId="746">
    <w:name w:val="表格居中 字符"/>
    <w:qFormat/>
    <w:uiPriority w:val="0"/>
    <w:rPr>
      <w:rFonts w:hAnsi="Arial"/>
      <w:kern w:val="2"/>
      <w:sz w:val="21"/>
      <w:szCs w:val="21"/>
    </w:rPr>
  </w:style>
  <w:style w:type="character" w:customStyle="1" w:styleId="747">
    <w:name w:val="正文01 Char Char"/>
    <w:qFormat/>
    <w:uiPriority w:val="0"/>
    <w:rPr>
      <w:rFonts w:eastAsia="宋体"/>
      <w:kern w:val="2"/>
      <w:sz w:val="24"/>
      <w:szCs w:val="24"/>
      <w:lang w:val="en-US" w:eastAsia="zh-CN" w:bidi="ar-SA"/>
    </w:rPr>
  </w:style>
  <w:style w:type="character" w:customStyle="1" w:styleId="748">
    <w:name w:val="Default Char"/>
    <w:link w:val="70"/>
    <w:qFormat/>
    <w:uiPriority w:val="0"/>
    <w:rPr>
      <w:rFonts w:ascii="宋体" w:cs="宋体"/>
      <w:color w:val="000000"/>
      <w:sz w:val="24"/>
      <w:szCs w:val="24"/>
      <w:shd w:val="clear" w:color="auto" w:fill="FFFFFF"/>
    </w:rPr>
  </w:style>
  <w:style w:type="paragraph" w:customStyle="1" w:styleId="749">
    <w:name w:val="5号居中"/>
    <w:basedOn w:val="1"/>
    <w:next w:val="1"/>
    <w:qFormat/>
    <w:uiPriority w:val="0"/>
    <w:pPr>
      <w:wordWrap w:val="0"/>
      <w:autoSpaceDE w:val="0"/>
      <w:autoSpaceDN w:val="0"/>
      <w:adjustRightInd w:val="0"/>
      <w:snapToGrid w:val="0"/>
      <w:ind w:left="-120" w:leftChars="-50" w:right="-120" w:rightChars="-50"/>
      <w:jc w:val="center"/>
      <w:textAlignment w:val="center"/>
    </w:pPr>
    <w:rPr>
      <w:snapToGrid w:val="0"/>
      <w:sz w:val="21"/>
      <w:szCs w:val="22"/>
    </w:rPr>
  </w:style>
  <w:style w:type="character" w:customStyle="1" w:styleId="750">
    <w:name w:val="正文01 Char2"/>
    <w:qFormat/>
    <w:locked/>
    <w:uiPriority w:val="0"/>
    <w:rPr>
      <w:rFonts w:ascii="Calibri" w:hAnsi="Calibri" w:cs="Calibri"/>
      <w:sz w:val="24"/>
    </w:rPr>
  </w:style>
  <w:style w:type="character" w:customStyle="1" w:styleId="751">
    <w:name w:val="w正文 Char"/>
    <w:link w:val="635"/>
    <w:qFormat/>
    <w:locked/>
    <w:uiPriority w:val="0"/>
    <w:rPr>
      <w:rFonts w:eastAsia="Times New Roman"/>
      <w:sz w:val="24"/>
    </w:rPr>
  </w:style>
  <w:style w:type="paragraph" w:customStyle="1" w:styleId="752">
    <w:name w:val="marklang-paragraph"/>
    <w:basedOn w:val="1"/>
    <w:qFormat/>
    <w:uiPriority w:val="0"/>
    <w:pPr>
      <w:widowControl/>
      <w:spacing w:before="100" w:beforeAutospacing="1" w:after="100" w:afterAutospacing="1"/>
      <w:jc w:val="left"/>
    </w:pPr>
    <w:rPr>
      <w:rFonts w:ascii="宋体" w:hAnsi="宋体" w:cs="宋体"/>
      <w:szCs w:val="24"/>
    </w:rPr>
  </w:style>
  <w:style w:type="character" w:customStyle="1" w:styleId="753">
    <w:name w:val="标题 6 Char"/>
    <w:basedOn w:val="56"/>
    <w:link w:val="9"/>
    <w:qFormat/>
    <w:uiPriority w:val="9"/>
    <w:rPr>
      <w:rFonts w:asciiTheme="majorHAnsi" w:hAnsiTheme="majorHAnsi" w:eastAsiaTheme="majorEastAsia" w:cstheme="majorBidi"/>
      <w:b/>
      <w:bCs/>
      <w:sz w:val="24"/>
      <w:szCs w:val="24"/>
      <w:lang w:eastAsia="en-US"/>
    </w:rPr>
  </w:style>
  <w:style w:type="paragraph" w:customStyle="1" w:styleId="754">
    <w:name w:val="Heading #2|1"/>
    <w:basedOn w:val="1"/>
    <w:qFormat/>
    <w:uiPriority w:val="0"/>
    <w:pPr>
      <w:autoSpaceDE w:val="0"/>
      <w:autoSpaceDN w:val="0"/>
      <w:spacing w:after="200"/>
      <w:jc w:val="left"/>
      <w:outlineLvl w:val="1"/>
    </w:pPr>
    <w:rPr>
      <w:rFonts w:ascii="宋体" w:hAnsi="宋体" w:cs="宋体"/>
      <w:sz w:val="28"/>
      <w:szCs w:val="28"/>
      <w:lang w:val="zh-TW" w:eastAsia="zh-TW" w:bidi="zh-TW"/>
    </w:rPr>
  </w:style>
  <w:style w:type="paragraph" w:customStyle="1" w:styleId="755">
    <w:name w:val="Table caption|1"/>
    <w:basedOn w:val="1"/>
    <w:qFormat/>
    <w:uiPriority w:val="0"/>
    <w:pPr>
      <w:autoSpaceDE w:val="0"/>
      <w:autoSpaceDN w:val="0"/>
      <w:jc w:val="left"/>
    </w:pPr>
    <w:rPr>
      <w:rFonts w:ascii="宋体" w:hAnsi="宋体" w:cs="宋体"/>
      <w:b/>
      <w:bCs/>
      <w:sz w:val="20"/>
      <w:lang w:val="zh-TW" w:eastAsia="zh-TW" w:bidi="zh-TW"/>
    </w:rPr>
  </w:style>
  <w:style w:type="paragraph" w:customStyle="1" w:styleId="756">
    <w:name w:val="Picture caption|1"/>
    <w:basedOn w:val="1"/>
    <w:qFormat/>
    <w:uiPriority w:val="0"/>
    <w:pPr>
      <w:autoSpaceDE w:val="0"/>
      <w:autoSpaceDN w:val="0"/>
      <w:jc w:val="left"/>
    </w:pPr>
    <w:rPr>
      <w:rFonts w:ascii="宋体" w:hAnsi="宋体" w:cs="宋体"/>
      <w:b/>
      <w:bCs/>
      <w:sz w:val="20"/>
      <w:lang w:val="zh-TW" w:eastAsia="zh-TW" w:bidi="zh-TW"/>
    </w:rPr>
  </w:style>
  <w:style w:type="paragraph" w:customStyle="1" w:styleId="757">
    <w:name w:val="Heading #1|1"/>
    <w:basedOn w:val="1"/>
    <w:qFormat/>
    <w:uiPriority w:val="0"/>
    <w:pPr>
      <w:autoSpaceDE w:val="0"/>
      <w:autoSpaceDN w:val="0"/>
      <w:spacing w:after="300"/>
      <w:jc w:val="left"/>
      <w:outlineLvl w:val="0"/>
    </w:pPr>
    <w:rPr>
      <w:rFonts w:ascii="宋体" w:hAnsi="宋体" w:cs="宋体"/>
      <w:sz w:val="28"/>
      <w:szCs w:val="28"/>
      <w:lang w:val="zh-TW" w:eastAsia="zh-TW" w:bidi="zh-TW"/>
    </w:rPr>
  </w:style>
  <w:style w:type="paragraph" w:customStyle="1" w:styleId="758">
    <w:name w:val="Heading #3|1"/>
    <w:basedOn w:val="1"/>
    <w:qFormat/>
    <w:uiPriority w:val="0"/>
    <w:pPr>
      <w:autoSpaceDE w:val="0"/>
      <w:autoSpaceDN w:val="0"/>
      <w:spacing w:after="200"/>
      <w:jc w:val="left"/>
      <w:outlineLvl w:val="2"/>
    </w:pPr>
    <w:rPr>
      <w:rFonts w:ascii="宋体" w:hAnsi="宋体" w:cs="宋体"/>
      <w:sz w:val="28"/>
      <w:szCs w:val="28"/>
      <w:lang w:val="zh-TW" w:eastAsia="zh-TW" w:bidi="zh-TW"/>
    </w:rPr>
  </w:style>
  <w:style w:type="paragraph" w:customStyle="1" w:styleId="759">
    <w:name w:val="Header or footer|1"/>
    <w:basedOn w:val="1"/>
    <w:qFormat/>
    <w:uiPriority w:val="0"/>
    <w:pPr>
      <w:autoSpaceDE w:val="0"/>
      <w:autoSpaceDN w:val="0"/>
      <w:jc w:val="left"/>
    </w:pPr>
    <w:rPr>
      <w:rFonts w:ascii="宋体" w:hAnsi="宋体" w:cs="宋体"/>
      <w:sz w:val="20"/>
      <w:lang w:val="zh-TW" w:eastAsia="zh-TW" w:bidi="zh-TW"/>
    </w:rPr>
  </w:style>
  <w:style w:type="character" w:customStyle="1" w:styleId="760">
    <w:name w:val="title-text"/>
    <w:basedOn w:val="56"/>
    <w:qFormat/>
    <w:uiPriority w:val="0"/>
  </w:style>
  <w:style w:type="character" w:customStyle="1" w:styleId="761">
    <w:name w:val="ref_content_circle"/>
    <w:basedOn w:val="56"/>
    <w:qFormat/>
    <w:uiPriority w:val="0"/>
  </w:style>
  <w:style w:type="paragraph" w:customStyle="1" w:styleId="762">
    <w:name w:val="表格CAT"/>
    <w:basedOn w:val="763"/>
    <w:qFormat/>
    <w:uiPriority w:val="99"/>
    <w:pPr>
      <w:widowControl/>
      <w:tabs>
        <w:tab w:val="left" w:pos="560"/>
      </w:tabs>
      <w:spacing w:line="240" w:lineRule="auto"/>
      <w:ind w:firstLine="0" w:firstLineChars="0"/>
    </w:pPr>
  </w:style>
  <w:style w:type="paragraph" w:customStyle="1" w:styleId="763">
    <w:name w:val="表格文字-表外"/>
    <w:basedOn w:val="1"/>
    <w:unhideWhenUsed/>
    <w:qFormat/>
    <w:uiPriority w:val="0"/>
    <w:pPr>
      <w:snapToGrid w:val="0"/>
      <w:spacing w:line="360" w:lineRule="auto"/>
      <w:ind w:firstLine="1440" w:firstLineChars="200"/>
      <w:jc w:val="center"/>
    </w:pPr>
    <w:rPr>
      <w:rFonts w:eastAsia="Times New Roman"/>
      <w:kern w:val="2"/>
      <w:szCs w:val="24"/>
    </w:rPr>
  </w:style>
  <w:style w:type="paragraph" w:customStyle="1" w:styleId="764">
    <w:name w:val="Char Char1 Char Char Char Char Char Char Char Char Char"/>
    <w:basedOn w:val="1"/>
    <w:qFormat/>
    <w:uiPriority w:val="0"/>
    <w:rPr>
      <w:kern w:val="2"/>
      <w:sz w:val="21"/>
      <w:szCs w:val="24"/>
    </w:rPr>
  </w:style>
  <w:style w:type="paragraph" w:customStyle="1" w:styleId="765">
    <w:name w:val="Char Char1 Char Char Char Char Char Char Char Char Char1"/>
    <w:basedOn w:val="1"/>
    <w:qFormat/>
    <w:uiPriority w:val="0"/>
    <w:rPr>
      <w:kern w:val="2"/>
      <w:sz w:val="21"/>
      <w:szCs w:val="24"/>
    </w:rPr>
  </w:style>
  <w:style w:type="character" w:customStyle="1" w:styleId="766">
    <w:name w:val="未处理的提及4"/>
    <w:basedOn w:val="56"/>
    <w:semiHidden/>
    <w:unhideWhenUsed/>
    <w:qFormat/>
    <w:uiPriority w:val="99"/>
    <w:rPr>
      <w:color w:val="605E5C"/>
      <w:shd w:val="clear" w:color="auto" w:fill="E1DFDD"/>
    </w:rPr>
  </w:style>
  <w:style w:type="table" w:customStyle="1" w:styleId="767">
    <w:name w:val="我的表格样式1"/>
    <w:basedOn w:val="53"/>
    <w:qFormat/>
    <w:uiPriority w:val="99"/>
    <w:pPr>
      <w:jc w:val="center"/>
    </w:pPr>
    <w:tblPr>
      <w:jc w:val="center"/>
      <w:tblBorders>
        <w:top w:val="single" w:color="auto" w:sz="12" w:space="0"/>
        <w:bottom w:val="single" w:color="auto" w:sz="12" w:space="0"/>
        <w:insideH w:val="single" w:color="auto" w:sz="4" w:space="0"/>
        <w:insideV w:val="single" w:color="auto" w:sz="4" w:space="0"/>
      </w:tblBorders>
    </w:tblPr>
    <w:trPr>
      <w:jc w:val="center"/>
    </w:trPr>
    <w:tcPr>
      <w:vAlign w:val="center"/>
    </w:tcPr>
    <w:tblStylePr w:type="firstRow">
      <w:pPr>
        <w:wordWrap/>
        <w:adjustRightInd w:val="0"/>
        <w:ind w:left="0" w:leftChars="0" w:right="0" w:rightChars="0" w:firstLine="0" w:firstLineChars="0"/>
        <w:jc w:val="left"/>
        <w:textAlignment w:val="center"/>
        <w:outlineLvl w:val="9"/>
      </w:pPr>
      <w:rPr>
        <w:rFonts w:ascii="Times New Roman" w:hAnsi="Times New Roman" w:eastAsia="宋体"/>
        <w:b/>
        <w:i w:val="0"/>
        <w:sz w:val="21"/>
      </w:rPr>
      <w:tblPr/>
      <w:trPr>
        <w:cantSplit/>
        <w:tblHeader/>
      </w:trPr>
      <w:tcPr>
        <w:shd w:val="clear" w:color="auto" w:fill="C6D9F0"/>
      </w:tcPr>
    </w:tblStylePr>
    <w:tblStylePr w:type="lastRow">
      <w:pPr>
        <w:wordWrap/>
        <w:jc w:val="right"/>
      </w:pPr>
    </w:tblStylePr>
  </w:style>
  <w:style w:type="paragraph" w:customStyle="1" w:styleId="768">
    <w:name w:val="标题三三"/>
    <w:basedOn w:val="769"/>
    <w:next w:val="1"/>
    <w:qFormat/>
    <w:uiPriority w:val="0"/>
    <w:pPr>
      <w:spacing w:before="240" w:after="120"/>
      <w:outlineLvl w:val="2"/>
    </w:pPr>
    <w:rPr>
      <w:sz w:val="28"/>
    </w:rPr>
  </w:style>
  <w:style w:type="paragraph" w:customStyle="1" w:styleId="769">
    <w:name w:val="标题二二"/>
    <w:basedOn w:val="770"/>
    <w:next w:val="1"/>
    <w:qFormat/>
    <w:uiPriority w:val="0"/>
    <w:pPr>
      <w:spacing w:before="360" w:after="360"/>
      <w:outlineLvl w:val="1"/>
    </w:pPr>
    <w:rPr>
      <w:sz w:val="32"/>
    </w:rPr>
  </w:style>
  <w:style w:type="paragraph" w:customStyle="1" w:styleId="770">
    <w:name w:val="标题一一"/>
    <w:basedOn w:val="1"/>
    <w:next w:val="1"/>
    <w:qFormat/>
    <w:uiPriority w:val="0"/>
    <w:pPr>
      <w:spacing w:before="960" w:after="480"/>
      <w:ind w:firstLine="0" w:firstLineChars="0"/>
      <w:jc w:val="left"/>
      <w:outlineLvl w:val="0"/>
    </w:pPr>
    <w:rPr>
      <w:rFonts w:eastAsia="黑体"/>
      <w:sz w:val="44"/>
    </w:rPr>
  </w:style>
  <w:style w:type="paragraph" w:customStyle="1" w:styleId="771">
    <w:name w:val="177正文"/>
    <w:basedOn w:val="1"/>
    <w:qFormat/>
    <w:uiPriority w:val="0"/>
    <w:pPr>
      <w:adjustRightInd w:val="0"/>
      <w:snapToGrid w:val="0"/>
      <w:spacing w:after="0" w:line="360" w:lineRule="auto"/>
      <w:ind w:firstLine="720" w:firstLineChars="200"/>
      <w:jc w:val="both"/>
    </w:pPr>
    <w:rPr>
      <w:rFonts w:ascii="Times New Roman" w:hAnsi="Times New Roman" w:eastAsia="宋体"/>
      <w:color w:val="auto"/>
      <w:szCs w:val="24"/>
    </w:rPr>
  </w:style>
  <w:style w:type="paragraph" w:customStyle="1" w:styleId="772">
    <w:name w:val="标题177"/>
    <w:basedOn w:val="1"/>
    <w:qFormat/>
    <w:uiPriority w:val="0"/>
    <w:pPr>
      <w:widowControl/>
      <w:adjustRightInd w:val="0"/>
      <w:snapToGrid w:val="0"/>
      <w:spacing w:after="0" w:line="360" w:lineRule="auto"/>
      <w:ind w:firstLine="0"/>
      <w:jc w:val="center"/>
      <w:outlineLvl w:val="0"/>
    </w:pPr>
    <w:rPr>
      <w:rFonts w:hint="eastAsia" w:ascii="Times New Roman" w:hAnsi="Times New Roman" w:eastAsia="宋体"/>
      <w:snapToGrid w:val="0"/>
      <w:color w:val="auto"/>
      <w:sz w:val="28"/>
      <w:szCs w:val="28"/>
      <w:lang w:val="zh-CN"/>
    </w:rPr>
  </w:style>
  <w:style w:type="character" w:customStyle="1" w:styleId="773">
    <w:name w:val="font71"/>
    <w:basedOn w:val="56"/>
    <w:qFormat/>
    <w:uiPriority w:val="0"/>
    <w:rPr>
      <w:rFonts w:hint="default" w:ascii="Times New Roman" w:hAnsi="Times New Roman" w:cs="Times New Roman"/>
      <w:color w:val="000000"/>
      <w:sz w:val="28"/>
      <w:szCs w:val="28"/>
      <w:u w:val="none"/>
    </w:rPr>
  </w:style>
  <w:style w:type="paragraph" w:customStyle="1" w:styleId="774">
    <w:name w:val="图、表内容"/>
    <w:basedOn w:val="1"/>
    <w:qFormat/>
    <w:uiPriority w:val="0"/>
    <w:pPr>
      <w:spacing w:line="240" w:lineRule="auto"/>
      <w:ind w:firstLine="0" w:firstLineChars="0"/>
      <w:jc w:val="center"/>
    </w:pPr>
    <w:rPr>
      <w:sz w:val="21"/>
    </w:rPr>
  </w:style>
  <w:style w:type="paragraph" w:customStyle="1" w:styleId="775">
    <w:name w:val="【正文】"/>
    <w:basedOn w:val="1"/>
    <w:autoRedefine/>
    <w:qFormat/>
    <w:uiPriority w:val="0"/>
    <w:pPr>
      <w:spacing w:line="480" w:lineRule="exact"/>
      <w:ind w:firstLine="200" w:firstLineChars="200"/>
    </w:pPr>
    <w:rPr>
      <w:rFonts w:ascii="Times New Roman" w:hAnsi="Times New Roman" w:eastAsia="宋体" w:cs="Times New Roman"/>
      <w:sz w:val="28"/>
      <w:szCs w:val="24"/>
    </w:rPr>
  </w:style>
  <w:style w:type="paragraph" w:customStyle="1" w:styleId="776">
    <w:name w:val="#正文"/>
    <w:basedOn w:val="181"/>
    <w:qFormat/>
    <w:uiPriority w:val="0"/>
    <w:pPr>
      <w:adjustRightInd/>
      <w:ind w:firstLine="482"/>
    </w:pPr>
    <w:rPr>
      <w:szCs w:val="20"/>
    </w:rPr>
  </w:style>
  <w:style w:type="paragraph" w:customStyle="1" w:styleId="777">
    <w:name w:val="#表内"/>
    <w:basedOn w:val="287"/>
    <w:qFormat/>
    <w:uiPriority w:val="0"/>
    <w:pPr>
      <w:framePr w:wrap="around"/>
    </w:pPr>
    <w:rPr>
      <w:lang w:val="en-US"/>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customXml" Target="../customXml/item3.xml"/><Relationship Id="rId42" Type="http://schemas.openxmlformats.org/officeDocument/2006/relationships/customXml" Target="../customXml/item2.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endnotes" Target="endnotes.xml"/><Relationship Id="rId39" Type="http://schemas.openxmlformats.org/officeDocument/2006/relationships/image" Target="media/image18.jpeg"/><Relationship Id="rId38" Type="http://schemas.openxmlformats.org/officeDocument/2006/relationships/image" Target="media/image17.jpeg"/><Relationship Id="rId37" Type="http://schemas.openxmlformats.org/officeDocument/2006/relationships/image" Target="media/image16.png"/><Relationship Id="rId36" Type="http://schemas.openxmlformats.org/officeDocument/2006/relationships/image" Target="media/image15.jpeg"/><Relationship Id="rId35" Type="http://schemas.openxmlformats.org/officeDocument/2006/relationships/image" Target="media/image14.wmf"/><Relationship Id="rId34" Type="http://schemas.openxmlformats.org/officeDocument/2006/relationships/image" Target="media/image13.wmf"/><Relationship Id="rId33" Type="http://schemas.openxmlformats.org/officeDocument/2006/relationships/oleObject" Target="embeddings/oleObject1.bin"/><Relationship Id="rId32" Type="http://schemas.openxmlformats.org/officeDocument/2006/relationships/image" Target="media/image12.wmf"/><Relationship Id="rId31" Type="http://schemas.openxmlformats.org/officeDocument/2006/relationships/image" Target="media/image11.wmf"/><Relationship Id="rId30" Type="http://schemas.openxmlformats.org/officeDocument/2006/relationships/image" Target="media/image10.png"/><Relationship Id="rId3" Type="http://schemas.openxmlformats.org/officeDocument/2006/relationships/footnotes" Target="footnotes.xml"/><Relationship Id="rId29" Type="http://schemas.openxmlformats.org/officeDocument/2006/relationships/image" Target="media/image9.png"/><Relationship Id="rId28" Type="http://schemas.openxmlformats.org/officeDocument/2006/relationships/image" Target="media/image8.jpeg"/><Relationship Id="rId27" Type="http://schemas.openxmlformats.org/officeDocument/2006/relationships/image" Target="media/image7.png"/><Relationship Id="rId26" Type="http://schemas.openxmlformats.org/officeDocument/2006/relationships/image" Target="media/image6.png"/><Relationship Id="rId25" Type="http://schemas.openxmlformats.org/officeDocument/2006/relationships/image" Target="media/image5.png"/><Relationship Id="rId24" Type="http://schemas.openxmlformats.org/officeDocument/2006/relationships/image" Target="media/image4.png"/><Relationship Id="rId23" Type="http://schemas.openxmlformats.org/officeDocument/2006/relationships/image" Target="media/image3.png"/><Relationship Id="rId22" Type="http://schemas.openxmlformats.org/officeDocument/2006/relationships/image" Target="media/image2.png"/><Relationship Id="rId21" Type="http://schemas.openxmlformats.org/officeDocument/2006/relationships/image" Target="media/image1.png"/><Relationship Id="rId20"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header" Target="header6.xml"/><Relationship Id="rId15" Type="http://schemas.openxmlformats.org/officeDocument/2006/relationships/header" Target="header5.xml"/><Relationship Id="rId14" Type="http://schemas.openxmlformats.org/officeDocument/2006/relationships/header" Target="header4.xml"/><Relationship Id="rId13" Type="http://schemas.openxmlformats.org/officeDocument/2006/relationships/header" Target="header3.xml"/><Relationship Id="rId12" Type="http://schemas.openxmlformats.org/officeDocument/2006/relationships/footer" Target="footer6.xml"/><Relationship Id="rId11" Type="http://schemas.openxmlformats.org/officeDocument/2006/relationships/header" Target="header2.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JIkZpbGVJZCIgOiAiNDc2NzQ0MjcxNDM5IiwKCSJHcm91cElkIiA6ICIxMjM4MDY5Nzc1IiwKCSJJbWFnZSIgOiAiaVZCT1J3MEtHZ29BQUFBTlNVaEVVZ0FBQkhvQUFBSjJDQVlBQUFBZzNlVTBBQUFBQVhOU1IwSUFyczRjNlFBQUlBQkpSRUZVZUp6czNYbDhVMlc2Qi9EZmM1TFNBbVVwbEVXc1dMRHMwT2FrZ29JaUNBcWpqaWd1WEVldmpPSW9xSXdLYm96T0lLTG9IVmQwQkJRVnhlc0c0Z0lxS0lvQ3lrNlRkS0dLRktsYU5tVXB0TkNXSnVlNWZ6VEo3WktXdGl3cDdlLzcrZkNoZWM5NzN2T2NnMzFObnJ3TFF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zBJdjhmSDMxeUhraXZxbFFBQUFBQVNVVk9SSzVDWUlJPSIsCgkiVGhlbWUiIDogIiIsCgkiVHlwZSIgOiAiZmxvdyIsCgkiVXNlcklkIiA6ICIxMTM5OTE5OTk1IiwKCSJWZXJzaW9uIiA6ICI1MiIKfQo="/>
    </extobj>
    <extobj name="ECB019B1-382A-4266-B25C-5B523AA43C14-2">
      <extobjdata type="ECB019B1-382A-4266-B25C-5B523AA43C14" data="ewoJIkZpbGVJZCIgOiAiNDc1NTgxMjgyNTAwIiwKCSJHcm91cElkIiA6ICIxMjM4MDY5Nzc1IiwKCSJJbWFnZSIgOiAiaVZCT1J3MEtHZ29BQUFBTlNVaEVVZ0FBQWxJQUFBUEVDQVlBQUFCbGw5V1pBQUFBQVhOU1IwSUFyczRjNlFBQUlBQkpSRUZVZUp6czNXbDRGRlgrOXZIN2RIZEl3ZzRDb29BRENySUlJZDFSY0ZmRWNRSEJVVUhSY1VjSFozQlVkR2JBLzdpQWlyc295b2dMaW9PSW9MakF1SUVMS2lJZ3BMdFpES0pSQVZIMnhVQWdTM2VkNXdXZGZySkNLQUtkd1BkelhWeWtxMDVWL3lvVW5UdW5UcDJT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"/>
    </extobj>
  </extobjs>
</s:customData>
</file>

<file path=customXml/item2.xml><?xml version="1.0" encoding="utf-8"?>
<contractReview xmlns="http://schemas.wps.cn/vas-ai-hub/contract-review">
  <reviewItems>
    <reviewItem>
      <errorID>cbecd1a3-f5ee-4556-a6d9-2bafe275da13</errorID>
      <errorWord>（</errorWord>
      <group>L1_Format</group>
      <groupName>格式问题</groupName>
      <ability>L2_HalfPunc</ability>
      <abilityName>全半角检查</abilityName>
      <candidateList>
        <item>(</item>
      </candidateList>
      <explain>文本全半角错误。</explain>
      <paraID>2D6D06B4</paraID>
      <start>0</start>
      <end>1</end>
      <status>unmodified</status>
      <modifiedWord/>
      <trackRevisions>false</trackRevisions>
    </reviewItem>
    <reviewItem>
      <errorID>effec5e9-f8f6-4c9a-9028-328e48f841f2</errorID>
      <errorWord>，</errorWord>
      <group>L1_Format</group>
      <groupName>格式问题</groupName>
      <ability>L2_HalfPunc</ability>
      <abilityName>全半角检查</abilityName>
      <candidateList>
        <item>,</item>
      </candidateList>
      <explain>文本全半角错误。</explain>
      <paraID>2D6D06B4</paraID>
      <start>15</start>
      <end>16</end>
      <status>unmodified</status>
      <modifiedWord/>
      <trackRevisions>false</trackRevisions>
    </reviewItem>
    <reviewItem>
      <errorID>af5063d4-184b-44e7-9be5-43e8c6f6852f</errorID>
      <errorWord>）</errorWord>
      <group>L1_Format</group>
      <groupName>格式问题</groupName>
      <ability>L2_HalfPunc</ability>
      <abilityName>全半角检查</abilityName>
      <candidateList>
        <item>)</item>
      </candidateList>
      <explain>文本全半角错误。</explain>
      <paraID>2D6D06B4</paraID>
      <start>29</start>
      <end>30</end>
      <status>unmodified</status>
      <modifiedWord/>
      <trackRevisions>false</trackRevisions>
    </reviewItem>
    <reviewItem>
      <errorID>c245a9c4-6f06-4825-a5cc-62aed40e879d</errorID>
      <errorWord>-</errorWord>
      <group>L1_Format</group>
      <groupName>格式问题</groupName>
      <ability>L2_HalfPunc</ability>
      <abilityName>全半角检查</abilityName>
      <candidateList>
        <item>－</item>
      </candidateList>
      <explain>文本全半角错误。</explain>
      <paraID>3201C36B</paraID>
      <start>13</start>
      <end>14</end>
      <status>unmodified</status>
      <modifiedWord/>
      <trackRevisions>false</trackRevisions>
    </reviewItem>
    <reviewItem>
      <errorID>ff29c620-377a-40b7-bffb-544b13265730</errorID>
      <errorWord>》（试行）</errorWord>
      <group>L1_Word</group>
      <groupName>字词问题</groupName>
      <ability>L2_Typo</ability>
      <abilityName>字词错误</abilityName>
      <candidateList>
        <item>（试行）》</item>
      </candidateList>
      <explain/>
      <paraID>44F6AF59</paraID>
      <start>27</start>
      <end>32</end>
      <status>unmodified</status>
      <modifiedWord/>
      <trackRevisions>false</trackRevisions>
    </reviewItem>
    <reviewItem>
      <errorID>5316f50e-7ffe-4c07-b657-5419fec770ae</errorID>
      <errorWord>《产业结构调整指导目录》（2024年本）</errorWord>
      <group>L1_Knowledge</group>
      <groupName>知识性问题</groupName>
      <ability>L2_Knowledge</ability>
      <abilityName>其他知识</abilityName>
      <candidateList>
        <item>《产业结构调整指导目录（2024年本）》</item>
      </candidateList>
      <explain>疑似政策文件、法律法规名称等书写不规范，请注意检查。</explain>
      <paraID>395A3910</paraID>
      <start>2</start>
      <end>22</end>
      <status>unmodified</status>
      <modifiedWord/>
      <trackRevisions>false</trackRevisions>
    </reviewItem>
    <reviewItem>
      <errorID>bb780b7a-b8ea-421c-a7b3-dca145e00c4d</errorID>
      <errorWord>进</errorWord>
      <group>L1_Word</group>
      <groupName>字词问题</groupName>
      <ability>L2_Typo</ability>
      <abilityName>字词错误</abilityName>
      <candidateList>
        <item>进入</item>
      </candidateList>
      <explain>〈动〉支进到某个范围或某个时期里：～学校｜～新阶段◇～角色。</explain>
      <paraID>222F212A</paraID>
      <start>6</start>
      <end>7</end>
      <status>unmodified</status>
      <modifiedWord/>
      <trackRevisions>false</trackRevisions>
    </reviewItem>
    <reviewItem>
      <errorID>4eb4a787-5d8b-4075-8b6e-195d81d34d21</errorID>
      <errorWord>《产业结构调整指导目录》（2024年本）</errorWord>
      <group>L1_Knowledge</group>
      <groupName>知识性问题</groupName>
      <ability>L2_Knowledge</ability>
      <abilityName>其他知识</abilityName>
      <candidateList>
        <item>《产业结构调整指导目录（2024年本）》</item>
      </candidateList>
      <explain>疑似政策文件、法律法规名称等书写不规范，请注意检查。</explain>
      <paraID>2DF24FEC</paraID>
      <start>10</start>
      <end>30</end>
      <status>unmodified</status>
      <modifiedWord/>
      <trackRevisions>false</trackRevisions>
    </reviewItem>
    <reviewItem>
      <errorID>a8010ced-6e3a-4571-b9b7-cb05f3aa1128</errorID>
      <errorWord>上线</errorWord>
      <group>L1_Word</group>
      <groupName>字词问题</groupName>
      <ability>L2_Typo</ability>
      <abilityName>字词错误</abilityName>
      <candidateList>
        <item>上限</item>
      </candidateList>
      <explain/>
      <paraID>68DB6599</paraID>
      <start>58</start>
      <end>60</end>
      <status>unmodified</status>
      <modifiedWord/>
      <trackRevisions>false</trackRevisions>
    </reviewItem>
    <reviewItem>
      <errorID>70a7386c-488f-4f6b-bce6-92915d5186c4</errorID>
      <errorWord>上线</errorWord>
      <group>L1_Word</group>
      <groupName>字词问题</groupName>
      <ability>L2_Typo</ability>
      <abilityName>字词错误</abilityName>
      <candidateList>
        <item>上限</item>
      </candidateList>
      <explain/>
      <paraID>58BF042D</paraID>
      <start>31</start>
      <end>33</end>
      <status>unmodified</status>
      <modifiedWord/>
      <trackRevisions>false</trackRevisions>
    </reviewItem>
    <reviewItem>
      <errorID>1d440803-4497-4394-b918-10eaa7e541ef</errorID>
      <errorWord>《产业结构调整指导目录》（2024年本）</errorWord>
      <group>L1_Knowledge</group>
      <groupName>知识性问题</groupName>
      <ability>L2_Knowledge</ability>
      <abilityName>其他知识</abilityName>
      <candidateList>
        <item>《产业结构调整指导目录（2024年本）》</item>
      </candidateList>
      <explain>疑似政策文件、法律法规名称等书写不规范，请注意检查。</explain>
      <paraID>792754B6</paraID>
      <start>73</start>
      <end>93</end>
      <status>unmodified</status>
      <modifiedWord/>
      <trackRevisions>false</trackRevisions>
    </reviewItem>
    <reviewItem>
      <errorID>30490f9a-1e9f-4f9c-ab82-57b7740fdd5c</errorID>
      <errorWord>三线一单</errorWord>
      <group>L1_Political</group>
      <groupName>政治性问题</groupName>
      <ability>L2_Keyword</ability>
      <abilityName>固定表述</abilityName>
      <candidateList>
        <item>‘三线一单’</item>
      </candidateList>
      <explain>注意检查当前固定表述标点是否使用规范。</explain>
      <paraID> 205854F</paraID>
      <start>35</start>
      <end>39</end>
      <status>unmodified</status>
      <modifiedWord/>
      <trackRevisions>false</trackRevisions>
    </reviewItem>
    <reviewItem>
      <errorID>75010d24-6e14-442a-8c71-6da5d38734b9</errorID>
      <errorWord>-</errorWord>
      <group>L1_Format</group>
      <groupName>格式问题</groupName>
      <ability>L2_HalfPunc</ability>
      <abilityName>全半角检查</abilityName>
      <candidateList>
        <item>－</item>
      </candidateList>
      <explain>文本全半角错误。</explain>
      <paraID> 205854F</paraID>
      <start>154</start>
      <end>155</end>
      <status>unmodified</status>
      <modifiedWord/>
      <trackRevisions>false</trackRevisions>
    </reviewItem>
    <reviewItem>
      <errorID>c5baeb9a-279a-4076-8534-d6269d116d62</errorID>
      <errorWord>其它对</errorWord>
      <group>L1_Word</group>
      <groupName>字词问题</groupName>
      <ability>L2_Alias</ability>
      <abilityName>也作/曾用词</abilityName>
      <candidateList>
        <item>其他对</item>
      </candidateList>
      <explain>词汇[其它对]为不规范表述或旧称，其规范书面表述为[其他对]。</explain>
      <paraID>479B7E0E</paraID>
      <start>50</start>
      <end>53</end>
      <status>unmodified</status>
      <modifiedWord/>
      <trackRevisions>false</trackRevisions>
    </reviewItem>
    <reviewItem>
      <errorID>1d7d1d35-b57d-4115-a152-408c26c69a0f</errorID>
      <errorWord>国际间</errorWord>
      <group>L1_Word</group>
      <groupName>字词问题</groupName>
      <ability>L2_Typo</ability>
      <abilityName>字词错误</abilityName>
      <candidateList>
        <item>国际</item>
      </candidateList>
      <explain/>
      <paraID>479B7E0E</paraID>
      <start>259</start>
      <end>262</end>
      <status>unmodified</status>
      <modifiedWord/>
      <trackRevisions>false</trackRevisions>
    </reviewItem>
    <reviewItem>
      <errorID>1733b2d0-4849-4635-be86-427119717437</errorID>
      <errorWord>其它对</errorWord>
      <group>L1_Word</group>
      <groupName>字词问题</groupName>
      <ability>L2_Alias</ability>
      <abilityName>也作/曾用词</abilityName>
      <candidateList>
        <item>其他对</item>
      </candidateList>
      <explain>词汇[其它对]为不规范表述或旧称，其规范书面表述为[其他对]。</explain>
      <paraID>4C575111</paraID>
      <start>65</start>
      <end>68</end>
      <status>unmodified</status>
      <modifiedWord/>
      <trackRevisions>false</trackRevisions>
    </reviewItem>
    <reviewItem>
      <errorID>7710f919-c8b2-4b20-9743-1999c4d39faa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34AE061C</paraID>
      <start>0</start>
      <end>2</end>
      <status>unmodified</status>
      <modifiedWord/>
      <trackRevisions>false</trackRevisions>
    </reviewItem>
    <reviewItem>
      <errorID>e4273a52-3bec-4a0c-b925-13dab9e2fbb0</errorID>
      <errorWord>法律、法规</errorWord>
      <group>L1_Word</group>
      <groupName>字词问题</groupName>
      <ability>L2_Typo</ability>
      <abilityName>字词错误</abilityName>
      <candidateList>
        <item>法律法规</item>
      </candidateList>
      <explain/>
      <paraID>6D1A8624</paraID>
      <start>28</start>
      <end>33</end>
      <status>unmodified</status>
      <modifiedWord/>
      <trackRevisions>false</trackRevisions>
    </reviewItem>
    <reviewItem>
      <errorID>3235c9da-2285-4576-921a-048058bb7db0</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6E49D5FA</paraID>
      <start>0</start>
      <end>2</end>
      <status>unmodified</status>
      <modifiedWord/>
      <trackRevisions>false</trackRevisions>
    </reviewItem>
    <reviewItem>
      <errorID>4a1868df-4fda-48b1-ac32-2b5f533468f4</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351CF677</paraID>
      <start>0</start>
      <end>2</end>
      <status>unmodified</status>
      <modifiedWord/>
      <trackRevisions>false</trackRevisions>
    </reviewItem>
    <reviewItem>
      <errorID>9936f595-a07b-44c8-85b8-562cbf3ebae7</errorID>
      <errorWord>转载</errorWord>
      <group>L1_Word</group>
      <groupName>字词问题</groupName>
      <ability>L2_Typo</ability>
      <abilityName>字词错误</abilityName>
      <candidateList>
        <item>装载</item>
      </candidateList>
      <explain/>
      <paraID>64A1D586</paraID>
      <start>14</start>
      <end>16</end>
      <status>unmodified</status>
      <modifiedWord/>
      <trackRevisions>false</trackRevisions>
    </reviewItem>
    <reviewItem>
      <errorID>cd7f5cee-3e80-437a-999a-e7c6657130ba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390490DD</paraID>
      <start>0</start>
      <end>2</end>
      <status>unmodified</status>
      <modifiedWord/>
      <trackRevisions>false</trackRevisions>
    </reviewItem>
    <reviewItem>
      <errorID>66b5badf-1fcb-4df6-a8ed-9e77857ff1d1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5911E483</paraID>
      <start>0</start>
      <end>2</end>
      <status>unmodified</status>
      <modifiedWord/>
      <trackRevisions>false</trackRevisions>
    </reviewItem>
    <reviewItem>
      <errorID>f83dc465-630c-46a0-9c8b-e0b8937c29b6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E279E9</paraID>
      <start>0</start>
      <end>2</end>
      <status>unmodified</status>
      <modifiedWord/>
      <trackRevisions>false</trackRevisions>
    </reviewItem>
    <reviewItem>
      <errorID>b21aa37a-c2c1-477a-9356-d4e7b1a86101</errorID>
      <errorWord>链接</errorWord>
      <group>L1_Word</group>
      <groupName>字词问题</groupName>
      <ability>L2_Typo</ability>
      <abilityName>字词错误</abilityName>
      <candidateList>
        <item>连接</item>
      </candidateList>
      <explain>（联接）liánjiē〈动〉❶（事物）互相衔接：山岭～。❷使连接：～线路。</explain>
      <paraID>516FA678</paraID>
      <start>13</start>
      <end>15</end>
      <status>unmodified</status>
      <modifiedWord/>
      <trackRevisions>false</trackRevisions>
    </reviewItem>
    <reviewItem>
      <errorID>a71f10b4-6ed1-4fb7-89e7-535dc91774f0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BC93088</paraID>
      <start>97</start>
      <end>98</end>
      <status>unmodified</status>
      <modifiedWord/>
      <trackRevisions>false</trackRevisions>
    </reviewItem>
    <reviewItem>
      <errorID>0cbfbb24-2231-4c92-a6fa-9943170b34ea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43324B0D</paraID>
      <start>0</start>
      <end>2</end>
      <status>unmodified</status>
      <modifiedWord/>
      <trackRevisions>false</trackRevisions>
    </reviewItem>
    <reviewItem>
      <errorID>cbd32ac7-1056-44a4-b34f-3088e4203e7e</errorID>
      <errorWord>（</errorWord>
      <group>L1_Format</group>
      <groupName>格式问题</groupName>
      <ability>L2_HalfPunc</ability>
      <abilityName>全半角检查</abilityName>
      <candidateList>
        <item>(</item>
      </candidateList>
      <explain>文本全半角错误。</explain>
      <paraID> 1C5C2FA</paraID>
      <start>0</start>
      <end>1</end>
      <status>unmodified</status>
      <modifiedWord/>
      <trackRevisions>false</trackRevisions>
    </reviewItem>
    <reviewItem>
      <errorID>0d1dbc98-bef2-4750-a8eb-39561a9d9e2c</errorID>
      <errorWord>）</errorWord>
      <group>L1_Format</group>
      <groupName>格式问题</groupName>
      <ability>L2_HalfPunc</ability>
      <abilityName>全半角检查</abilityName>
      <candidateList>
        <item>)</item>
      </candidateList>
      <explain>文本全半角错误。</explain>
      <paraID> 1C5C2FA</paraID>
      <start>4</start>
      <end>5</end>
      <status>unmodified</status>
      <modifiedWord/>
      <trackRevisions>false</trackRevisions>
    </reviewItem>
    <reviewItem>
      <errorID>1a9775be-c4ed-4dc8-aac3-205e99c98e0e</errorID>
      <errorWord>（</errorWord>
      <group>L1_Format</group>
      <groupName>格式问题</groupName>
      <ability>L2_HalfPunc</ability>
      <abilityName>全半角检查</abilityName>
      <candidateList>
        <item>(</item>
      </candidateList>
      <explain>文本全半角错误。</explain>
      <paraID>19DE41CB</paraID>
      <start>0</start>
      <end>1</end>
      <status>unmodified</status>
      <modifiedWord/>
      <trackRevisions>false</trackRevisions>
    </reviewItem>
    <reviewItem>
      <errorID>86f1ea35-619b-4d26-99ce-c70ed0df50f4</errorID>
      <errorWord>）</errorWord>
      <group>L1_Format</group>
      <groupName>格式问题</groupName>
      <ability>L2_HalfPunc</ability>
      <abilityName>全半角检查</abilityName>
      <candidateList>
        <item>)</item>
      </candidateList>
      <explain>文本全半角错误。</explain>
      <paraID>19DE41CB</paraID>
      <start>4</start>
      <end>5</end>
      <status>unmodified</status>
      <modifiedWord/>
      <trackRevisions>false</trackRevisions>
    </reviewItem>
    <reviewItem>
      <errorID>7af1acfc-9f8e-46e8-9483-4de368bc13e6</errorID>
      <errorWord>(</errorWord>
      <group>L1_Punc</group>
      <groupName>标点问题</groupName>
      <ability>L2_Punc</ability>
      <abilityName>标点符号检查</abilityName>
      <candidateList/>
      <explain>同一形式括号套用。</explain>
      <paraID>3CF7587F</paraID>
      <start>49</start>
      <end>50</end>
      <status>unmodified</status>
      <modifiedWord/>
      <trackRevisions>false</trackRevisions>
    </reviewItem>
    <reviewItem>
      <errorID>e0e7e8f2-4041-489d-9f92-8885fac0942c</errorID>
      <errorWord>)</errorWord>
      <group>L1_Punc</group>
      <groupName>标点问题</groupName>
      <ability>L2_Punc</ability>
      <abilityName>标点符号检查</abilityName>
      <candidateList/>
      <explain>同一形式括号套用。</explain>
      <paraID>3CF7587F</paraID>
      <start>54</start>
      <end>55</end>
      <status>unmodified</status>
      <modifiedWord/>
      <trackRevisions>false</trackRevisions>
    </reviewItem>
    <reviewItem>
      <errorID>9e3f26a1-2248-4b2d-ab62-25e9072da97a</errorID>
      <errorWord>）</errorWord>
      <group>L1_Punc</group>
      <groupName>标点问题</groupName>
      <ability>L2_Punc</ability>
      <abilityName>标点符号检查</abilityName>
      <candidateList/>
      <explain>同一形式括号套用。</explain>
      <paraID>3CF7587F</paraID>
      <start>55</start>
      <end>56</end>
      <status>unmodified</status>
      <modifiedWord/>
      <trackRevisions>false</trackRevisions>
    </reviewItem>
    <reviewItem>
      <errorID>a1f4157d-8241-46f7-84ee-741fda206eab</errorID>
      <errorWord>(</errorWord>
      <group>L1_Punc</group>
      <groupName>标点问题</groupName>
      <ability>L2_Punc</ability>
      <abilityName>标点符号检查</abilityName>
      <candidateList/>
      <explain>同一形式括号套用。</explain>
      <paraID>3CF7587F</paraID>
      <start>71</start>
      <end>72</end>
      <status>unmodified</status>
      <modifiedWord/>
      <trackRevisions>false</trackRevisions>
    </reviewItem>
    <reviewItem>
      <errorID>4e8653bb-3522-4e86-82d9-0965642feb70</errorID>
      <errorWord>)</errorWord>
      <group>L1_Punc</group>
      <groupName>标点问题</groupName>
      <ability>L2_Punc</ability>
      <abilityName>标点符号检查</abilityName>
      <candidateList/>
      <explain>同一形式括号套用。</explain>
      <paraID>3CF7587F</paraID>
      <start>76</start>
      <end>77</end>
      <status>unmodified</status>
      <modifiedWord/>
      <trackRevisions>false</trackRevisions>
    </reviewItem>
    <reviewItem>
      <errorID>d64c09bf-c092-4474-b394-c761a87efee2</errorID>
      <errorWord>）</errorWord>
      <group>L1_Punc</group>
      <groupName>标点问题</groupName>
      <ability>L2_Punc</ability>
      <abilityName>标点符号检查</abilityName>
      <candidateList/>
      <explain>同一形式括号套用。</explain>
      <paraID>3CF7587F</paraID>
      <start>77</start>
      <end>78</end>
      <status>unmodified</status>
      <modifiedWord/>
      <trackRevisions>false</trackRevisions>
    </reviewItem>
    <reviewItem>
      <errorID>40c92e32-1955-47ec-91ae-d0056bd66bd4</errorID>
      <errorWord>区内</errorWord>
      <group>L1_Word</group>
      <groupName>字词问题</groupName>
      <ability>L2_Typo</ability>
      <abilityName>字词错误</abilityName>
      <candidateList>
        <item>区</item>
      </candidateList>
      <explain>（區）qū❶区别；划分：～分。❷地区；区域：山～｜市～｜解放～｜工业～｜风景～。❸〈名〉行政区划单位，如自治区、市辖区、县辖区等。</explain>
      <paraID>7FC0C8D1</paraID>
      <start>166</start>
      <end>168</end>
      <status>unmodified</status>
      <modifiedWord/>
      <trackRevisions>false</trackRevisions>
    </reviewItem>
    <reviewItem>
      <errorID>11d76641-0525-4daa-9686-2fb6fb2fddfa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178D70D2</paraID>
      <start>0</start>
      <end>2</end>
      <status>unmodified</status>
      <modifiedWord/>
      <trackRevisions>false</trackRevisions>
    </reviewItem>
    <reviewItem>
      <errorID>49049cc4-d1cc-46e0-9f58-7b101ca30bc4</errorID>
      <errorWord>用排水</errorWord>
      <group>L1_Word</group>
      <groupName>字词问题</groupName>
      <ability>L2_Typo</ability>
      <abilityName>字词错误</abilityName>
      <candidateList>
        <item>供排水</item>
      </candidateList>
      <explain/>
      <paraID>178D70D2</paraID>
      <start>5</start>
      <end>8</end>
      <status>unmodified</status>
      <modifiedWord/>
      <trackRevisions>false</trackRevisions>
    </reviewItem>
    <reviewItem>
      <errorID>9e90f74e-cb35-454f-8ab0-6eab97412261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1B3D72DC</paraID>
      <start>0</start>
      <end>2</end>
      <status>unmodified</status>
      <modifiedWord/>
      <trackRevisions>false</trackRevisions>
    </reviewItem>
    <reviewItem>
      <errorID>27fdb567-c9bb-4440-8bf8-d8a912a53f3d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242060E0</paraID>
      <start>0</start>
      <end>2</end>
      <status>unmodified</status>
      <modifiedWord/>
      <trackRevisions>false</trackRevisions>
    </reviewItem>
    <reviewItem>
      <errorID>81c37617-b942-406b-8506-b7ebbf18381e</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8D5BE75</paraID>
      <start>0</start>
      <end>2</end>
      <status>unmodified</status>
      <modifiedWord/>
      <trackRevisions>false</trackRevisions>
    </reviewItem>
    <reviewItem>
      <errorID>9cb972ba-2fe7-4790-a19a-02f31cd04dff</errorID>
      <errorWord>(</errorWord>
      <group>L1_Format</group>
      <groupName>格式问题</groupName>
      <ability>L2_HalfPunc</ability>
      <abilityName>全半角检查</abilityName>
      <candidateList>
        <item>（</item>
      </candidateList>
      <explain>文本全半角错误。</explain>
      <paraID> 65C06A1</paraID>
      <start>8</start>
      <end>9</end>
      <status>unmodified</status>
      <modifiedWord/>
      <trackRevisions>false</trackRevisions>
    </reviewItem>
    <reviewItem>
      <errorID>c84fea78-7ef5-47f9-9926-6a7a45e840de</errorID>
      <errorWord>):</errorWord>
      <group>L1_Format</group>
      <groupName>格式问题</groupName>
      <ability>L2_HalfPunc</ability>
      <abilityName>全半角检查</abilityName>
      <candidateList>
        <item>）：</item>
      </candidateList>
      <explain>文本全半角错误。</explain>
      <paraID> 65C06A1</paraID>
      <start>13</start>
      <end>15</end>
      <status>unmodified</status>
      <modifiedWord/>
      <trackRevisions>false</trackRevisions>
    </reviewItem>
    <reviewItem>
      <errorID>ccdf5487-bb23-4ecd-bf0c-26184ff72bc8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2DC6454C</paraID>
      <start>0</start>
      <end>2</end>
      <status>unmodified</status>
      <modifiedWord/>
      <trackRevisions>false</trackRevisions>
    </reviewItem>
    <reviewItem>
      <errorID>f1dac5ee-4c54-45e0-97a7-b3c952e97f3b</errorID>
      <errorWord>年</errorWord>
      <group>L1_Word</group>
      <groupName>字词问题</groupName>
      <ability>L2_Typo</ability>
      <abilityName>字词错误</abilityName>
      <candidateList>
        <item>年度</item>
      </candidateList>
      <explain/>
      <paraID>6753E400</paraID>
      <start>0</start>
      <end>1</end>
      <status>unmodified</status>
      <modifiedWord/>
      <trackRevisions>false</trackRevisions>
    </reviewItem>
    <reviewItem>
      <errorID>a842c13c-3ca1-4baf-95d0-82a7ee943d47</errorID>
      <errorWord>（</errorWord>
      <group>L1_Format</group>
      <groupName>格式问题</groupName>
      <ability>L2_HalfPunc</ability>
      <abilityName>全半角检查</abilityName>
      <candidateList>
        <item>(</item>
      </candidateList>
      <explain>文本全半角错误。</explain>
      <paraID> B7CEF04</paraID>
      <start>0</start>
      <end>1</end>
      <status>unmodified</status>
      <modifiedWord/>
      <trackRevisions>false</trackRevisions>
    </reviewItem>
    <reviewItem>
      <errorID>72ae2f68-29bd-497b-9d28-7e7ea0cec7ca</errorID>
      <errorWord>）</errorWord>
      <group>L1_Format</group>
      <groupName>格式问题</groupName>
      <ability>L2_HalfPunc</ability>
      <abilityName>全半角检查</abilityName>
      <candidateList>
        <item>)</item>
      </candidateList>
      <explain>文本全半角错误。</explain>
      <paraID> B7CEF04</paraID>
      <start>6</start>
      <end>7</end>
      <status>unmodified</status>
      <modifiedWord/>
      <trackRevisions>false</trackRevisions>
    </reviewItem>
    <reviewItem>
      <errorID>0ce896db-b05d-438d-97b0-3ec0ce020abe</errorID>
      <errorWord>（</errorWord>
      <group>L1_Format</group>
      <groupName>格式问题</groupName>
      <ability>L2_HalfPunc</ability>
      <abilityName>全半角检查</abilityName>
      <candidateList>
        <item>(</item>
      </candidateList>
      <explain>文本全半角错误。</explain>
      <paraID>64377386</paraID>
      <start>0</start>
      <end>1</end>
      <status>unmodified</status>
      <modifiedWord/>
      <trackRevisions>false</trackRevisions>
    </reviewItem>
    <reviewItem>
      <errorID>8a1e5871-472b-4db3-a229-4d297f670ea5</errorID>
      <errorWord>）</errorWord>
      <group>L1_Format</group>
      <groupName>格式问题</groupName>
      <ability>L2_HalfPunc</ability>
      <abilityName>全半角检查</abilityName>
      <candidateList>
        <item>)</item>
      </candidateList>
      <explain>文本全半角错误。</explain>
      <paraID>64377386</paraID>
      <start>6</start>
      <end>7</end>
      <status>unmodified</status>
      <modifiedWord/>
      <trackRevisions>false</trackRevisions>
    </reviewItem>
    <reviewItem>
      <errorID>dc8bd845-1558-4847-8e18-ee190d7a9f8b</errorID>
      <errorWord>）年</errorWord>
      <group>L1_Word</group>
      <groupName>字词问题</groupName>
      <ability>L2_Typo</ability>
      <abilityName>字词错误</abilityName>
      <candidateList>
        <item>）</item>
      </candidateList>
      <explain/>
      <paraID>4EBC6784</paraID>
      <start>36</start>
      <end>38</end>
      <status>unmodified</status>
      <modifiedWord/>
      <trackRevisions>false</trackRevisions>
    </reviewItem>
    <reviewItem>
      <errorID>82931934-6e25-46b5-b89b-153a06de765e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124A7F1E</paraID>
      <start>61</start>
      <end>62</end>
      <status>unmodified</status>
      <modifiedWord/>
      <trackRevisions>false</trackRevisions>
    </reviewItem>
    <reviewItem>
      <errorID>52fb0ffb-f14c-4bc0-a46a-94a1ff029321</errorID>
      <errorWord>（</errorWord>
      <group>L1_Format</group>
      <groupName>格式问题</groupName>
      <ability>L2_HalfPunc</ability>
      <abilityName>全半角检查</abilityName>
      <candidateList>
        <item>(</item>
      </candidateList>
      <explain>文本全半角错误。</explain>
      <paraID>5089272E</paraID>
      <start>15</start>
      <end>16</end>
      <status>unmodified</status>
      <modifiedWord/>
      <trackRevisions>false</trackRevisions>
    </reviewItem>
    <reviewItem>
      <errorID>76fefd2a-b3ba-419a-bea5-a1a1ad85aa67</errorID>
      <errorWord>）</errorWord>
      <group>L1_Format</group>
      <groupName>格式问题</groupName>
      <ability>L2_HalfPunc</ability>
      <abilityName>全半角检查</abilityName>
      <candidateList>
        <item>)</item>
      </candidateList>
      <explain>文本全半角错误。</explain>
      <paraID>5089272E</paraID>
      <start>18</start>
      <end>19</end>
      <status>unmodified</status>
      <modifiedWord/>
      <trackRevisions>false</trackRevisions>
    </reviewItem>
    <reviewItem>
      <errorID>e838e0af-616f-4b77-af0b-9ccaecda8f8b</errorID>
      <errorWord>（</errorWord>
      <group>L1_Format</group>
      <groupName>格式问题</groupName>
      <ability>L2_HalfPunc</ability>
      <abilityName>全半角检查</abilityName>
      <candidateList>
        <item>(</item>
      </candidateList>
      <explain>文本全半角错误。</explain>
      <paraID>63D79E38</paraID>
      <start>15</start>
      <end>16</end>
      <status>unmodified</status>
      <modifiedWord/>
      <trackRevisions>false</trackRevisions>
    </reviewItem>
    <reviewItem>
      <errorID>484b86cf-c398-4cce-bcba-c9579a4fb6ee</errorID>
      <errorWord>）</errorWord>
      <group>L1_Format</group>
      <groupName>格式问题</groupName>
      <ability>L2_HalfPunc</ability>
      <abilityName>全半角检查</abilityName>
      <candidateList>
        <item>)</item>
      </candidateList>
      <explain>文本全半角错误。</explain>
      <paraID>63D79E38</paraID>
      <start>18</start>
      <end>19</end>
      <status>unmodified</status>
      <modifiedWord/>
      <trackRevisions>false</trackRevisions>
    </reviewItem>
    <reviewItem>
      <errorID>33b3bb2a-c643-4a2e-ad45-ff9ee0c45ceb</errorID>
      <errorWord>（</errorWord>
      <group>L1_Format</group>
      <groupName>格式问题</groupName>
      <ability>L2_HalfPunc</ability>
      <abilityName>全半角检查</abilityName>
      <candidateList>
        <item>(</item>
      </candidateList>
      <explain>文本全半角错误。</explain>
      <paraID>38F3737A</paraID>
      <start>15</start>
      <end>16</end>
      <status>unmodified</status>
      <modifiedWord/>
      <trackRevisions>false</trackRevisions>
    </reviewItem>
    <reviewItem>
      <errorID>28a4b341-024a-497e-a9dc-8f7dab30d0a9</errorID>
      <errorWord>）</errorWord>
      <group>L1_Format</group>
      <groupName>格式问题</groupName>
      <ability>L2_HalfPunc</ability>
      <abilityName>全半角检查</abilityName>
      <candidateList>
        <item>)</item>
      </candidateList>
      <explain>文本全半角错误。</explain>
      <paraID>38F3737A</paraID>
      <start>18</start>
      <end>19</end>
      <status>unmodified</status>
      <modifiedWord/>
      <trackRevisions>false</trackRevisions>
    </reviewItem>
    <reviewItem>
      <errorID>19f06a8b-1695-46fa-b24f-1425fdb97e19</errorID>
      <errorWord>（</errorWord>
      <group>L1_Format</group>
      <groupName>格式问题</groupName>
      <ability>L2_HalfPunc</ability>
      <abilityName>全半角检查</abilityName>
      <candidateList>
        <item>(</item>
      </candidateList>
      <explain>文本全半角错误。</explain>
      <paraID>2D931CCC</paraID>
      <start>15</start>
      <end>16</end>
      <status>unmodified</status>
      <modifiedWord/>
      <trackRevisions>false</trackRevisions>
    </reviewItem>
    <reviewItem>
      <errorID>c85df98c-7b15-4536-bf16-a4da2970bb02</errorID>
      <errorWord>）</errorWord>
      <group>L1_Format</group>
      <groupName>格式问题</groupName>
      <ability>L2_HalfPunc</ability>
      <abilityName>全半角检查</abilityName>
      <candidateList>
        <item>)</item>
      </candidateList>
      <explain>文本全半角错误。</explain>
      <paraID>2D931CCC</paraID>
      <start>18</start>
      <end>19</end>
      <status>unmodified</status>
      <modifiedWord/>
      <trackRevisions>false</trackRevisions>
    </reviewItem>
    <reviewItem>
      <errorID>16875d9c-e00f-4823-9485-192f63672ef2</errorID>
      <errorWord>（</errorWord>
      <group>L1_Format</group>
      <groupName>格式问题</groupName>
      <ability>L2_HalfPunc</ability>
      <abilityName>全半角检查</abilityName>
      <candidateList>
        <item>(</item>
      </candidateList>
      <explain>文本全半角错误。</explain>
      <paraID>1D49518E</paraID>
      <start>15</start>
      <end>16</end>
      <status>unmodified</status>
      <modifiedWord/>
      <trackRevisions>false</trackRevisions>
    </reviewItem>
    <reviewItem>
      <errorID>ee4e6972-13c0-4963-a23f-bf452067aa36</errorID>
      <errorWord>）</errorWord>
      <group>L1_Format</group>
      <groupName>格式问题</groupName>
      <ability>L2_HalfPunc</ability>
      <abilityName>全半角检查</abilityName>
      <candidateList>
        <item>)</item>
      </candidateList>
      <explain>文本全半角错误。</explain>
      <paraID>1D49518E</paraID>
      <start>18</start>
      <end>19</end>
      <status>unmodified</status>
      <modifiedWord/>
      <trackRevisions>false</trackRevisions>
    </reviewItem>
    <reviewItem>
      <errorID>a1e24080-b701-4db4-9253-5f7b2adb2c91</errorID>
      <errorWord>（</errorWord>
      <group>L1_Format</group>
      <groupName>格式问题</groupName>
      <ability>L2_HalfPunc</ability>
      <abilityName>全半角检查</abilityName>
      <candidateList>
        <item>(</item>
      </candidateList>
      <explain>文本全半角错误。</explain>
      <paraID>2995938E</paraID>
      <start>15</start>
      <end>16</end>
      <status>unmodified</status>
      <modifiedWord/>
      <trackRevisions>false</trackRevisions>
    </reviewItem>
    <reviewItem>
      <errorID>7fb7f081-23bc-4934-8e37-70677ecb037f</errorID>
      <errorWord>）</errorWord>
      <group>L1_Format</group>
      <groupName>格式问题</groupName>
      <ability>L2_HalfPunc</ability>
      <abilityName>全半角检查</abilityName>
      <candidateList>
        <item>)</item>
      </candidateList>
      <explain>文本全半角错误。</explain>
      <paraID>2995938E</paraID>
      <start>18</start>
      <end>19</end>
      <status>unmodified</status>
      <modifiedWord/>
      <trackRevisions>false</trackRevisions>
    </reviewItem>
    <reviewItem>
      <errorID>0c409e15-e0f3-432a-86b3-bd970be5ee00</errorID>
      <errorWord>（</errorWord>
      <group>L1_Format</group>
      <groupName>格式问题</groupName>
      <ability>L2_HalfPunc</ability>
      <abilityName>全半角检查</abilityName>
      <candidateList>
        <item>(</item>
      </candidateList>
      <explain>文本全半角错误。</explain>
      <paraID>48A698DD</paraID>
      <start>15</start>
      <end>16</end>
      <status>unmodified</status>
      <modifiedWord/>
      <trackRevisions>false</trackRevisions>
    </reviewItem>
    <reviewItem>
      <errorID>33c63e10-b661-446f-ad25-888af6958ad1</errorID>
      <errorWord>）</errorWord>
      <group>L1_Format</group>
      <groupName>格式问题</groupName>
      <ability>L2_HalfPunc</ability>
      <abilityName>全半角检查</abilityName>
      <candidateList>
        <item>)</item>
      </candidateList>
      <explain>文本全半角错误。</explain>
      <paraID>48A698DD</paraID>
      <start>18</start>
      <end>19</end>
      <status>unmodified</status>
      <modifiedWord/>
      <trackRevisions>false</trackRevisions>
    </reviewItem>
    <reviewItem>
      <errorID>fdcbe8ad-1535-4bfa-915a-0673b7e3980d</errorID>
      <errorWord>（</errorWord>
      <group>L1_Format</group>
      <groupName>格式问题</groupName>
      <ability>L2_HalfPunc</ability>
      <abilityName>全半角检查</abilityName>
      <candidateList>
        <item>(</item>
      </candidateList>
      <explain>文本全半角错误。</explain>
      <paraID> 4DE7F47</paraID>
      <start>15</start>
      <end>16</end>
      <status>unmodified</status>
      <modifiedWord/>
      <trackRevisions>false</trackRevisions>
    </reviewItem>
    <reviewItem>
      <errorID>5a7c4f72-7506-48d0-8e83-973ebfee7f71</errorID>
      <errorWord>）</errorWord>
      <group>L1_Format</group>
      <groupName>格式问题</groupName>
      <ability>L2_HalfPunc</ability>
      <abilityName>全半角检查</abilityName>
      <candidateList>
        <item>)</item>
      </candidateList>
      <explain>文本全半角错误。</explain>
      <paraID> 4DE7F47</paraID>
      <start>18</start>
      <end>19</end>
      <status>unmodified</status>
      <modifiedWord/>
      <trackRevisions>false</trackRevisions>
    </reviewItem>
    <reviewItem>
      <errorID>441e7d29-18ea-4b16-a032-14ccde1a4cf5</errorID>
      <errorWord>（</errorWord>
      <group>L1_Format</group>
      <groupName>格式问题</groupName>
      <ability>L2_HalfPunc</ability>
      <abilityName>全半角检查</abilityName>
      <candidateList>
        <item>(</item>
      </candidateList>
      <explain>文本全半角错误。</explain>
      <paraID>315B97BE</paraID>
      <start>15</start>
      <end>16</end>
      <status>unmodified</status>
      <modifiedWord/>
      <trackRevisions>false</trackRevisions>
    </reviewItem>
    <reviewItem>
      <errorID>044088b5-8662-4212-9aa1-ffd375e0834f</errorID>
      <errorWord>）</errorWord>
      <group>L1_Format</group>
      <groupName>格式问题</groupName>
      <ability>L2_HalfPunc</ability>
      <abilityName>全半角检查</abilityName>
      <candidateList>
        <item>)</item>
      </candidateList>
      <explain>文本全半角错误。</explain>
      <paraID>315B97BE</paraID>
      <start>18</start>
      <end>19</end>
      <status>unmodified</status>
      <modifiedWord/>
      <trackRevisions>false</trackRevisions>
    </reviewItem>
    <reviewItem>
      <errorID>25b83fd2-ad41-4db2-93b2-19872d7ab925</errorID>
      <errorWord>（</errorWord>
      <group>L1_Format</group>
      <groupName>格式问题</groupName>
      <ability>L2_HalfPunc</ability>
      <abilityName>全半角检查</abilityName>
      <candidateList>
        <item>(</item>
      </candidateList>
      <explain>文本全半角错误。</explain>
      <paraID>68DB4CC9</paraID>
      <start>15</start>
      <end>16</end>
      <status>unmodified</status>
      <modifiedWord/>
      <trackRevisions>false</trackRevisions>
    </reviewItem>
    <reviewItem>
      <errorID>9df0cacd-d1bd-4762-a5c3-8d18fb4a8608</errorID>
      <errorWord>）</errorWord>
      <group>L1_Format</group>
      <groupName>格式问题</groupName>
      <ability>L2_HalfPunc</ability>
      <abilityName>全半角检查</abilityName>
      <candidateList>
        <item>)</item>
      </candidateList>
      <explain>文本全半角错误。</explain>
      <paraID>68DB4CC9</paraID>
      <start>18</start>
      <end>19</end>
      <status>unmodified</status>
      <modifiedWord/>
      <trackRevisions>false</trackRevisions>
    </reviewItem>
    <reviewItem>
      <errorID>62be338f-90c1-4be3-9622-463a811fb8aa</errorID>
      <errorWord>（</errorWord>
      <group>L1_Format</group>
      <groupName>格式问题</groupName>
      <ability>L2_HalfPunc</ability>
      <abilityName>全半角检查</abilityName>
      <candidateList>
        <item>(</item>
      </candidateList>
      <explain>文本全半角错误。</explain>
      <paraID>42774AEA</paraID>
      <start>15</start>
      <end>16</end>
      <status>unmodified</status>
      <modifiedWord/>
      <trackRevisions>false</trackRevisions>
    </reviewItem>
    <reviewItem>
      <errorID>4d12e4b0-f283-4336-9275-ad6a72b9a224</errorID>
      <errorWord>）</errorWord>
      <group>L1_Format</group>
      <groupName>格式问题</groupName>
      <ability>L2_HalfPunc</ability>
      <abilityName>全半角检查</abilityName>
      <candidateList>
        <item>)</item>
      </candidateList>
      <explain>文本全半角错误。</explain>
      <paraID>42774AEA</paraID>
      <start>18</start>
      <end>19</end>
      <status>unmodified</status>
      <modifiedWord/>
      <trackRevisions>false</trackRevisions>
    </reviewItem>
    <reviewItem>
      <errorID>0f0af1ed-eda9-47b4-ae2e-65873291a54b</errorID>
      <errorWord>（</errorWord>
      <group>L1_Format</group>
      <groupName>格式问题</groupName>
      <ability>L2_HalfPunc</ability>
      <abilityName>全半角检查</abilityName>
      <candidateList>
        <item>(</item>
      </candidateList>
      <explain>文本全半角错误。</explain>
      <paraID>3B5F2E0B</paraID>
      <start>15</start>
      <end>16</end>
      <status>unmodified</status>
      <modifiedWord/>
      <trackRevisions>false</trackRevisions>
    </reviewItem>
    <reviewItem>
      <errorID>9d24fd04-6e5b-4a2c-98e0-eefac1ed51e4</errorID>
      <errorWord>）</errorWord>
      <group>L1_Format</group>
      <groupName>格式问题</groupName>
      <ability>L2_HalfPunc</ability>
      <abilityName>全半角检查</abilityName>
      <candidateList>
        <item>)</item>
      </candidateList>
      <explain>文本全半角错误。</explain>
      <paraID>3B5F2E0B</paraID>
      <start>18</start>
      <end>19</end>
      <status>unmodified</status>
      <modifiedWord/>
      <trackRevisions>false</trackRevisions>
    </reviewItem>
    <reviewItem>
      <errorID>d74a826f-1a10-408e-bd9d-bef4a4f97ebb</errorID>
      <errorWord>(</errorWord>
      <group>L1_Format</group>
      <groupName>格式问题</groupName>
      <ability>L2_HalfPunc</ability>
      <abilityName>全半角检查</abilityName>
      <candidateList>
        <item>（</item>
      </candidateList>
      <explain>文本全半角错误。</explain>
      <paraID>4877AA22</paraID>
      <start>25</start>
      <end>26</end>
      <status>unmodified</status>
      <modifiedWord/>
      <trackRevisions>false</trackRevisions>
    </reviewItem>
    <reviewItem>
      <errorID>3f131982-0528-4991-b345-57ed1e331199</errorID>
      <errorWord>)</errorWord>
      <group>L1_Format</group>
      <groupName>格式问题</groupName>
      <ability>L2_HalfPunc</ability>
      <abilityName>全半角检查</abilityName>
      <candidateList>
        <item>）</item>
      </candidateList>
      <explain>文本全半角错误。</explain>
      <paraID>4877AA22</paraID>
      <start>37</start>
      <end>38</end>
      <status>unmodified</status>
      <modifiedWord/>
      <trackRevisions>false</trackRevisions>
    </reviewItem>
    <reviewItem>
      <errorID>e707802a-a42d-4d1a-a2df-446a1e76c015</errorID>
      <errorWord>IV类</errorWord>
      <group>L1_Knowledge</group>
      <groupName>知识性问题</groupName>
      <ability>L2_Knowledge</ability>
      <abilityName>其他知识</abilityName>
      <candidateList>
        <item>Ⅳ类</item>
      </candidateList>
      <explain/>
      <paraID>5933382F</paraID>
      <start>80</start>
      <end>83</end>
      <status>unmodified</status>
      <modifiedWord/>
      <trackRevisions>false</trackRevisions>
    </reviewItem>
    <reviewItem>
      <errorID>740f7ecd-d816-474b-b372-1c78bd7fee0f</errorID>
      <errorWord>IV类</errorWord>
      <group>L1_Knowledge</group>
      <groupName>知识性问题</groupName>
      <ability>L2_Knowledge</ability>
      <abilityName>其他知识</abilityName>
      <candidateList>
        <item>Ⅳ类</item>
      </candidateList>
      <explain/>
      <paraID>512CD865</paraID>
      <start>20</start>
      <end>23</end>
      <status>unmodified</status>
      <modifiedWord/>
      <trackRevisions>false</trackRevisions>
    </reviewItem>
    <reviewItem>
      <errorID>ea56c922-0094-416b-8c7d-7fab1933a4e8</errorID>
      <errorWord>II类</errorWord>
      <group>L1_Knowledge</group>
      <groupName>知识性问题</groupName>
      <ability>L2_Knowledge</ability>
      <abilityName>其他知识</abilityName>
      <candidateList>
        <item>Ⅱ类</item>
      </candidateList>
      <explain/>
      <paraID>678AC42D</paraID>
      <start>128</start>
      <end>131</end>
      <status>unmodified</status>
      <modifiedWord/>
      <trackRevisions>false</trackRevisions>
    </reviewItem>
    <reviewItem>
      <errorID>675ec649-c83f-4dd5-9a0c-1ac1cb5b0660</errorID>
      <errorWord>II类</errorWord>
      <group>L1_Knowledge</group>
      <groupName>知识性问题</groupName>
      <ability>L2_Knowledge</ability>
      <abilityName>其他知识</abilityName>
      <candidateList>
        <item>Ⅱ类</item>
      </candidateList>
      <explain/>
      <paraID>678AC42D</paraID>
      <start>142</start>
      <end>145</end>
      <status>unmodified</status>
      <modifiedWord/>
      <trackRevisions>false</trackRevisions>
    </reviewItem>
    <reviewItem>
      <errorID>8738aa63-f97a-4f70-9340-f81f93fb75de</errorID>
      <errorWord>IV类</errorWord>
      <group>L1_Knowledge</group>
      <groupName>知识性问题</groupName>
      <ability>L2_Knowledge</ability>
      <abilityName>其他知识</abilityName>
      <candidateList>
        <item>Ⅳ类</item>
      </candidateList>
      <explain/>
      <paraID>6D1D6553</paraID>
      <start>48</start>
      <end>51</end>
      <status>unmodified</status>
      <modifiedWord/>
      <trackRevisions>false</trackRevisions>
    </reviewItem>
    <reviewItem>
      <errorID>9e0dddd6-10fb-4c3b-b596-fc2554703e15</errorID>
      <errorWord>IV类</errorWord>
      <group>L1_Knowledge</group>
      <groupName>知识性问题</groupName>
      <ability>L2_Knowledge</ability>
      <abilityName>其他知识</abilityName>
      <candidateList>
        <item>Ⅳ类</item>
      </candidateList>
      <explain/>
      <paraID>6D1D6553</paraID>
      <start>127</start>
      <end>130</end>
      <status>unmodified</status>
      <modifiedWord/>
      <trackRevisions>false</trackRevisions>
    </reviewItem>
    <reviewItem>
      <errorID>0f477b2d-d14e-40a1-afcf-977007fe6614</errorID>
      <errorWord>(</errorWord>
      <group>L1_Format</group>
      <groupName>格式问题</groupName>
      <ability>L2_HalfPunc</ability>
      <abilityName>全半角检查</abilityName>
      <candidateList>
        <item>（</item>
      </candidateList>
      <explain>文本全半角错误。</explain>
      <paraID>7A5CDEFD</paraID>
      <start>181</start>
      <end>182</end>
      <status>unmodified</status>
      <modifiedWord/>
      <trackRevisions>false</trackRevisions>
    </reviewItem>
    <reviewItem>
      <errorID>f54ae49b-2e47-49de-a1a0-406af4b00c1a</errorID>
      <errorWord>)</errorWord>
      <group>L1_Format</group>
      <groupName>格式问题</groupName>
      <ability>L2_HalfPunc</ability>
      <abilityName>全半角检查</abilityName>
      <candidateList>
        <item>）</item>
      </candidateList>
      <explain>文本全半角错误。</explain>
      <paraID>7A5CDEFD</paraID>
      <start>194</start>
      <end>195</end>
      <status>unmodified</status>
      <modifiedWord/>
      <trackRevisions>false</trackRevisions>
    </reviewItem>
    <reviewItem>
      <errorID>77ddf7a1-b2d4-4583-8f48-136d3bfc68eb</errorID>
      <errorWord>（</errorWord>
      <group>L1_Format</group>
      <groupName>格式问题</groupName>
      <ability>L2_HalfPunc</ability>
      <abilityName>全半角检查</abilityName>
      <candidateList>
        <item>(</item>
      </candidateList>
      <explain>文本全半角错误。</explain>
      <paraID>3739CB2A</paraID>
      <start>1</start>
      <end>2</end>
      <status>unmodified</status>
      <modifiedWord/>
      <trackRevisions>false</trackRevisions>
    </reviewItem>
    <reviewItem>
      <errorID>d28861d7-10d6-494c-b6f0-dea25005f471</errorID>
      <errorWord>）</errorWord>
      <group>L1_Format</group>
      <groupName>格式问题</groupName>
      <ability>L2_HalfPunc</ability>
      <abilityName>全半角检查</abilityName>
      <candidateList>
        <item>)</item>
      </candidateList>
      <explain>文本全半角错误。</explain>
      <paraID>3739CB2A</paraID>
      <start>3</start>
      <end>4</end>
      <status>unmodified</status>
      <modifiedWord/>
      <trackRevisions>false</trackRevisions>
    </reviewItem>
    <reviewItem>
      <errorID>ae3ec3b2-ae43-4f9d-954f-8db8e01f0e39</errorID>
      <errorWord>(</errorWord>
      <group>L1_Format</group>
      <groupName>格式问题</groupName>
      <ability>L2_HalfPunc</ability>
      <abilityName>全半角检查</abilityName>
      <candidateList>
        <item>（</item>
      </candidateList>
      <explain>文本全半角错误。</explain>
      <paraID>407329C7</paraID>
      <start>125</start>
      <end>126</end>
      <status>unmodified</status>
      <modifiedWord/>
      <trackRevisions>false</trackRevisions>
    </reviewItem>
    <reviewItem>
      <errorID>58699a5b-2d51-4ffb-af96-70db005d7c6c</errorID>
      <errorWord>)</errorWord>
      <group>L1_Format</group>
      <groupName>格式问题</groupName>
      <ability>L2_HalfPunc</ability>
      <abilityName>全半角检查</abilityName>
      <candidateList>
        <item>）</item>
      </candidateList>
      <explain>文本全半角错误。</explain>
      <paraID>407329C7</paraID>
      <start>138</start>
      <end>139</end>
      <status>unmodified</status>
      <modifiedWord/>
      <trackRevisions>false</trackRevisions>
    </reviewItem>
    <reviewItem>
      <errorID>5db615a2-c9eb-428d-8ede-295857637878</errorID>
      <errorWord>(</errorWord>
      <group>L1_Format</group>
      <groupName>格式问题</groupName>
      <ability>L2_HalfPunc</ability>
      <abilityName>全半角检查</abilityName>
      <candidateList>
        <item>（</item>
      </candidateList>
      <explain>文本全半角错误。</explain>
      <paraID>407329C7</paraID>
      <start>185</start>
      <end>186</end>
      <status>unmodified</status>
      <modifiedWord/>
      <trackRevisions>false</trackRevisions>
    </reviewItem>
    <reviewItem>
      <errorID>1d86839b-ddf1-41cf-95b2-af5c19636e1e</errorID>
      <errorWord>)</errorWord>
      <group>L1_Format</group>
      <groupName>格式问题</groupName>
      <ability>L2_HalfPunc</ability>
      <abilityName>全半角检查</abilityName>
      <candidateList>
        <item>）</item>
      </candidateList>
      <explain>文本全半角错误。</explain>
      <paraID>407329C7</paraID>
      <start>197</start>
      <end>198</end>
      <status>unmodified</status>
      <modifiedWord/>
      <trackRevisions>false</trackRevisions>
    </reviewItem>
    <reviewItem>
      <errorID>cf22b673-6181-4f51-9c38-91b450fd67e1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42B674B4</paraID>
      <start>0</start>
      <end>2</end>
      <status>unmodified</status>
      <modifiedWord/>
      <trackRevisions>false</trackRevisions>
    </reviewItem>
    <reviewItem>
      <errorID>fa10f373-2b33-47ac-bfe8-df17311971c1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75C6816B</paraID>
      <start>0</start>
      <end>2</end>
      <status>unmodified</status>
      <modifiedWord/>
      <trackRevisions>false</trackRevisions>
    </reviewItem>
    <reviewItem>
      <errorID>b339e285-90a3-4566-b9b2-c6c91d7a69dd</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397BAACC</paraID>
      <start>0</start>
      <end>2</end>
      <status>unmodified</status>
      <modifiedWord/>
      <trackRevisions>false</trackRevisions>
    </reviewItem>
    <reviewItem>
      <errorID>9846b49a-a4e8-431b-8325-8ab41654ba3a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6C25A575</paraID>
      <start>0</start>
      <end>2</end>
      <status>unmodified</status>
      <modifiedWord/>
      <trackRevisions>false</trackRevisions>
    </reviewItem>
    <reviewItem>
      <errorID>9569b4c1-aeb2-42e8-bb3d-566e23d6a2e7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16D8DC7A</paraID>
      <start>0</start>
      <end>2</end>
      <status>unmodified</status>
      <modifiedWord/>
      <trackRevisions>false</trackRevisions>
    </reviewItem>
    <reviewItem>
      <errorID>ac0dd434-1ee5-4d5a-aadf-d66133b2ae1b</errorID>
      <errorWord>输送输送</errorWord>
      <group>L1_Word</group>
      <groupName>字词问题</groupName>
      <ability>L2_Typo</ability>
      <abilityName>字词错误</abilityName>
      <candidateList>
        <item>输送</item>
      </candidateList>
      <explain/>
      <paraID>7E6E669C</paraID>
      <start>51</start>
      <end>55</end>
      <status>unmodified</status>
      <modifiedWord/>
      <trackRevisions>false</trackRevisions>
    </reviewItem>
    <reviewItem>
      <errorID>758e8863-ae7f-4add-adde-cb5dc937d014</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18779450</paraID>
      <start>0</start>
      <end>2</end>
      <status>unmodified</status>
      <modifiedWord/>
      <trackRevisions>false</trackRevisions>
    </reviewItem>
    <reviewItem>
      <errorID>e50398c7-2577-47b4-980b-29c8c2e99102</errorID>
      <errorWord>’</errorWord>
      <group>L1_Punc</group>
      <groupName>标点问题</groupName>
      <ability>L2_Punc</ability>
      <abilityName>标点符号检查</abilityName>
      <candidateList/>
      <explain/>
      <paraID>7287D622</paraID>
      <start>5</start>
      <end>6</end>
      <status>unmodified</status>
      <modifiedWord/>
      <trackRevisions>false</trackRevisions>
    </reviewItem>
    <reviewItem>
      <errorID>11011c90-710c-493a-97e0-7d4000ef82bc</errorID>
      <errorWord>v：</errorWord>
      <group>L1_Format</group>
      <groupName>格式问题</groupName>
      <ability>L2_Ordinal</ability>
      <abilityName>序号格式</abilityName>
      <candidateList>
        <item>v.</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7304A982</paraID>
      <start>0</start>
      <end>2</end>
      <status>unmodified</status>
      <modifiedWord/>
      <trackRevisions>false</trackRevisions>
    </reviewItem>
    <reviewItem>
      <errorID>10fc2fde-2c48-4a4f-bfd3-7212ac19bb71</errorID>
      <errorWord>后的</errorWord>
      <group>L1_Word</group>
      <groupName>字词问题</groupName>
      <ability>L2_Typo</ability>
      <abilityName>字词错误</abilityName>
      <candidateList>
        <item>后</item>
      </candidateList>
      <explain>❶君主的妻子：皇～｜～妃。❷古代称君主：商之先～。❸（Hòu）〈名〉姓。</explain>
      <paraID>697A5E44</paraID>
      <start>48</start>
      <end>50</end>
      <status>unmodified</status>
      <modifiedWord/>
      <trackRevisions>false</trackRevisions>
    </reviewItem>
    <reviewItem>
      <errorID>d09aa7e1-fd59-4f72-9fbc-9cd01be37ff9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623389A3</paraID>
      <start>0</start>
      <end>2</end>
      <status>unmodified</status>
      <modifiedWord/>
      <trackRevisions>false</trackRevisions>
    </reviewItem>
    <reviewItem>
      <errorID>7bedf3e4-3780-4969-a729-65c335aa687b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4C47F71F</paraID>
      <start>0</start>
      <end>2</end>
      <status>unmodified</status>
      <modifiedWord/>
      <trackRevisions>false</trackRevisions>
    </reviewItem>
    <reviewItem>
      <errorID>0e638c11-4cce-438c-8836-a2cb739b1632</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2729390</paraID>
      <start>0</start>
      <end>2</end>
      <status>unmodified</status>
      <modifiedWord/>
      <trackRevisions>false</trackRevisions>
    </reviewItem>
    <reviewItem>
      <errorID>41d79e97-ad93-4c17-aa06-0e0acb00a0c0</errorID>
      <errorWord>（</errorWord>
      <group>L1_Format</group>
      <groupName>格式问题</groupName>
      <ability>L2_HalfPunc</ability>
      <abilityName>全半角检查</abilityName>
      <candidateList>
        <item>(</item>
      </candidateList>
      <explain>文本全半角错误。</explain>
      <paraID>694B33FA</paraID>
      <start>0</start>
      <end>1</end>
      <status>unmodified</status>
      <modifiedWord/>
      <trackRevisions>false</trackRevisions>
    </reviewItem>
    <reviewItem>
      <errorID>3db02dc7-0070-410e-8db7-1203dacd0488</errorID>
      <errorWord>）</errorWord>
      <group>L1_Format</group>
      <groupName>格式问题</groupName>
      <ability>L2_HalfPunc</ability>
      <abilityName>全半角检查</abilityName>
      <candidateList>
        <item>)</item>
      </candidateList>
      <explain>文本全半角错误。</explain>
      <paraID>694B33FA</paraID>
      <start>9</start>
      <end>10</end>
      <status>unmodified</status>
      <modifiedWord/>
      <trackRevisions>false</trackRevisions>
    </reviewItem>
    <reviewItem>
      <errorID>88d46346-671d-486c-b5f6-778950e78c36</errorID>
      <errorWord>（</errorWord>
      <group>L1_Format</group>
      <groupName>格式问题</groupName>
      <ability>L2_HalfPunc</ability>
      <abilityName>全半角检查</abilityName>
      <candidateList>
        <item>(</item>
      </candidateList>
      <explain>文本全半角错误。</explain>
      <paraID>3B235229</paraID>
      <start>0</start>
      <end>1</end>
      <status>unmodified</status>
      <modifiedWord/>
      <trackRevisions>false</trackRevisions>
    </reviewItem>
    <reviewItem>
      <errorID>99da7e49-806a-4b2a-9bbe-c39e2382511f</errorID>
      <errorWord>）</errorWord>
      <group>L1_Format</group>
      <groupName>格式问题</groupName>
      <ability>L2_HalfPunc</ability>
      <abilityName>全半角检查</abilityName>
      <candidateList>
        <item>)</item>
      </candidateList>
      <explain>文本全半角错误。</explain>
      <paraID>3B235229</paraID>
      <start>10</start>
      <end>11</end>
      <status>unmodified</status>
      <modifiedWord/>
      <trackRevisions>false</trackRevisions>
    </reviewItem>
    <reviewItem>
      <errorID>b0c88e92-1fa6-4861-806c-47a6d61d47d8</errorID>
      <errorWord>（</errorWord>
      <group>L1_Format</group>
      <groupName>格式问题</groupName>
      <ability>L2_HalfPunc</ability>
      <abilityName>全半角检查</abilityName>
      <candidateList>
        <item>(</item>
      </candidateList>
      <explain>文本全半角错误。</explain>
      <paraID>52AEFC2B</paraID>
      <start>0</start>
      <end>1</end>
      <status>unmodified</status>
      <modifiedWord/>
      <trackRevisions>false</trackRevisions>
    </reviewItem>
    <reviewItem>
      <errorID>09df1da9-62f4-4970-b84c-2e639dfb0cb7</errorID>
      <errorWord>）</errorWord>
      <group>L1_Format</group>
      <groupName>格式问题</groupName>
      <ability>L2_HalfPunc</ability>
      <abilityName>全半角检查</abilityName>
      <candidateList>
        <item>)</item>
      </candidateList>
      <explain>文本全半角错误。</explain>
      <paraID>52AEFC2B</paraID>
      <start>8</start>
      <end>9</end>
      <status>unmodified</status>
      <modifiedWord/>
      <trackRevisions>false</trackRevisions>
    </reviewItem>
    <reviewItem>
      <errorID>806cb752-3f1a-48f3-a548-c99e07de3be9</errorID>
      <errorWord>（</errorWord>
      <group>L1_Format</group>
      <groupName>格式问题</groupName>
      <ability>L2_HalfPunc</ability>
      <abilityName>全半角检查</abilityName>
      <candidateList>
        <item>(</item>
      </candidateList>
      <explain>文本全半角错误。</explain>
      <paraID>5B9E695D</paraID>
      <start>0</start>
      <end>1</end>
      <status>unmodified</status>
      <modifiedWord/>
      <trackRevisions>false</trackRevisions>
    </reviewItem>
    <reviewItem>
      <errorID>95598a26-396a-46af-84b3-1c45ae006b31</errorID>
      <errorWord>）</errorWord>
      <group>L1_Format</group>
      <groupName>格式问题</groupName>
      <ability>L2_HalfPunc</ability>
      <abilityName>全半角检查</abilityName>
      <candidateList>
        <item>)</item>
      </candidateList>
      <explain>文本全半角错误。</explain>
      <paraID>5B9E695D</paraID>
      <start>7</start>
      <end>8</end>
      <status>unmodified</status>
      <modifiedWord/>
      <trackRevisions>false</trackRevisions>
    </reviewItem>
    <reviewItem>
      <errorID>19d9f4af-b294-4676-8b9f-3e4c778d9306</errorID>
      <errorWord>)</errorWord>
      <group>L1_Format</group>
      <groupName>格式问题</groupName>
      <ability>L2_HalfPunc</ability>
      <abilityName>全半角检查</abilityName>
      <candidateList>
        <item>）</item>
      </candidateList>
      <explain>文本全半角错误。</explain>
      <paraID>11DB5AAA</paraID>
      <start>64</start>
      <end>65</end>
      <status>unmodified</status>
      <modifiedWord/>
      <trackRevisions>false</trackRevisions>
    </reviewItem>
    <reviewItem>
      <errorID>087770d2-042c-4159-a132-8dbf2a1ecad0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1E3CD9D0</paraID>
      <start>0</start>
      <end>2</end>
      <status>unmodified</status>
      <modifiedWord/>
      <trackRevisions>false</trackRevisions>
    </reviewItem>
    <reviewItem>
      <errorID>ea10b9fe-c21f-4e97-81ef-d8ae31a5932d</errorID>
      <errorWord>（</errorWord>
      <group>L1_Format</group>
      <groupName>格式问题</groupName>
      <ability>L2_HalfPunc</ability>
      <abilityName>全半角检查</abilityName>
      <candidateList>
        <item>(</item>
      </candidateList>
      <explain>文本全半角错误。</explain>
      <paraID>713CDFCC</paraID>
      <start>12</start>
      <end>13</end>
      <status>unmodified</status>
      <modifiedWord/>
      <trackRevisions>false</trackRevisions>
    </reviewItem>
    <reviewItem>
      <errorID>7ee375d2-8290-4e3d-b334-99699052286d</errorID>
      <errorWord>）</errorWord>
      <group>L1_Format</group>
      <groupName>格式问题</groupName>
      <ability>L2_HalfPunc</ability>
      <abilityName>全半角检查</abilityName>
      <candidateList>
        <item>)</item>
      </candidateList>
      <explain>文本全半角错误。</explain>
      <paraID>713CDFCC</paraID>
      <start>14</start>
      <end>15</end>
      <status>unmodified</status>
      <modifiedWord/>
      <trackRevisions>false</trackRevisions>
    </reviewItem>
    <reviewItem>
      <errorID>1cb1f1a6-1b4c-470a-a226-37c167c6f898</errorID>
      <errorWord>（</errorWord>
      <group>L1_Format</group>
      <groupName>格式问题</groupName>
      <ability>L2_HalfPunc</ability>
      <abilityName>全半角检查</abilityName>
      <candidateList>
        <item>(</item>
      </candidateList>
      <explain>文本全半角错误。</explain>
      <paraID>713CDFCC</paraID>
      <start>16</start>
      <end>17</end>
      <status>unmodified</status>
      <modifiedWord/>
      <trackRevisions>false</trackRevisions>
    </reviewItem>
    <reviewItem>
      <errorID>5acd6a6d-02fb-4a43-9653-89a67f70e5a3</errorID>
      <errorWord>）</errorWord>
      <group>L1_Format</group>
      <groupName>格式问题</groupName>
      <ability>L2_HalfPunc</ability>
      <abilityName>全半角检查</abilityName>
      <candidateList>
        <item>)</item>
      </candidateList>
      <explain>文本全半角错误。</explain>
      <paraID>713CDFCC</paraID>
      <start>22</start>
      <end>23</end>
      <status>unmodified</status>
      <modifiedWord/>
      <trackRevisions>false</trackRevisions>
    </reviewItem>
    <reviewItem>
      <errorID>7f638a92-ae1c-4261-8d25-a3e0122db252</errorID>
      <errorWord>（</errorWord>
      <group>L1_Format</group>
      <groupName>格式问题</groupName>
      <ability>L2_HalfPunc</ability>
      <abilityName>全半角检查</abilityName>
      <candidateList>
        <item>(</item>
      </candidateList>
      <explain>文本全半角错误。</explain>
      <paraID>1D10E70B</paraID>
      <start>6</start>
      <end>7</end>
      <status>unmodified</status>
      <modifiedWord/>
      <trackRevisions>false</trackRevisions>
    </reviewItem>
    <reviewItem>
      <errorID>1765a7ea-f78b-4351-b44c-08020a6d74c6</errorID>
      <errorWord>）</errorWord>
      <group>L1_Format</group>
      <groupName>格式问题</groupName>
      <ability>L2_HalfPunc</ability>
      <abilityName>全半角检查</abilityName>
      <candidateList>
        <item>)</item>
      </candidateList>
      <explain>文本全半角错误。</explain>
      <paraID>1D10E70B</paraID>
      <start>8</start>
      <end>9</end>
      <status>unmodified</status>
      <modifiedWord/>
      <trackRevisions>false</trackRevisions>
    </reviewItem>
    <reviewItem>
      <errorID>1fb974d7-18ce-40b0-9dde-4a5f19af0d8c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59F4BC44</paraID>
      <start>0</start>
      <end>2</end>
      <status>unmodified</status>
      <modifiedWord/>
      <trackRevisions>false</trackRevisions>
    </reviewItem>
    <reviewItem>
      <errorID>e29dd528-6d90-41ba-9cfa-1456661accc0</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4CC0E706</paraID>
      <start>0</start>
      <end>2</end>
      <status>unmodified</status>
      <modifiedWord/>
      <trackRevisions>false</trackRevisions>
    </reviewItem>
    <reviewItem>
      <errorID>0ce9a2ea-acb5-4a44-b7de-29f25cd18024</errorID>
      <errorWord>（</errorWord>
      <group>L1_Punc</group>
      <groupName>标点问题</groupName>
      <ability>L2_Punc</ability>
      <abilityName>标点符号检查</abilityName>
      <candidateList/>
      <explain>同一形式括号套用。</explain>
      <paraID> 359B86B</paraID>
      <start>6</start>
      <end>7</end>
      <status>unmodified</status>
      <modifiedWord/>
      <trackRevisions>false</trackRevisions>
    </reviewItem>
    <reviewItem>
      <errorID>2bc74ca0-7358-43bb-b2de-56b79608a658</errorID>
      <errorWord>）</errorWord>
      <group>L1_Punc</group>
      <groupName>标点问题</groupName>
      <ability>L2_Punc</ability>
      <abilityName>标点符号检查</abilityName>
      <candidateList/>
      <explain>同一形式括号套用。</explain>
      <paraID> 359B86B</paraID>
      <start>8</start>
      <end>9</end>
      <status>unmodified</status>
      <modifiedWord/>
      <trackRevisions>false</trackRevisions>
    </reviewItem>
    <reviewItem>
      <errorID>7b59ffdf-0f7a-4d69-9f98-95aab1f7b58b</errorID>
      <errorWord>（</errorWord>
      <group>L1_Punc</group>
      <groupName>标点问题</groupName>
      <ability>L2_Punc</ability>
      <abilityName>标点符号检查</abilityName>
      <candidateList/>
      <explain>同一形式括号套用。</explain>
      <paraID>1833DE1B</paraID>
      <start>7</start>
      <end>8</end>
      <status>unmodified</status>
      <modifiedWord/>
      <trackRevisions>false</trackRevisions>
    </reviewItem>
    <reviewItem>
      <errorID>0d7f8528-21aa-467e-a2e2-c9a5b11a5311</errorID>
      <errorWord>）</errorWord>
      <group>L1_Punc</group>
      <groupName>标点问题</groupName>
      <ability>L2_Punc</ability>
      <abilityName>标点符号检查</abilityName>
      <candidateList/>
      <explain>同一形式括号套用。</explain>
      <paraID>1833DE1B</paraID>
      <start>9</start>
      <end>10</end>
      <status>unmodified</status>
      <modifiedWord/>
      <trackRevisions>false</trackRevisions>
    </reviewItem>
    <reviewItem>
      <errorID>7d6805ae-c315-4ae3-8c7a-f0bea9b8458a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33EE28BF</paraID>
      <start>0</start>
      <end>2</end>
      <status>unmodified</status>
      <modifiedWord/>
      <trackRevisions>false</trackRevisions>
    </reviewItem>
    <reviewItem>
      <errorID>95c5ba0f-e2d3-4655-bbf1-595fdda498ce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222477FE</paraID>
      <start>0</start>
      <end>2</end>
      <status>unmodified</status>
      <modifiedWord/>
      <trackRevisions>false</trackRevisions>
    </reviewItem>
    <reviewItem>
      <errorID>27f268e3-ed17-4099-8398-0eb6fa44a5e0</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C866B83</paraID>
      <start>0</start>
      <end>2</end>
      <status>unmodified</status>
      <modifiedWord/>
      <trackRevisions>false</trackRevisions>
    </reviewItem>
    <reviewItem>
      <errorID>8f4dcc33-966b-4e95-811f-1092c8ee0a91</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7F682FF9</paraID>
      <start>0</start>
      <end>2</end>
      <status>unmodified</status>
      <modifiedWord/>
      <trackRevisions>false</trackRevisions>
    </reviewItem>
    <reviewItem>
      <errorID>e2fee49d-40c0-4f85-a4f2-64e10280cc17</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1D1BA488</paraID>
      <start>0</start>
      <end>2</end>
      <status>unmodified</status>
      <modifiedWord/>
      <trackRevisions>false</trackRevisions>
    </reviewItem>
    <reviewItem>
      <errorID>d094f46b-27df-44b1-b944-c07758fff67e</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4561581D</paraID>
      <start>0</start>
      <end>2</end>
      <status>unmodified</status>
      <modifiedWord/>
      <trackRevisions>false</trackRevisions>
    </reviewItem>
    <reviewItem>
      <errorID>41222506-d960-4d61-a6d9-c23be39f318c</errorID>
      <errorWord>，</errorWord>
      <group>L1_Word</group>
      <groupName>字词问题</groupName>
      <ability>L2_Typo</ability>
      <abilityName>字词错误</abilityName>
      <candidateList>
        <item>，并</item>
      </candidateList>
      <explain/>
      <paraID>562E8564</paraID>
      <start>247</start>
      <end>248</end>
      <status>unmodified</status>
      <modifiedWord/>
      <trackRevisions>false</trackRevisions>
    </reviewItem>
    <reviewItem>
      <errorID>eb23a824-c07c-47d9-b698-b200259ac25f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6E7729B6</paraID>
      <start>24</start>
      <end>25</end>
      <status>unmodified</status>
      <modifiedWord/>
      <trackRevisions>false</trackRevisions>
    </reviewItem>
    <reviewItem>
      <errorID>376f3d8c-1fbb-4e02-bed8-134c7955e75b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6AC59425</paraID>
      <start>79</start>
      <end>80</end>
      <status>unmodified</status>
      <modifiedWord/>
      <trackRevisions>false</trackRevisions>
    </reviewItem>
    <reviewItem>
      <errorID>b297a015-9149-47b2-bc23-e25700d94f84</errorID>
      <errorWord>人工合成材料</errorWord>
      <group>L1_Knowledge</group>
      <groupName>知识性问题</groupName>
      <ability>L2_Term</ability>
      <abilityName>专业术语</abilityName>
      <candidateList>
        <item>土工合成材料</item>
      </candidateList>
      <explain/>
      <paraID>3914CC13</paraID>
      <start>3</start>
      <end>9</end>
      <status>unmodified</status>
      <modifiedWord/>
      <trackRevisions>false</trackRevisions>
    </reviewItem>
    <reviewItem>
      <errorID>8856c959-43c0-4867-89ac-47b7527743bb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11773FC6</paraID>
      <start>0</start>
      <end>2</end>
      <status>unmodified</status>
      <modifiedWord/>
      <trackRevisions>false</trackRevisions>
    </reviewItem>
    <reviewItem>
      <errorID>39cc343d-44d8-4f6d-8578-44adfde8f598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614707F0</paraID>
      <start>0</start>
      <end>2</end>
      <status>unmodified</status>
      <modifiedWord/>
      <trackRevisions>false</trackRevisions>
    </reviewItem>
    <reviewItem>
      <errorID>520c13a7-201b-4b48-8cf3-ff4ac712c4b9</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2EC55F43</paraID>
      <start>0</start>
      <end>2</end>
      <status>unmodified</status>
      <modifiedWord/>
      <trackRevisions>false</trackRevisions>
    </reviewItem>
    <reviewItem>
      <errorID>970f1744-c058-4fa2-a2e8-fa8680ceac62</errorID>
      <errorWord>、</errorWord>
      <group>L1_Punc</group>
      <groupName>标点问题</groupName>
      <ability>L2_Punc</ability>
      <abilityName>标点符号检查</abilityName>
      <candidateList>
        <item>.</item>
      </candidateList>
      <explain/>
      <paraID>75AB2125</paraID>
      <start>1</start>
      <end>2</end>
      <status>unmodified</status>
      <modifiedWord/>
      <trackRevisions>false</trackRevisions>
    </reviewItem>
    <reviewItem>
      <errorID>777f4c52-eb54-4548-bc27-fd9f182bd612</errorID>
      <errorWord>、</errorWord>
      <group>L1_Punc</group>
      <groupName>标点问题</groupName>
      <ability>L2_Punc</ability>
      <abilityName>标点符号检查</abilityName>
      <candidateList>
        <item>.</item>
      </candidateList>
      <explain/>
      <paraID> DD3992D</paraID>
      <start>1</start>
      <end>2</end>
      <status>unmodified</status>
      <modifiedWord/>
      <trackRevisions>false</trackRevisions>
    </reviewItem>
    <reviewItem>
      <errorID>4421990a-4c80-4f45-bb76-4c69d2e01a82</errorID>
      <errorWord>、</errorWord>
      <group>L1_Punc</group>
      <groupName>标点问题</groupName>
      <ability>L2_Punc</ability>
      <abilityName>标点符号检查</abilityName>
      <candidateList>
        <item>.</item>
      </candidateList>
      <explain/>
      <paraID>60834B1B</paraID>
      <start>1</start>
      <end>2</end>
      <status>unmodified</status>
      <modifiedWord/>
      <trackRevisions>false</trackRevisions>
    </reviewItem>
    <reviewItem>
      <errorID>fe80a951-caf9-490f-9792-219055fb83a8</errorID>
      <errorWord>泄露</errorWord>
      <group>L1_Word</group>
      <groupName>字词问题</groupName>
      <ability>L2_Typo</ability>
      <abilityName>字词错误</abilityName>
      <candidateList>
        <item>泄漏</item>
      </candidateList>
      <explain/>
      <paraID>60834B1B</paraID>
      <start>47</start>
      <end>49</end>
      <status>unmodified</status>
      <modifiedWord/>
      <trackRevisions>false</trackRevisions>
    </reviewItem>
    <reviewItem>
      <errorID>a733c225-7592-4afc-83bf-575e1dce4601</errorID>
      <errorWord>、</errorWord>
      <group>L1_Punc</group>
      <groupName>标点问题</groupName>
      <ability>L2_Punc</ability>
      <abilityName>标点符号检查</abilityName>
      <candidateList>
        <item>.</item>
      </candidateList>
      <explain/>
      <paraID>38F0E94C</paraID>
      <start>1</start>
      <end>2</end>
      <status>unmodified</status>
      <modifiedWord/>
      <trackRevisions>false</trackRevisions>
    </reviewItem>
    <reviewItem>
      <errorID>dc7166b3-cb8d-4440-8801-cdd0021c8377</errorID>
      <errorWord>作好</errorWord>
      <group>L1_Word</group>
      <groupName>字词问题</groupName>
      <ability>L2_Typo</ability>
      <abilityName>字词错误</abilityName>
      <candidateList>
        <item>做好</item>
      </candidateList>
      <explain>存在发音相同字词的误用。</explain>
      <paraID>38F0E94C</paraID>
      <start>17</start>
      <end>19</end>
      <status>unmodified</status>
      <modifiedWord/>
      <trackRevisions>false</trackRevisions>
    </reviewItem>
    <reviewItem>
      <errorID>7f6b5570-5929-43e9-9960-8fd77ac9cbf5</errorID>
      <errorWord>、</errorWord>
      <group>L1_Punc</group>
      <groupName>标点问题</groupName>
      <ability>L2_Punc</ability>
      <abilityName>标点符号检查</abilityName>
      <candidateList>
        <item>.</item>
      </candidateList>
      <explain/>
      <paraID>6F6B878B</paraID>
      <start>1</start>
      <end>2</end>
      <status>unmodified</status>
      <modifiedWord/>
      <trackRevisions>false</trackRevisions>
    </reviewItem>
    <reviewItem>
      <errorID>2bcf4f4a-d683-4a83-a7f8-dfef294e82a3</errorID>
      <errorWord>、</errorWord>
      <group>L1_Punc</group>
      <groupName>标点问题</groupName>
      <ability>L2_Punc</ability>
      <abilityName>标点符号检查</abilityName>
      <candidateList>
        <item>.</item>
      </candidateList>
      <explain/>
      <paraID> 5C6C8B5</paraID>
      <start>1</start>
      <end>2</end>
      <status>unmodified</status>
      <modifiedWord/>
      <trackRevisions>false</trackRevisions>
    </reviewItem>
    <reviewItem>
      <errorID>2adbe223-98a5-4af4-ad8a-06a7cc557da4</errorID>
      <errorWord>泄露</errorWord>
      <group>L1_Word</group>
      <groupName>字词问题</groupName>
      <ability>L2_Typo</ability>
      <abilityName>字词错误</abilityName>
      <candidateList>
        <item>泄漏</item>
      </candidateList>
      <explain>存在发音相同字词的误用。</explain>
      <paraID>24F0E504</paraID>
      <start>92</start>
      <end>94</end>
      <status>unmodified</status>
      <modifiedWord/>
      <trackRevisions>false</trackRevisions>
    </reviewItem>
    <reviewItem>
      <errorID>90962de8-1b1e-48b6-87fd-c27826755c1c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76AE7A17</paraID>
      <start>0</start>
      <end>2</end>
      <status>unmodified</status>
      <modifiedWord/>
      <trackRevisions>false</trackRevisions>
    </reviewItem>
    <reviewItem>
      <errorID>40037398-d62f-40c5-b00b-768e085cf5ec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1E1837D7</paraID>
      <start>0</start>
      <end>2</end>
      <status>unmodified</status>
      <modifiedWord/>
      <trackRevisions>false</trackRevisions>
    </reviewItem>
    <reviewItem>
      <errorID>649b0bf7-8bef-4110-815f-286ab50018c5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2C7337FA</paraID>
      <start>0</start>
      <end>2</end>
      <status>unmodified</status>
      <modifiedWord/>
      <trackRevisions>false</trackRevisions>
    </reviewItem>
    <reviewItem>
      <errorID>f2729061-5152-4039-b76d-d8613551d22a</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36A2F55A</paraID>
      <start>0</start>
      <end>2</end>
      <status>unmodified</status>
      <modifiedWord/>
      <trackRevisions>false</trackRevisions>
    </reviewItem>
    <reviewItem>
      <errorID>b88e0a22-2423-4aa9-8666-22ce311cb872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228E95EC</paraID>
      <start>0</start>
      <end>2</end>
      <status>unmodified</status>
      <modifiedWord/>
      <trackRevisions>false</trackRevisions>
    </reviewItem>
    <reviewItem>
      <errorID>1099f2b2-8338-48c7-852b-a009d3f9492f</errorID>
      <errorWord>、的</errorWord>
      <group>L1_Word</group>
      <groupName>字词问题</groupName>
      <ability>L2_Typo</ability>
      <abilityName>字词错误</abilityName>
      <candidateList>
        <item>、</item>
      </candidateList>
      <explain/>
      <paraID> F8EAEC5</paraID>
      <start>1</start>
      <end>3</end>
      <status>unmodified</status>
      <modifiedWord/>
      <trackRevisions>false</trackRevisions>
    </reviewItem>
    <reviewItem>
      <errorID>c01f146d-2e19-4550-ad1b-93f2f54d4685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7419969D</paraID>
      <start>0</start>
      <end>2</end>
      <status>unmodified</status>
      <modifiedWord/>
      <trackRevisions>false</trackRevisions>
    </reviewItem>
    <reviewItem>
      <errorID>6a08f13e-c6a0-4ae9-87ad-84d3d924b9a3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62A2056C</paraID>
      <start>0</start>
      <end>2</end>
      <status>unmodified</status>
      <modifiedWord/>
      <trackRevisions>false</trackRevisions>
    </reviewItem>
    <reviewItem>
      <errorID>b39c3d3d-6914-4099-8d8d-1a834724fbac</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49C2F4E9</paraID>
      <start>0</start>
      <end>2</end>
      <status>unmodified</status>
      <modifiedWord/>
      <trackRevisions>false</trackRevisions>
    </reviewItem>
    <reviewItem>
      <errorID>ef1ee2d0-cc36-426e-ab05-469242d9d141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475F0288</paraID>
      <start>0</start>
      <end>2</end>
      <status>unmodified</status>
      <modifiedWord/>
      <trackRevisions>false</trackRevisions>
    </reviewItem>
    <reviewItem>
      <errorID>a888d1fd-68c4-4662-a077-169d8df65ab7</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790260BD</paraID>
      <start>0</start>
      <end>2</end>
      <status>unmodified</status>
      <modifiedWord/>
      <trackRevisions>false</trackRevisions>
    </reviewItem>
    <reviewItem>
      <errorID>2ada2396-e2eb-4862-9437-1c91cd56047c</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55355D2E</paraID>
      <start>0</start>
      <end>2</end>
      <status>unmodified</status>
      <modifiedWord/>
      <trackRevisions>false</trackRevisions>
    </reviewItem>
    <reviewItem>
      <errorID>e097fdd0-8ecd-44a9-b67c-a1cddefa16ad</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63A773B1</paraID>
      <start>0</start>
      <end>2</end>
      <status>unmodified</status>
      <modifiedWord/>
      <trackRevisions>false</trackRevisions>
    </reviewItem>
    <reviewItem>
      <errorID>45336441-14f5-4ff1-ac92-6cc98de65058</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240218DD</paraID>
      <start>0</start>
      <end>2</end>
      <status>unmodified</status>
      <modifiedWord/>
      <trackRevisions>false</trackRevisions>
    </reviewItem>
    <reviewItem>
      <errorID>ffacb183-bdc3-40eb-bec8-36b33907c0d5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2A234CA4</paraID>
      <start>0</start>
      <end>2</end>
      <status>unmodified</status>
      <modifiedWord/>
      <trackRevisions>false</trackRevisions>
    </reviewItem>
    <reviewItem>
      <errorID>b4165f9b-cef3-4d48-a679-e7ed84bc28ff</errorID>
      <errorWord>按照本</errorWord>
      <group>L1_Word</group>
      <groupName>字词问题</groupName>
      <ability>L2_Typo</ability>
      <abilityName>字词错误</abilityName>
      <candidateList>
        <item>按照</item>
      </candidateList>
      <explain>〈介〉根据；依照：～法规办理｜～预定的计划执行。</explain>
      <paraID>40F400AA</paraID>
      <start>10</start>
      <end>13</end>
      <status>unmodified</status>
      <modifiedWord/>
      <trackRevisions>false</trackRevisions>
    </reviewItem>
    <reviewItem>
      <errorID>e5fd7b21-dd20-4614-880d-c38a2813700f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11718620</paraID>
      <start>0</start>
      <end>2</end>
      <status>unmodified</status>
      <modifiedWord/>
      <trackRevisions>false</trackRevisions>
    </reviewItem>
    <reviewItem>
      <errorID>7273a993-b12c-481f-87e2-67af62aee20e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54FDFCA1</paraID>
      <start>81</start>
      <end>82</end>
      <status>unmodified</status>
      <modifiedWord/>
      <trackRevisions>false</trackRevisions>
    </reviewItem>
    <reviewItem>
      <errorID>e9409311-63fe-4980-a715-106061935a7f</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54FDFCA1</paraID>
      <start>89</start>
      <end>93</end>
      <status>unmodified</status>
      <modifiedWord/>
      <trackRevisions>false</trackRevisions>
    </reviewItem>
    <reviewItem>
      <errorID>9a4cfd89-845b-49af-a891-c02bd42ac543</errorID>
      <errorWord>各水池</errorWord>
      <group>L1_Word</group>
      <groupName>字词问题</groupName>
      <ability>L2_Typo</ability>
      <abilityName>字词错误</abilityName>
      <candidateList>
        <item>隔水池</item>
      </candidateList>
      <explain/>
      <paraID>62CD3185</paraID>
      <start>19</start>
      <end>22</end>
      <status>unmodified</status>
      <modifiedWord/>
      <trackRevisions>false</trackRevisions>
    </reviewItem>
    <reviewItem>
      <errorID>be912d04-4110-4eb0-8c73-8a51386ddb64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62CD3185</paraID>
      <start>102</start>
      <end>103</end>
      <status>unmodified</status>
      <modifiedWord/>
      <trackRevisions>false</trackRevisions>
    </reviewItem>
    <reviewItem>
      <errorID>000e874a-f1d5-402d-ab38-b5f917f2b65a</errorID>
      <errorWord>环保治理</errorWord>
      <group>L1_Word</group>
      <groupName>字词问题</groupName>
      <ability>L2_Typo</ability>
      <abilityName>字词错误</abilityName>
      <candidateList>
        <item>环境治理</item>
      </candidateList>
      <explain/>
      <paraID>1F2D7F9C</paraID>
      <start>7</start>
      <end>11</end>
      <status>unmodified</status>
      <modifiedWord/>
      <trackRevisions>false</trackRevisions>
    </reviewItem>
    <reviewItem>
      <errorID>139c703e-6aa3-4f84-bbc5-8f146b0b2972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662DFE86</paraID>
      <start>0</start>
      <end>2</end>
      <status>unmodified</status>
      <modifiedWord/>
      <trackRevisions>false</trackRevisions>
    </reviewItem>
    <reviewItem>
      <errorID>bf2c22bc-f544-4c6e-9f26-d348f24b518c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78CB3E53</paraID>
      <start>0</start>
      <end>2</end>
      <status>unmodified</status>
      <modifiedWord/>
      <trackRevisions>false</trackRevisions>
    </reviewItem>
    <reviewItem>
      <errorID>bb2bcb7b-6620-4f9e-863b-01998b1f8b85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1F0C2627</paraID>
      <start>0</start>
      <end>2</end>
      <status>unmodified</status>
      <modifiedWord/>
      <trackRevisions>false</trackRevisions>
    </reviewItem>
    <reviewItem>
      <errorID>dbeb98e9-8c5b-4398-a0bb-f5964fbaecd8</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511E514A</paraID>
      <start>0</start>
      <end>2</end>
      <status>unmodified</status>
      <modifiedWord/>
      <trackRevisions>false</trackRevisions>
    </reviewItem>
    <reviewItem>
      <errorID>f1965989-4c50-4e66-920a-3a193985dc1b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3D4E3E12</paraID>
      <start>57</start>
      <end>58</end>
      <status>unmodified</status>
      <modifiedWord/>
      <trackRevisions>false</trackRevisions>
    </reviewItem>
    <reviewItem>
      <errorID>beb1b1a3-3d7f-4016-8f2e-146cd0d9687c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3D4E3E12</paraID>
      <start>106</start>
      <end>107</end>
      <status>unmodified</status>
      <modifiedWord/>
      <trackRevisions>false</trackRevisions>
    </reviewItem>
    <reviewItem>
      <errorID>aa1df208-ba58-407d-8f36-33b1ff358fe3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7145D0DD</paraID>
      <start>0</start>
      <end>2</end>
      <status>unmodified</status>
      <modifiedWord/>
      <trackRevisions>false</trackRevisions>
    </reviewItem>
    <reviewItem>
      <errorID>0c6ccf4e-292c-443b-aa8f-697cb7554923</errorID>
      <errorWord>存在</errorWord>
      <group>L1_Word</group>
      <groupName>字词问题</groupName>
      <ability>L2_Typo</ability>
      <abilityName>字词错误</abilityName>
      <candidateList>
        <item>存放</item>
      </candidateList>
      <explain/>
      <paraID>1FB8483E</paraID>
      <start>88</start>
      <end>90</end>
      <status>unmodified</status>
      <modifiedWord/>
      <trackRevisions>false</trackRevisions>
    </reviewItem>
    <reviewItem>
      <errorID>6515fdbc-f5fb-4382-9f05-9405be86ceda</errorID>
      <errorWord>，…，</errorWord>
      <group>L1_Punc</group>
      <groupName>标点问题</groupName>
      <ability>L2_Punc</ability>
      <abilityName>标点符号检查</abilityName>
      <candidateList>
        <item>，</item>
      </candidateList>
      <explain/>
      <paraID>2F3E94E1</paraID>
      <start>8</start>
      <end>11</end>
      <status>unmodified</status>
      <modifiedWord/>
      <trackRevisions>false</trackRevisions>
    </reviewItem>
    <reviewItem>
      <errorID>13649723-5585-40d0-8ca4-141efc2f288a</errorID>
      <errorWord>，…，</errorWord>
      <group>L1_Punc</group>
      <groupName>标点问题</groupName>
      <ability>L2_Punc</ability>
      <abilityName>标点符号检查</abilityName>
      <candidateList>
        <item>，</item>
      </candidateList>
      <explain/>
      <paraID>69422414</paraID>
      <start>8</start>
      <end>11</end>
      <status>unmodified</status>
      <modifiedWord/>
      <trackRevisions>false</trackRevisions>
    </reviewItem>
    <reviewItem>
      <errorID>b2395e7d-ecf3-4fb7-aa9f-17e3957626ad</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3E4450D6</paraID>
      <start>0</start>
      <end>2</end>
      <status>unmodified</status>
      <modifiedWord/>
      <trackRevisions>false</trackRevisions>
    </reviewItem>
    <reviewItem>
      <errorID>9377b0d5-fdbc-4080-b7a5-f1939f204978</errorID>
      <errorWord>IV</errorWord>
      <group>L1_Knowledge</group>
      <groupName>知识性问题</groupName>
      <ability>L2_Knowledge</ability>
      <abilityName>其他知识</abilityName>
      <candidateList>
        <item>Ⅳ</item>
      </candidateList>
      <explain/>
      <paraID> C8DFA5C</paraID>
      <start>108</start>
      <end>110</end>
      <status>unmodified</status>
      <modifiedWord/>
      <trackRevisions>false</trackRevisions>
    </reviewItem>
    <reviewItem>
      <errorID>60ec6ccc-efb8-4022-b467-4e398393f429</errorID>
      <errorWord>III</errorWord>
      <group>L1_Knowledge</group>
      <groupName>知识性问题</groupName>
      <ability>L2_Knowledge</ability>
      <abilityName>其他知识</abilityName>
      <candidateList>
        <item>Ⅲ</item>
      </candidateList>
      <explain/>
      <paraID> C8DFA5C</paraID>
      <start>126</start>
      <end>129</end>
      <status>unmodified</status>
      <modifiedWord/>
      <trackRevisions>false</trackRevisions>
    </reviewItem>
    <reviewItem>
      <errorID>c75bdf5c-befc-4738-8a48-ea4ddc55405b</errorID>
      <errorWord>II</errorWord>
      <group>L1_Knowledge</group>
      <groupName>知识性问题</groupName>
      <ability>L2_Knowledge</ability>
      <abilityName>其他知识</abilityName>
      <candidateList>
        <item>Ⅱ</item>
      </candidateList>
      <explain/>
      <paraID> C8DFA5C</paraID>
      <start>143</start>
      <end>145</end>
      <status>unmodified</status>
      <modifiedWord/>
      <trackRevisions>false</trackRevisions>
    </reviewItem>
    <reviewItem>
      <errorID>8a7eff33-f56d-499b-821e-a064d5711049</errorID>
      <errorWord>IV</errorWord>
      <group>L1_Knowledge</group>
      <groupName>知识性问题</groupName>
      <ability>L2_Knowledge</ability>
      <abilityName>其他知识</abilityName>
      <candidateList>
        <item>Ⅳ</item>
      </candidateList>
      <explain/>
      <paraID>2C84A37D</paraID>
      <start>0</start>
      <end>2</end>
      <status>unmodified</status>
      <modifiedWord/>
      <trackRevisions>false</trackRevisions>
    </reviewItem>
    <reviewItem>
      <errorID>89476518-593c-4848-adf0-583a837cf78b</errorID>
      <errorWord>III</errorWord>
      <group>L1_Word</group>
      <groupName>字词问题</groupName>
      <ability>L2_Typo</ability>
      <abilityName>字词错误</abilityName>
      <candidateList>
        <item>Ⅲ</item>
      </candidateList>
      <explain/>
      <paraID>77C6FBA5</paraID>
      <start>0</start>
      <end>3</end>
      <status>unmodified</status>
      <modifiedWord/>
      <trackRevisions>false</trackRevisions>
    </reviewItem>
    <reviewItem>
      <errorID>256402f8-99b2-4a45-bdd3-2d51a55f8568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2C71F29C</paraID>
      <start>0</start>
      <end>2</end>
      <status>unmodified</status>
      <modifiedWord/>
      <trackRevisions>false</trackRevisions>
    </reviewItem>
    <reviewItem>
      <errorID>a9af5c0a-db90-48ce-9c66-7f6c9433a6fe</errorID>
      <errorWord>对边</errorWord>
      <group>L1_Word</group>
      <groupName>字词问题</groupName>
      <ability>L2_Typo</ability>
      <abilityName>字词错误</abilityName>
      <candidateList>
        <item>对</item>
      </candidateList>
      <explain>（對）duì❶回答：～答｜无言以～。❷〈动〉对待；对付：～事不～人｜～症下药｜刀～刀，枪～枪。❸〈动〉朝着；向着（常跟“着”）：～着镜子理理头发｜枪口～着敌人。❹二者相对；彼此相向：～调｜～流｜～立｜～抗。❺对面的；敌对的：～岸｜～方｜～手｜作～。❻〈动〉使两个东西配合或接触：～对子｜把门～上｜～个火儿。</explain>
      <paraID>4112C329</paraID>
      <start>16</start>
      <end>18</end>
      <status>unmodified</status>
      <modifiedWord/>
      <trackRevisions>false</trackRevisions>
    </reviewItem>
    <reviewItem>
      <errorID>42736ee6-2637-4e5a-b4d9-af7ebb0f3fde</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3E7B72A7</paraID>
      <start>0</start>
      <end>2</end>
      <status>unmodified</status>
      <modifiedWord/>
      <trackRevisions>false</trackRevisions>
    </reviewItem>
    <reviewItem>
      <errorID>18219531-8a7b-40a0-aba4-ea313a62f8f5</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3C16AA15</paraID>
      <start>0</start>
      <end>2</end>
      <status>unmodified</status>
      <modifiedWord/>
      <trackRevisions>false</trackRevisions>
    </reviewItem>
    <reviewItem>
      <errorID>a14ab24a-af6d-474a-bd78-955790ff234b</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60D44666</paraID>
      <start>49</start>
      <end>50</end>
      <status>unmodified</status>
      <modifiedWord/>
      <trackRevisions>false</trackRevisions>
    </reviewItem>
    <reviewItem>
      <errorID>7d01c972-f9af-43a1-bd19-3af077ae5764</errorID>
      <errorWord>清除</errorWord>
      <group>L1_Word</group>
      <groupName>字词问题</groupName>
      <ability>L2_Typo</ability>
      <abilityName>字词错误</abilityName>
      <candidateList>
        <item>消除</item>
      </candidateList>
      <explain/>
      <paraID>78EB99ED</paraID>
      <start>8</start>
      <end>10</end>
      <status>unmodified</status>
      <modifiedWord/>
      <trackRevisions>false</trackRevisions>
    </reviewItem>
    <reviewItem>
      <errorID>4810aff0-3d42-4616-ba35-7214343f7707</errorID>
      <errorWord>减小</errorWord>
      <group>L1_Word</group>
      <groupName>字词问题</groupName>
      <ability>L2_Typo</ability>
      <abilityName>字词错误</abilityName>
      <candidateList>
        <item>减少</item>
      </candidateList>
      <explain>存在字形相近字词的误用。</explain>
      <paraID>7F6AF484</paraID>
      <start>30</start>
      <end>32</end>
      <status>unmodified</status>
      <modifiedWord/>
      <trackRevisions>false</trackRevisions>
    </reviewItem>
    <reviewItem>
      <errorID>b6042dfa-20b1-403a-b297-b0606cb3c475</errorID>
      <errorWord>提高</errorWord>
      <group>L1_Word</group>
      <groupName>字词问题</groupName>
      <ability>L2_Typo</ability>
      <abilityName>字词错误</abilityName>
      <candidateList>
        <item>增强</item>
      </candidateList>
      <explain>“提高～意识”搭配不当，建议修改为“增强～意识”。</explain>
      <paraID>2B0CEDDA</paraID>
      <start>22</start>
      <end>24</end>
      <status>unmodified</status>
      <modifiedWord/>
      <trackRevisions>false</trackRevisions>
    </reviewItem>
    <reviewItem>
      <errorID>03626999-9144-4dc6-89e6-c19997af7e82</errorID>
      <errorWord>目</errorWord>
      <group>L1_Word</group>
      <groupName>字词问题</groupName>
      <ability>L2_Typo</ability>
      <abilityName>字词错误</abilityName>
      <candidateList>
        <item>目在</item>
      </candidateList>
      <explain/>
      <paraID>783E2DB3</paraID>
      <start>34</start>
      <end>35</end>
      <status>unmodified</status>
      <modifiedWord/>
      <trackRevisions>false</trackRevisions>
    </reviewItem>
    <reviewItem>
      <errorID>f59a0b6b-2129-48fc-88b4-c8f2196db48c</errorID>
      <errorWord>》</errorWord>
      <group>L1_Punc</group>
      <groupName>标点问题</groupName>
      <ability>L2_Punc</ability>
      <abilityName>标点符号检查</abilityName>
      <candidateList/>
      <explain/>
      <paraID>4CC226CB</paraID>
      <start>11</start>
      <end>12</end>
      <status>unmodified</status>
      <modifiedWord/>
      <trackRevisions>false</trackRevisions>
    </reviewItem>
    <reviewItem>
      <errorID>8e45754b-c83b-474f-9754-9c8bfafcc673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360879AA</paraID>
      <start>58</start>
      <end>59</end>
      <status>unmodified</status>
      <modifiedWord/>
      <trackRevisions>false</trackRevisions>
    </reviewItem>
    <reviewItem>
      <errorID>bb78c823-bfcc-433f-8d5f-9ae58c3e913f</errorID>
      <errorWord>其它人工</errorWord>
      <group>L1_Word</group>
      <groupName>字词问题</groupName>
      <ability>L2_Alias</ability>
      <abilityName>也作/曾用词</abilityName>
      <candidateList>
        <item>其他人工</item>
      </candidateList>
      <explain>词汇[其它人工]为不规范表述或旧称，其规范书面表述为[其他人工]。</explain>
      <paraID>360879AA</paraID>
      <start>66</start>
      <end>70</end>
      <status>unmodified</status>
      <modifiedWord/>
      <trackRevisions>false</trackRevisions>
    </reviewItem>
    <reviewItem>
      <errorID>5662e1f2-7838-4351-863a-78246ec2cd74</errorID>
      <errorWord>各水池</errorWord>
      <group>L1_Word</group>
      <groupName>字词问题</groupName>
      <ability>L2_Typo</ability>
      <abilityName>字词错误</abilityName>
      <candidateList>
        <item>隔水池</item>
      </candidateList>
      <explain/>
      <paraID>5F23F2F1</paraID>
      <start>26</start>
      <end>29</end>
      <status>unmodified</status>
      <modifiedWord/>
      <trackRevisions>false</trackRevisions>
    </reviewItem>
    <reviewItem>
      <errorID>2cf490f3-fb18-40cc-8bcc-c33f34660cca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5F23F2F1</paraID>
      <start>73</start>
      <end>74</end>
      <status>unmodified</status>
      <modifiedWord/>
      <trackRevisions>false</trackRevisions>
    </reviewItem>
    <reviewItem>
      <errorID>4c724d33-e75a-48f7-89ac-2bc9d8e5e487</errorID>
      <errorWord>电缆排架</errorWord>
      <group>L1_Knowledge</group>
      <groupName>知识性问题</groupName>
      <ability>L2_Term</ability>
      <abilityName>专业术语</abilityName>
      <candidateList>
        <item>电缆桥架</item>
      </candidateList>
      <explain/>
      <paraID>5BE5F9F9</paraID>
      <start>30</start>
      <end>34</end>
      <status>unmodified</status>
      <modifiedWord/>
      <trackRevisions>false</trackRevisions>
    </reviewItem>
    <reviewItem>
      <errorID>2eee90a9-4ab8-42ca-bc75-396f3785e585</errorID>
      <errorWord>可被</errorWord>
      <group>L1_Word</group>
      <groupName>字词问题</groupName>
      <ability>L2_Typo</ability>
      <abilityName>字词错误</abilityName>
      <candidateList>
        <item>可</item>
      </candidateList>
      <explain>〈动〉适合：～人意｜这回倒～了他的心了。</explain>
      <paraID>3C9D2E0A</paraID>
      <start>164</start>
      <end>166</end>
      <status>unmodified</status>
      <modifiedWord/>
      <trackRevisions>false</trackRevisions>
    </reviewItem>
  </reviewItems>
  <config/>
</contractReview>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118edb-e3c1-44cd-afee-1eaa2be1ea24}">
  <ds:schemaRefs/>
</ds:datastoreItem>
</file>

<file path=customXml/itemProps3.xml><?xml version="1.0" encoding="utf-8"?>
<ds:datastoreItem xmlns:ds="http://schemas.openxmlformats.org/officeDocument/2006/customXml" ds:itemID="{5230A949-26AA-49AB-B689-1028ED065E24}">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61</Pages>
  <Words>9738</Words>
  <Characters>10258</Characters>
  <Lines>4021</Lines>
  <Paragraphs>4152</Paragraphs>
  <TotalTime>315</TotalTime>
  <ScaleCrop>false</ScaleCrop>
  <LinksUpToDate>false</LinksUpToDate>
  <CharactersWithSpaces>10341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2025-01-14T12:39:00Z</dcterms:created>
  <dc:creator>Administrator</dc:creator>
  <cp:lastModifiedBy>盐汽水</cp:lastModifiedBy>
  <cp:lastPrinted>2025-06-30T03:21:00Z</cp:lastPrinted>
  <dcterms:modified xsi:type="dcterms:W3CDTF">2025-12-31T07:11:27Z</dcterms:modified>
  <dc:title>附件2</dc:title>
  <cp:revision>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3A217809DF9C454898822EBB8D55DBEC_13</vt:lpwstr>
  </property>
  <property fmtid="{D5CDD505-2E9C-101B-9397-08002B2CF9AE}" pid="4" name="KSOTemplateDocerSaveRecord">
    <vt:lpwstr>eyJoZGlkIjoiNTQxZjNhMjYzN2JhZDM5NzQyZDdjMWNjN2RjMzY2ZjUiLCJ1c2VySWQiOiIxMTM5OTE5OTk1In0=</vt:lpwstr>
  </property>
</Properties>
</file>