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0FA2DF">
      <w:pPr>
        <w:rPr>
          <w:rFonts w:cs="仿宋_GB2312"/>
          <w:color w:val="000000"/>
          <w:sz w:val="36"/>
          <w:szCs w:val="36"/>
        </w:rPr>
      </w:pPr>
    </w:p>
    <w:p w14:paraId="202E7B85">
      <w:pPr>
        <w:rPr>
          <w:rFonts w:cs="仿宋_GB2312"/>
          <w:color w:val="000000"/>
          <w:sz w:val="36"/>
          <w:szCs w:val="36"/>
        </w:rPr>
      </w:pPr>
    </w:p>
    <w:p w14:paraId="63C23D77">
      <w:pPr>
        <w:adjustRightInd w:val="0"/>
        <w:snapToGrid w:val="0"/>
        <w:jc w:val="center"/>
        <w:rPr>
          <w:rFonts w:hint="eastAsia"/>
          <w:bCs/>
          <w:color w:val="000000"/>
          <w:sz w:val="48"/>
          <w:szCs w:val="48"/>
        </w:rPr>
      </w:pPr>
      <w:r>
        <w:rPr>
          <w:rFonts w:hint="eastAsia"/>
          <w:bCs/>
          <w:color w:val="000000"/>
          <w:sz w:val="48"/>
          <w:szCs w:val="48"/>
        </w:rPr>
        <w:t>建设项目环境影响报告表</w:t>
      </w:r>
    </w:p>
    <w:p w14:paraId="276364B2">
      <w:pPr>
        <w:adjustRightInd w:val="0"/>
        <w:snapToGrid w:val="0"/>
        <w:jc w:val="center"/>
        <w:rPr>
          <w:rFonts w:hint="eastAsia"/>
          <w:bCs/>
          <w:color w:val="000000"/>
          <w:sz w:val="48"/>
          <w:szCs w:val="48"/>
        </w:rPr>
      </w:pPr>
      <w:r>
        <w:rPr>
          <w:rFonts w:hint="eastAsia"/>
          <w:bCs/>
          <w:color w:val="000000"/>
          <w:sz w:val="48"/>
          <w:szCs w:val="48"/>
        </w:rPr>
        <w:t>（污染影响类）</w:t>
      </w:r>
    </w:p>
    <w:p w14:paraId="7A171750">
      <w:pPr>
        <w:adjustRightInd w:val="0"/>
        <w:snapToGrid w:val="0"/>
        <w:jc w:val="center"/>
        <w:rPr>
          <w:rFonts w:cs="华文仿宋"/>
          <w:color w:val="000000"/>
          <w:kern w:val="44"/>
          <w:sz w:val="44"/>
          <w:szCs w:val="44"/>
        </w:rPr>
      </w:pPr>
    </w:p>
    <w:p w14:paraId="4BC89F1A">
      <w:pPr>
        <w:jc w:val="center"/>
        <w:rPr>
          <w:color w:val="000000"/>
          <w:sz w:val="52"/>
          <w:szCs w:val="52"/>
        </w:rPr>
      </w:pPr>
    </w:p>
    <w:p w14:paraId="3681238D">
      <w:pPr>
        <w:jc w:val="center"/>
        <w:rPr>
          <w:color w:val="000000"/>
          <w:sz w:val="52"/>
          <w:szCs w:val="52"/>
        </w:rPr>
      </w:pPr>
    </w:p>
    <w:p w14:paraId="17D2EF91">
      <w:pPr>
        <w:jc w:val="center"/>
        <w:rPr>
          <w:color w:val="000000"/>
          <w:sz w:val="52"/>
          <w:szCs w:val="52"/>
        </w:rPr>
      </w:pPr>
    </w:p>
    <w:p w14:paraId="5B1AB31E">
      <w:pPr>
        <w:ind w:firstLine="1040"/>
        <w:rPr>
          <w:color w:val="000000"/>
          <w:sz w:val="44"/>
          <w:szCs w:val="44"/>
        </w:rPr>
      </w:pPr>
    </w:p>
    <w:tbl>
      <w:tblPr>
        <w:tblStyle w:val="30"/>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69"/>
        <w:gridCol w:w="6086"/>
      </w:tblGrid>
      <w:tr w14:paraId="5B35C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34" w:hRule="atLeast"/>
        </w:trPr>
        <w:tc>
          <w:tcPr>
            <w:tcW w:w="1639" w:type="pct"/>
            <w:tcBorders>
              <w:tl2br w:val="nil"/>
              <w:tr2bl w:val="nil"/>
            </w:tcBorders>
            <w:noWrap w:val="0"/>
            <w:vAlign w:val="center"/>
          </w:tcPr>
          <w:p w14:paraId="175C4F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36"/>
                <w:szCs w:val="36"/>
                <w:vertAlign w:val="baseline"/>
              </w:rPr>
            </w:pPr>
            <w:bookmarkStart w:id="0" w:name="_Hlk57884087"/>
            <w:r>
              <w:rPr>
                <w:rFonts w:ascii="Times New Roman" w:hAnsi="Times New Roman" w:eastAsia="宋体"/>
                <w:color w:val="auto"/>
                <w:sz w:val="36"/>
                <w:szCs w:val="36"/>
              </w:rPr>
              <w:t>项</w:t>
            </w:r>
            <w:r>
              <w:rPr>
                <w:rFonts w:hint="eastAsia" w:ascii="Times New Roman" w:hAnsi="Times New Roman" w:eastAsia="宋体"/>
                <w:color w:val="auto"/>
                <w:sz w:val="36"/>
                <w:szCs w:val="36"/>
                <w:lang w:val="en-US" w:eastAsia="zh-CN"/>
              </w:rPr>
              <w:t xml:space="preserve">  </w:t>
            </w:r>
            <w:r>
              <w:rPr>
                <w:rFonts w:ascii="Times New Roman" w:hAnsi="Times New Roman" w:eastAsia="宋体"/>
                <w:color w:val="auto"/>
                <w:sz w:val="36"/>
                <w:szCs w:val="36"/>
              </w:rPr>
              <w:t>目</w:t>
            </w:r>
            <w:r>
              <w:rPr>
                <w:rFonts w:hint="eastAsia" w:ascii="Times New Roman" w:hAnsi="Times New Roman" w:eastAsia="宋体"/>
                <w:color w:val="auto"/>
                <w:sz w:val="36"/>
                <w:szCs w:val="36"/>
                <w:lang w:val="en-US" w:eastAsia="zh-CN"/>
              </w:rPr>
              <w:t xml:space="preserve">  </w:t>
            </w:r>
            <w:r>
              <w:rPr>
                <w:rFonts w:ascii="Times New Roman" w:hAnsi="Times New Roman" w:eastAsia="宋体"/>
                <w:color w:val="auto"/>
                <w:sz w:val="36"/>
                <w:szCs w:val="36"/>
              </w:rPr>
              <w:t>名</w:t>
            </w:r>
            <w:r>
              <w:rPr>
                <w:rFonts w:hint="eastAsia" w:ascii="Times New Roman" w:hAnsi="Times New Roman" w:eastAsia="宋体"/>
                <w:color w:val="auto"/>
                <w:sz w:val="36"/>
                <w:szCs w:val="36"/>
                <w:lang w:val="en-US" w:eastAsia="zh-CN"/>
              </w:rPr>
              <w:t xml:space="preserve">  </w:t>
            </w:r>
            <w:r>
              <w:rPr>
                <w:rFonts w:ascii="Times New Roman" w:hAnsi="Times New Roman" w:eastAsia="宋体"/>
                <w:color w:val="auto"/>
                <w:sz w:val="36"/>
                <w:szCs w:val="36"/>
              </w:rPr>
              <w:t>称：</w:t>
            </w:r>
          </w:p>
        </w:tc>
        <w:tc>
          <w:tcPr>
            <w:tcW w:w="3360" w:type="pct"/>
            <w:tcBorders>
              <w:tl2br w:val="nil"/>
              <w:tr2bl w:val="nil"/>
            </w:tcBorders>
            <w:noWrap w:val="0"/>
            <w:vAlign w:val="center"/>
          </w:tcPr>
          <w:p w14:paraId="3E21A8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36"/>
                <w:szCs w:val="36"/>
                <w:vertAlign w:val="baseline"/>
                <w:lang w:val="en-US"/>
              </w:rPr>
            </w:pPr>
            <w:r>
              <w:rPr>
                <w:rFonts w:hint="eastAsia" w:ascii="Times New Roman" w:hAnsi="Times New Roman" w:eastAsia="宋体"/>
                <w:color w:val="auto"/>
                <w:sz w:val="36"/>
                <w:szCs w:val="36"/>
                <w:u w:val="single"/>
                <w:lang w:val="en-US" w:eastAsia="zh-CN"/>
              </w:rPr>
              <w:t xml:space="preserve"> </w:t>
            </w:r>
            <w:r>
              <w:rPr>
                <w:rFonts w:hint="eastAsia"/>
                <w:color w:val="000000"/>
                <w:sz w:val="36"/>
                <w:szCs w:val="36"/>
                <w:u w:val="single"/>
                <w:lang w:eastAsia="zh-CN"/>
              </w:rPr>
              <w:t>年产600万套高档化妆品包装及新能源汽车塑料零部件项目</w:t>
            </w:r>
            <w:r>
              <w:rPr>
                <w:rFonts w:hint="eastAsia" w:ascii="Times New Roman" w:hAnsi="Times New Roman" w:eastAsia="宋体"/>
                <w:color w:val="auto"/>
                <w:sz w:val="36"/>
                <w:szCs w:val="36"/>
                <w:u w:val="single"/>
                <w:lang w:val="en-US" w:eastAsia="zh-CN"/>
              </w:rPr>
              <w:t xml:space="preserve"> </w:t>
            </w:r>
          </w:p>
        </w:tc>
      </w:tr>
      <w:tr w14:paraId="0CED3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1639" w:type="pct"/>
            <w:tcBorders>
              <w:tl2br w:val="nil"/>
              <w:tr2bl w:val="nil"/>
            </w:tcBorders>
            <w:noWrap w:val="0"/>
            <w:vAlign w:val="center"/>
          </w:tcPr>
          <w:p w14:paraId="5DBBFB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36"/>
                <w:szCs w:val="36"/>
                <w:vertAlign w:val="baseline"/>
              </w:rPr>
            </w:pPr>
            <w:r>
              <w:rPr>
                <w:rFonts w:ascii="Times New Roman" w:hAnsi="Times New Roman" w:eastAsia="宋体"/>
                <w:color w:val="auto"/>
                <w:sz w:val="36"/>
                <w:szCs w:val="36"/>
              </w:rPr>
              <w:t>建设单位（盖章）：</w:t>
            </w:r>
          </w:p>
        </w:tc>
        <w:tc>
          <w:tcPr>
            <w:tcW w:w="3360" w:type="pct"/>
            <w:tcBorders>
              <w:tl2br w:val="nil"/>
              <w:tr2bl w:val="nil"/>
            </w:tcBorders>
            <w:noWrap w:val="0"/>
            <w:vAlign w:val="center"/>
          </w:tcPr>
          <w:p w14:paraId="445D80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36"/>
                <w:szCs w:val="36"/>
                <w:vertAlign w:val="baseline"/>
                <w:lang w:val="en-US"/>
              </w:rPr>
            </w:pPr>
            <w:r>
              <w:rPr>
                <w:rFonts w:hint="eastAsia" w:ascii="Times New Roman" w:hAnsi="Times New Roman" w:eastAsia="宋体"/>
                <w:color w:val="auto"/>
                <w:sz w:val="36"/>
                <w:szCs w:val="36"/>
                <w:u w:val="single"/>
                <w:lang w:val="en-US" w:eastAsia="zh-CN"/>
              </w:rPr>
              <w:t xml:space="preserve"> </w:t>
            </w:r>
            <w:r>
              <w:rPr>
                <w:rFonts w:hint="eastAsia"/>
                <w:color w:val="000000"/>
                <w:sz w:val="36"/>
                <w:szCs w:val="36"/>
                <w:u w:val="single"/>
                <w:lang w:eastAsia="zh-CN"/>
              </w:rPr>
              <w:t>安徽昊盛塑胶制品有限公司</w:t>
            </w:r>
            <w:r>
              <w:rPr>
                <w:rFonts w:hint="eastAsia" w:ascii="Times New Roman" w:hAnsi="Times New Roman" w:eastAsia="宋体"/>
                <w:color w:val="auto"/>
                <w:sz w:val="36"/>
                <w:szCs w:val="36"/>
                <w:u w:val="single"/>
                <w:lang w:val="en-US" w:eastAsia="zh-CN"/>
              </w:rPr>
              <w:t xml:space="preserve"> </w:t>
            </w:r>
          </w:p>
        </w:tc>
      </w:tr>
      <w:tr w14:paraId="2D687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1639" w:type="pct"/>
            <w:tcBorders>
              <w:tl2br w:val="nil"/>
              <w:tr2bl w:val="nil"/>
            </w:tcBorders>
            <w:noWrap w:val="0"/>
            <w:vAlign w:val="center"/>
          </w:tcPr>
          <w:p w14:paraId="500A73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36"/>
                <w:szCs w:val="36"/>
                <w:vertAlign w:val="baseline"/>
              </w:rPr>
            </w:pPr>
            <w:r>
              <w:rPr>
                <w:rFonts w:ascii="Times New Roman" w:hAnsi="Times New Roman" w:eastAsia="宋体"/>
                <w:color w:val="auto"/>
                <w:sz w:val="36"/>
                <w:szCs w:val="36"/>
              </w:rPr>
              <w:t>编</w:t>
            </w:r>
            <w:r>
              <w:rPr>
                <w:rFonts w:hint="eastAsia" w:ascii="Times New Roman" w:hAnsi="Times New Roman" w:eastAsia="宋体"/>
                <w:color w:val="auto"/>
                <w:sz w:val="36"/>
                <w:szCs w:val="36"/>
                <w:lang w:val="en-US" w:eastAsia="zh-CN"/>
              </w:rPr>
              <w:t xml:space="preserve">  </w:t>
            </w:r>
            <w:r>
              <w:rPr>
                <w:rFonts w:ascii="Times New Roman" w:hAnsi="Times New Roman" w:eastAsia="宋体"/>
                <w:color w:val="auto"/>
                <w:sz w:val="36"/>
                <w:szCs w:val="36"/>
              </w:rPr>
              <w:t>制</w:t>
            </w:r>
            <w:r>
              <w:rPr>
                <w:rFonts w:hint="eastAsia" w:ascii="Times New Roman" w:hAnsi="Times New Roman" w:eastAsia="宋体"/>
                <w:color w:val="auto"/>
                <w:sz w:val="36"/>
                <w:szCs w:val="36"/>
                <w:lang w:val="en-US" w:eastAsia="zh-CN"/>
              </w:rPr>
              <w:t xml:space="preserve">  </w:t>
            </w:r>
            <w:r>
              <w:rPr>
                <w:rFonts w:ascii="Times New Roman" w:hAnsi="Times New Roman" w:eastAsia="宋体"/>
                <w:color w:val="auto"/>
                <w:sz w:val="36"/>
                <w:szCs w:val="36"/>
              </w:rPr>
              <w:t>日</w:t>
            </w:r>
            <w:r>
              <w:rPr>
                <w:rFonts w:hint="eastAsia" w:ascii="Times New Roman" w:hAnsi="Times New Roman" w:eastAsia="宋体"/>
                <w:color w:val="auto"/>
                <w:sz w:val="36"/>
                <w:szCs w:val="36"/>
                <w:lang w:val="en-US" w:eastAsia="zh-CN"/>
              </w:rPr>
              <w:t xml:space="preserve">  </w:t>
            </w:r>
            <w:r>
              <w:rPr>
                <w:rFonts w:ascii="Times New Roman" w:hAnsi="Times New Roman" w:eastAsia="宋体"/>
                <w:color w:val="auto"/>
                <w:sz w:val="36"/>
                <w:szCs w:val="36"/>
              </w:rPr>
              <w:t>期：</w:t>
            </w:r>
          </w:p>
        </w:tc>
        <w:tc>
          <w:tcPr>
            <w:tcW w:w="3360" w:type="pct"/>
            <w:tcBorders>
              <w:tl2br w:val="nil"/>
              <w:tr2bl w:val="nil"/>
            </w:tcBorders>
            <w:noWrap w:val="0"/>
            <w:vAlign w:val="center"/>
          </w:tcPr>
          <w:p w14:paraId="5E4E00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360" w:firstLineChars="100"/>
              <w:jc w:val="both"/>
              <w:textAlignment w:val="auto"/>
              <w:rPr>
                <w:rFonts w:hint="default" w:ascii="Times New Roman" w:hAnsi="Times New Roman" w:eastAsia="宋体"/>
                <w:color w:val="auto"/>
                <w:sz w:val="36"/>
                <w:szCs w:val="36"/>
                <w:vertAlign w:val="baseline"/>
                <w:lang w:val="en-US"/>
              </w:rPr>
            </w:pPr>
            <w:r>
              <w:rPr>
                <w:rFonts w:hint="eastAsia" w:ascii="Times New Roman" w:hAnsi="Times New Roman" w:eastAsia="宋体"/>
                <w:color w:val="auto"/>
                <w:sz w:val="36"/>
                <w:szCs w:val="36"/>
                <w:u w:val="single"/>
                <w:lang w:val="en-US" w:eastAsia="zh-CN"/>
              </w:rPr>
              <w:t xml:space="preserve">         </w:t>
            </w:r>
            <w:r>
              <w:rPr>
                <w:rFonts w:hint="eastAsia"/>
                <w:color w:val="000000"/>
                <w:sz w:val="36"/>
                <w:szCs w:val="36"/>
                <w:u w:val="single"/>
              </w:rPr>
              <w:t>202</w:t>
            </w:r>
            <w:r>
              <w:rPr>
                <w:rFonts w:hint="eastAsia"/>
                <w:color w:val="000000"/>
                <w:sz w:val="36"/>
                <w:szCs w:val="36"/>
                <w:u w:val="single"/>
                <w:lang w:val="en-US" w:eastAsia="zh-CN"/>
              </w:rPr>
              <w:t>6</w:t>
            </w:r>
            <w:r>
              <w:rPr>
                <w:rFonts w:hint="eastAsia"/>
                <w:color w:val="000000"/>
                <w:sz w:val="36"/>
                <w:szCs w:val="36"/>
                <w:u w:val="single"/>
              </w:rPr>
              <w:t>年</w:t>
            </w:r>
            <w:r>
              <w:rPr>
                <w:rFonts w:hint="eastAsia"/>
                <w:color w:val="000000"/>
                <w:sz w:val="36"/>
                <w:szCs w:val="36"/>
                <w:u w:val="single"/>
                <w:lang w:val="en-US" w:eastAsia="zh-CN"/>
              </w:rPr>
              <w:t>1</w:t>
            </w:r>
            <w:r>
              <w:rPr>
                <w:rFonts w:hint="eastAsia"/>
                <w:color w:val="000000"/>
                <w:sz w:val="36"/>
                <w:szCs w:val="36"/>
                <w:u w:val="single"/>
              </w:rPr>
              <w:t>月</w:t>
            </w:r>
            <w:r>
              <w:rPr>
                <w:rFonts w:hint="eastAsia" w:ascii="Times New Roman" w:hAnsi="Times New Roman" w:eastAsia="宋体"/>
                <w:color w:val="auto"/>
                <w:sz w:val="36"/>
                <w:szCs w:val="36"/>
                <w:u w:val="single"/>
                <w:lang w:val="en-US" w:eastAsia="zh-CN"/>
              </w:rPr>
              <w:t xml:space="preserve">           </w:t>
            </w:r>
          </w:p>
        </w:tc>
      </w:tr>
    </w:tbl>
    <w:p w14:paraId="0868F86D">
      <w:pPr>
        <w:adjustRightInd w:val="0"/>
        <w:snapToGrid w:val="0"/>
        <w:spacing w:line="288" w:lineRule="auto"/>
        <w:ind w:firstLine="1040"/>
        <w:rPr>
          <w:color w:val="000000"/>
          <w:sz w:val="36"/>
          <w:szCs w:val="36"/>
        </w:rPr>
      </w:pPr>
    </w:p>
    <w:bookmarkEnd w:id="0"/>
    <w:p w14:paraId="0FCC9D95">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color w:val="000000"/>
          <w:sz w:val="36"/>
          <w:szCs w:val="36"/>
        </w:rPr>
      </w:pPr>
    </w:p>
    <w:p w14:paraId="74DCB37F">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color w:val="000000"/>
          <w:sz w:val="36"/>
          <w:szCs w:val="36"/>
        </w:rPr>
      </w:pPr>
    </w:p>
    <w:p w14:paraId="568BA21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color w:val="000000"/>
          <w:sz w:val="36"/>
          <w:szCs w:val="36"/>
        </w:rPr>
        <w:sectPr>
          <w:headerReference r:id="rId5" w:type="default"/>
          <w:footerReference r:id="rId6" w:type="default"/>
          <w:footerReference r:id="rId7"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color w:val="000000"/>
          <w:sz w:val="36"/>
          <w:szCs w:val="36"/>
        </w:rPr>
        <w:t>中华人民共和国生态环境部制</w:t>
      </w:r>
    </w:p>
    <w:p w14:paraId="4B759CA5">
      <w:pPr>
        <w:pStyle w:val="2"/>
        <w:spacing w:line="240" w:lineRule="auto"/>
        <w:rPr>
          <w:rFonts w:hint="eastAsia"/>
          <w:color w:val="000000"/>
        </w:rPr>
      </w:pPr>
      <w:r>
        <w:rPr>
          <w:rFonts w:hint="eastAsia"/>
          <w:color w:val="000000"/>
        </w:rPr>
        <w:t>一、建设项目基本情况</w:t>
      </w:r>
    </w:p>
    <w:tbl>
      <w:tblPr>
        <w:tblStyle w:val="29"/>
        <w:tblW w:w="534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1589"/>
        <w:gridCol w:w="1765"/>
        <w:gridCol w:w="2084"/>
        <w:gridCol w:w="4101"/>
      </w:tblGrid>
      <w:tr w14:paraId="3E0541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990" w:type="pct"/>
            <w:noWrap w:val="0"/>
            <w:tcMar>
              <w:top w:w="16" w:type="dxa"/>
              <w:left w:w="16" w:type="dxa"/>
              <w:right w:w="16" w:type="dxa"/>
            </w:tcMar>
            <w:vAlign w:val="center"/>
          </w:tcPr>
          <w:p w14:paraId="2DBF2F71">
            <w:pPr>
              <w:pStyle w:val="61"/>
              <w:ind w:firstLine="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建设项目名称</w:t>
            </w:r>
          </w:p>
        </w:tc>
        <w:tc>
          <w:tcPr>
            <w:tcW w:w="4009" w:type="pct"/>
            <w:gridSpan w:val="3"/>
            <w:noWrap w:val="0"/>
            <w:vAlign w:val="center"/>
          </w:tcPr>
          <w:p w14:paraId="2CEC2B6C">
            <w:pPr>
              <w:pStyle w:val="61"/>
              <w:ind w:firstLine="0"/>
              <w:rPr>
                <w:rFonts w:hint="default" w:ascii="Times New Roman" w:hAnsi="Times New Roman" w:eastAsia="宋体" w:cs="Times New Roman"/>
                <w:b w:val="0"/>
                <w:bCs/>
                <w:color w:val="000000"/>
                <w:sz w:val="24"/>
                <w:szCs w:val="24"/>
                <w:lang w:eastAsia="zh-CN"/>
              </w:rPr>
            </w:pPr>
            <w:r>
              <w:rPr>
                <w:rFonts w:hint="default" w:ascii="Times New Roman" w:hAnsi="Times New Roman" w:cs="Times New Roman"/>
                <w:b w:val="0"/>
                <w:bCs/>
                <w:color w:val="000000"/>
                <w:sz w:val="24"/>
                <w:szCs w:val="24"/>
                <w:lang w:eastAsia="zh-CN"/>
              </w:rPr>
              <w:t>年产600万套高档化妆品包装及新能源汽车塑料零部件项目</w:t>
            </w:r>
          </w:p>
        </w:tc>
      </w:tr>
      <w:tr w14:paraId="2B363C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90" w:type="pct"/>
            <w:noWrap w:val="0"/>
            <w:tcMar>
              <w:top w:w="16" w:type="dxa"/>
              <w:left w:w="16" w:type="dxa"/>
              <w:right w:w="16" w:type="dxa"/>
            </w:tcMar>
            <w:vAlign w:val="center"/>
          </w:tcPr>
          <w:p w14:paraId="1068BAA6">
            <w:pPr>
              <w:pStyle w:val="61"/>
              <w:ind w:firstLine="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项目代码</w:t>
            </w:r>
          </w:p>
        </w:tc>
        <w:tc>
          <w:tcPr>
            <w:tcW w:w="4009" w:type="pct"/>
            <w:gridSpan w:val="3"/>
            <w:noWrap w:val="0"/>
            <w:vAlign w:val="center"/>
          </w:tcPr>
          <w:p w14:paraId="33E2ABF7">
            <w:pPr>
              <w:pStyle w:val="61"/>
              <w:ind w:firstLine="0"/>
              <w:rPr>
                <w:rFonts w:hint="default" w:ascii="Times New Roman" w:hAnsi="Times New Roman" w:eastAsia="宋体" w:cs="Times New Roman"/>
                <w:b w:val="0"/>
                <w:bCs/>
                <w:color w:val="000000"/>
                <w:sz w:val="24"/>
                <w:szCs w:val="24"/>
                <w:lang w:eastAsia="zh-CN"/>
              </w:rPr>
            </w:pPr>
            <w:r>
              <w:rPr>
                <w:rFonts w:hint="default" w:ascii="Times New Roman" w:hAnsi="Times New Roman" w:cs="Times New Roman"/>
                <w:b w:val="0"/>
                <w:bCs/>
                <w:color w:val="000000"/>
                <w:sz w:val="24"/>
                <w:szCs w:val="24"/>
                <w:lang w:eastAsia="zh-CN"/>
              </w:rPr>
              <w:t>2403-340406-04-01-983859</w:t>
            </w:r>
          </w:p>
        </w:tc>
      </w:tr>
      <w:tr w14:paraId="3D9CC8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90" w:type="pct"/>
            <w:noWrap w:val="0"/>
            <w:tcMar>
              <w:top w:w="16" w:type="dxa"/>
              <w:left w:w="16" w:type="dxa"/>
              <w:right w:w="16" w:type="dxa"/>
            </w:tcMar>
            <w:vAlign w:val="center"/>
          </w:tcPr>
          <w:p w14:paraId="7F7899E1">
            <w:pPr>
              <w:pStyle w:val="61"/>
              <w:ind w:firstLine="0"/>
              <w:rPr>
                <w:rFonts w:hint="default" w:ascii="Times New Roman" w:hAnsi="Times New Roman" w:cs="Times New Roman"/>
                <w:b w:val="0"/>
                <w:bCs/>
                <w:color w:val="000000"/>
                <w:sz w:val="24"/>
                <w:szCs w:val="24"/>
                <w:highlight w:val="none"/>
              </w:rPr>
            </w:pPr>
            <w:r>
              <w:rPr>
                <w:rFonts w:hint="default" w:ascii="Times New Roman" w:hAnsi="Times New Roman" w:cs="Times New Roman"/>
                <w:b w:val="0"/>
                <w:bCs/>
                <w:color w:val="000000"/>
                <w:sz w:val="24"/>
                <w:szCs w:val="24"/>
                <w:highlight w:val="none"/>
              </w:rPr>
              <w:t>建设单位联系人</w:t>
            </w:r>
          </w:p>
        </w:tc>
        <w:tc>
          <w:tcPr>
            <w:tcW w:w="890" w:type="pct"/>
            <w:noWrap w:val="0"/>
            <w:vAlign w:val="center"/>
          </w:tcPr>
          <w:p w14:paraId="144FC1E4">
            <w:pPr>
              <w:pStyle w:val="61"/>
              <w:ind w:firstLine="0"/>
              <w:rPr>
                <w:rFonts w:hint="default" w:ascii="Times New Roman" w:hAnsi="Times New Roman" w:cs="Times New Roman"/>
                <w:b w:val="0"/>
                <w:bCs/>
                <w:color w:val="000000"/>
                <w:sz w:val="24"/>
                <w:szCs w:val="24"/>
                <w:highlight w:val="none"/>
              </w:rPr>
            </w:pPr>
            <w:r>
              <w:rPr>
                <w:rFonts w:hint="default" w:ascii="Times New Roman" w:hAnsi="Times New Roman" w:cs="Times New Roman"/>
                <w:b w:val="0"/>
                <w:bCs/>
                <w:color w:val="000000"/>
                <w:sz w:val="24"/>
                <w:szCs w:val="24"/>
                <w:highlight w:val="none"/>
              </w:rPr>
              <w:t>黄辙</w:t>
            </w:r>
          </w:p>
        </w:tc>
        <w:tc>
          <w:tcPr>
            <w:tcW w:w="1051" w:type="pct"/>
            <w:noWrap w:val="0"/>
            <w:vAlign w:val="center"/>
          </w:tcPr>
          <w:p w14:paraId="48F9C0F9">
            <w:pPr>
              <w:pStyle w:val="61"/>
              <w:ind w:firstLine="0"/>
              <w:rPr>
                <w:rFonts w:hint="default" w:ascii="Times New Roman" w:hAnsi="Times New Roman" w:cs="Times New Roman"/>
                <w:b w:val="0"/>
                <w:bCs/>
                <w:color w:val="000000"/>
                <w:sz w:val="24"/>
                <w:szCs w:val="24"/>
                <w:highlight w:val="none"/>
              </w:rPr>
            </w:pPr>
            <w:r>
              <w:rPr>
                <w:rFonts w:hint="default" w:ascii="Times New Roman" w:hAnsi="Times New Roman" w:cs="Times New Roman"/>
                <w:b w:val="0"/>
                <w:bCs/>
                <w:color w:val="000000"/>
                <w:sz w:val="24"/>
                <w:szCs w:val="24"/>
                <w:highlight w:val="none"/>
              </w:rPr>
              <w:t>联系方式</w:t>
            </w:r>
          </w:p>
        </w:tc>
        <w:tc>
          <w:tcPr>
            <w:tcW w:w="2066" w:type="pct"/>
            <w:noWrap w:val="0"/>
            <w:vAlign w:val="center"/>
          </w:tcPr>
          <w:p w14:paraId="705287CA">
            <w:pPr>
              <w:pStyle w:val="61"/>
              <w:ind w:firstLine="0"/>
              <w:rPr>
                <w:rFonts w:hint="default" w:ascii="Times New Roman" w:hAnsi="Times New Roman" w:cs="Times New Roman"/>
                <w:b w:val="0"/>
                <w:bCs/>
                <w:color w:val="000000"/>
                <w:sz w:val="24"/>
                <w:szCs w:val="24"/>
                <w:highlight w:val="none"/>
              </w:rPr>
            </w:pPr>
            <w:r>
              <w:rPr>
                <w:rFonts w:hint="default" w:ascii="Times New Roman" w:hAnsi="Times New Roman" w:cs="Times New Roman"/>
                <w:b w:val="0"/>
                <w:bCs/>
                <w:color w:val="000000"/>
                <w:sz w:val="24"/>
                <w:szCs w:val="24"/>
                <w:highlight w:val="none"/>
              </w:rPr>
              <w:t>18656833000</w:t>
            </w:r>
          </w:p>
        </w:tc>
      </w:tr>
      <w:tr w14:paraId="496DA8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90" w:type="pct"/>
            <w:noWrap w:val="0"/>
            <w:tcMar>
              <w:top w:w="16" w:type="dxa"/>
              <w:left w:w="16" w:type="dxa"/>
              <w:right w:w="16" w:type="dxa"/>
            </w:tcMar>
            <w:vAlign w:val="center"/>
          </w:tcPr>
          <w:p w14:paraId="42AE69CA">
            <w:pPr>
              <w:pStyle w:val="61"/>
              <w:ind w:firstLine="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建设地点</w:t>
            </w:r>
          </w:p>
        </w:tc>
        <w:tc>
          <w:tcPr>
            <w:tcW w:w="4009" w:type="pct"/>
            <w:gridSpan w:val="3"/>
            <w:noWrap w:val="0"/>
            <w:vAlign w:val="center"/>
          </w:tcPr>
          <w:p w14:paraId="4ADA341C">
            <w:pPr>
              <w:pStyle w:val="61"/>
              <w:ind w:firstLine="0"/>
              <w:rPr>
                <w:rFonts w:hint="default" w:ascii="Times New Roman" w:hAnsi="Times New Roman" w:eastAsia="宋体" w:cs="Times New Roman"/>
                <w:b w:val="0"/>
                <w:bCs/>
                <w:color w:val="000000"/>
                <w:sz w:val="24"/>
                <w:szCs w:val="24"/>
                <w:lang w:val="en-US" w:eastAsia="zh-CN"/>
              </w:rPr>
            </w:pPr>
            <w:r>
              <w:rPr>
                <w:rFonts w:hint="default" w:ascii="Times New Roman" w:hAnsi="Times New Roman" w:cs="Times New Roman"/>
                <w:b w:val="0"/>
                <w:bCs/>
                <w:color w:val="000000" w:themeColor="text1"/>
                <w:sz w:val="24"/>
                <w:szCs w:val="24"/>
                <w14:textFill>
                  <w14:solidFill>
                    <w14:schemeClr w14:val="tx1"/>
                  </w14:solidFill>
                </w14:textFill>
              </w:rPr>
              <w:t>安徽省</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淮南</w:t>
            </w:r>
            <w:r>
              <w:rPr>
                <w:rFonts w:hint="default" w:ascii="Times New Roman" w:hAnsi="Times New Roman" w:cs="Times New Roman"/>
                <w:b w:val="0"/>
                <w:bCs/>
                <w:color w:val="000000" w:themeColor="text1"/>
                <w:sz w:val="24"/>
                <w:szCs w:val="24"/>
                <w14:textFill>
                  <w14:solidFill>
                    <w14:schemeClr w14:val="tx1"/>
                  </w14:solidFill>
                </w14:textFill>
              </w:rPr>
              <w:t>市</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潘集经济开发区（北区）</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功能塑料园7#1、2层</w:t>
            </w:r>
          </w:p>
        </w:tc>
      </w:tr>
      <w:tr w14:paraId="6D72A9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90" w:type="pct"/>
            <w:noWrap w:val="0"/>
            <w:tcMar>
              <w:top w:w="16" w:type="dxa"/>
              <w:left w:w="16" w:type="dxa"/>
              <w:right w:w="16" w:type="dxa"/>
            </w:tcMar>
            <w:vAlign w:val="center"/>
          </w:tcPr>
          <w:p w14:paraId="0CC5D36A">
            <w:pPr>
              <w:pStyle w:val="61"/>
              <w:ind w:firstLine="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地理坐标</w:t>
            </w:r>
          </w:p>
        </w:tc>
        <w:tc>
          <w:tcPr>
            <w:tcW w:w="4009" w:type="pct"/>
            <w:gridSpan w:val="3"/>
            <w:noWrap w:val="0"/>
            <w:vAlign w:val="center"/>
          </w:tcPr>
          <w:p w14:paraId="64B8D944">
            <w:pPr>
              <w:pStyle w:val="61"/>
              <w:ind w:firstLine="0"/>
              <w:rPr>
                <w:rFonts w:hint="default" w:ascii="Times New Roman" w:hAnsi="Times New Roman" w:cs="Times New Roman"/>
                <w:b w:val="0"/>
                <w:bCs/>
                <w:color w:val="000000" w:themeColor="text1"/>
                <w:sz w:val="24"/>
                <w:szCs w:val="24"/>
                <w14:textFill>
                  <w14:solidFill>
                    <w14:schemeClr w14:val="tx1"/>
                  </w14:solidFill>
                </w14:textFill>
              </w:rPr>
            </w:pPr>
            <w:r>
              <w:rPr>
                <w:rFonts w:hint="default" w:ascii="Times New Roman" w:hAnsi="Times New Roman" w:cs="Times New Roman"/>
                <w:b w:val="0"/>
                <w:bCs/>
                <w:color w:val="000000" w:themeColor="text1"/>
                <w:sz w:val="24"/>
                <w:szCs w:val="24"/>
                <w14:textFill>
                  <w14:solidFill>
                    <w14:schemeClr w14:val="tx1"/>
                  </w14:solidFill>
                </w14:textFill>
              </w:rPr>
              <w:t>经度：</w:t>
            </w:r>
            <w:r>
              <w:rPr>
                <w:rFonts w:hint="default" w:ascii="Times New Roman" w:hAnsi="Times New Roman" w:cs="Times New Roman"/>
                <w:b w:val="0"/>
                <w:bCs/>
                <w:color w:val="000000" w:themeColor="text1"/>
                <w:sz w:val="24"/>
                <w:szCs w:val="24"/>
                <w:lang w:val="sq-AL"/>
                <w14:textFill>
                  <w14:solidFill>
                    <w14:schemeClr w14:val="tx1"/>
                  </w14:solidFill>
                </w14:textFill>
              </w:rPr>
              <w:t>11</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6</w:t>
            </w:r>
            <w:r>
              <w:rPr>
                <w:rFonts w:hint="default" w:ascii="Times New Roman" w:hAnsi="Times New Roman" w:cs="Times New Roman"/>
                <w:b w:val="0"/>
                <w:bCs/>
                <w:color w:val="000000" w:themeColor="text1"/>
                <w:sz w:val="24"/>
                <w:szCs w:val="24"/>
                <w14:textFill>
                  <w14:solidFill>
                    <w14:schemeClr w14:val="tx1"/>
                  </w14:solidFill>
                </w14:textFill>
              </w:rPr>
              <w:t>度</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54</w:t>
            </w:r>
            <w:r>
              <w:rPr>
                <w:rFonts w:hint="default" w:ascii="Times New Roman" w:hAnsi="Times New Roman" w:cs="Times New Roman"/>
                <w:b w:val="0"/>
                <w:bCs/>
                <w:color w:val="000000" w:themeColor="text1"/>
                <w:sz w:val="24"/>
                <w:szCs w:val="24"/>
                <w14:textFill>
                  <w14:solidFill>
                    <w14:schemeClr w14:val="tx1"/>
                  </w14:solidFill>
                </w14:textFill>
              </w:rPr>
              <w:t>分11.482秒，纬度：</w:t>
            </w:r>
            <w:r>
              <w:rPr>
                <w:rFonts w:hint="default" w:ascii="Times New Roman" w:hAnsi="Times New Roman" w:cs="Times New Roman"/>
                <w:b w:val="0"/>
                <w:bCs/>
                <w:color w:val="000000" w:themeColor="text1"/>
                <w:sz w:val="24"/>
                <w:szCs w:val="24"/>
                <w:lang w:val="sq-AL"/>
                <w14:textFill>
                  <w14:solidFill>
                    <w14:schemeClr w14:val="tx1"/>
                  </w14:solidFill>
                </w14:textFill>
              </w:rPr>
              <w:t>3</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2</w:t>
            </w:r>
            <w:r>
              <w:rPr>
                <w:rFonts w:hint="default" w:ascii="Times New Roman" w:hAnsi="Times New Roman" w:cs="Times New Roman"/>
                <w:b w:val="0"/>
                <w:bCs/>
                <w:color w:val="000000" w:themeColor="text1"/>
                <w:sz w:val="24"/>
                <w:szCs w:val="24"/>
                <w14:textFill>
                  <w14:solidFill>
                    <w14:schemeClr w14:val="tx1"/>
                  </w14:solidFill>
                </w14:textFill>
              </w:rPr>
              <w:t>度</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42</w:t>
            </w:r>
            <w:r>
              <w:rPr>
                <w:rFonts w:hint="default" w:ascii="Times New Roman" w:hAnsi="Times New Roman" w:cs="Times New Roman"/>
                <w:b w:val="0"/>
                <w:bCs/>
                <w:color w:val="000000" w:themeColor="text1"/>
                <w:sz w:val="24"/>
                <w:szCs w:val="24"/>
                <w14:textFill>
                  <w14:solidFill>
                    <w14:schemeClr w14:val="tx1"/>
                  </w14:solidFill>
                </w14:textFill>
              </w:rPr>
              <w:t>分4.515秒</w:t>
            </w:r>
          </w:p>
        </w:tc>
      </w:tr>
      <w:tr w14:paraId="66270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90" w:type="pct"/>
            <w:noWrap w:val="0"/>
            <w:tcMar>
              <w:top w:w="16" w:type="dxa"/>
              <w:left w:w="16" w:type="dxa"/>
              <w:right w:w="16" w:type="dxa"/>
            </w:tcMar>
            <w:vAlign w:val="center"/>
          </w:tcPr>
          <w:p w14:paraId="6D9A4AF0">
            <w:pPr>
              <w:pStyle w:val="61"/>
              <w:ind w:firstLine="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国民经济行业类别</w:t>
            </w:r>
          </w:p>
        </w:tc>
        <w:tc>
          <w:tcPr>
            <w:tcW w:w="890" w:type="pct"/>
            <w:noWrap w:val="0"/>
            <w:vAlign w:val="center"/>
          </w:tcPr>
          <w:p w14:paraId="0266EA66">
            <w:pPr>
              <w:pStyle w:val="61"/>
              <w:ind w:firstLine="0"/>
              <w:rPr>
                <w:rFonts w:hint="default" w:ascii="Times New Roman" w:hAnsi="Times New Roman" w:cs="Times New Roman"/>
                <w:b w:val="0"/>
                <w:bCs/>
                <w:color w:val="000000"/>
                <w:sz w:val="24"/>
                <w:szCs w:val="24"/>
                <w:lang w:val="en-US" w:eastAsia="zh-CN"/>
              </w:rPr>
            </w:pPr>
            <w:r>
              <w:rPr>
                <w:rFonts w:hint="default" w:ascii="Times New Roman" w:hAnsi="Times New Roman" w:cs="Times New Roman"/>
                <w:b w:val="0"/>
                <w:bCs/>
                <w:color w:val="000000"/>
                <w:sz w:val="24"/>
                <w:szCs w:val="24"/>
                <w:lang w:val="en-US" w:eastAsia="zh-CN"/>
              </w:rPr>
              <w:t>C2929 塑料零件及其他塑料制品制造</w:t>
            </w:r>
          </w:p>
        </w:tc>
        <w:tc>
          <w:tcPr>
            <w:tcW w:w="1051" w:type="pct"/>
            <w:noWrap w:val="0"/>
            <w:vAlign w:val="center"/>
          </w:tcPr>
          <w:p w14:paraId="358FEAF4">
            <w:pPr>
              <w:pStyle w:val="61"/>
              <w:ind w:firstLine="0"/>
              <w:rPr>
                <w:rFonts w:hint="default" w:ascii="Times New Roman" w:hAnsi="Times New Roman" w:cs="Times New Roman"/>
                <w:b w:val="0"/>
                <w:bCs/>
                <w:color w:val="000000"/>
                <w:sz w:val="24"/>
                <w:szCs w:val="24"/>
              </w:rPr>
            </w:pPr>
            <w:bookmarkStart w:id="1" w:name="_Hlk49843745"/>
            <w:r>
              <w:rPr>
                <w:rFonts w:hint="default" w:ascii="Times New Roman" w:hAnsi="Times New Roman" w:cs="Times New Roman"/>
                <w:b w:val="0"/>
                <w:bCs/>
                <w:color w:val="000000"/>
                <w:sz w:val="24"/>
                <w:szCs w:val="24"/>
              </w:rPr>
              <w:t>建设项目行业类别</w:t>
            </w:r>
            <w:bookmarkEnd w:id="1"/>
          </w:p>
        </w:tc>
        <w:tc>
          <w:tcPr>
            <w:tcW w:w="2066" w:type="pct"/>
            <w:noWrap w:val="0"/>
            <w:vAlign w:val="center"/>
          </w:tcPr>
          <w:p w14:paraId="55DA0A7A">
            <w:pPr>
              <w:pStyle w:val="61"/>
              <w:ind w:firstLine="0"/>
              <w:rPr>
                <w:rFonts w:hint="default" w:ascii="Times New Roman" w:hAnsi="Times New Roman" w:cs="Times New Roman"/>
                <w:b w:val="0"/>
                <w:bCs/>
                <w:color w:val="000000"/>
                <w:sz w:val="24"/>
                <w:szCs w:val="24"/>
                <w:lang w:val="en-US" w:eastAsia="zh-CN"/>
              </w:rPr>
            </w:pPr>
            <w:r>
              <w:rPr>
                <w:rFonts w:hint="default" w:ascii="Times New Roman" w:hAnsi="Times New Roman" w:cs="Times New Roman"/>
                <w:b w:val="0"/>
                <w:bCs/>
                <w:color w:val="000000"/>
                <w:sz w:val="24"/>
                <w:szCs w:val="24"/>
                <w:lang w:val="en-US" w:eastAsia="zh-CN"/>
              </w:rPr>
              <w:t>二十六、橡胶和塑料制品业20/53.塑料制品业292.其他（年用非溶剂型低VOCs含量涂料10吨以下的除外）</w:t>
            </w:r>
          </w:p>
        </w:tc>
      </w:tr>
      <w:tr w14:paraId="6AD60D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90" w:type="pct"/>
            <w:noWrap w:val="0"/>
            <w:tcMar>
              <w:top w:w="16" w:type="dxa"/>
              <w:left w:w="16" w:type="dxa"/>
              <w:right w:w="16" w:type="dxa"/>
            </w:tcMar>
            <w:vAlign w:val="center"/>
          </w:tcPr>
          <w:p w14:paraId="1835BA1D">
            <w:pPr>
              <w:pStyle w:val="61"/>
              <w:ind w:firstLine="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建设性质</w:t>
            </w:r>
          </w:p>
        </w:tc>
        <w:tc>
          <w:tcPr>
            <w:tcW w:w="890" w:type="pct"/>
            <w:noWrap w:val="0"/>
            <w:vAlign w:val="center"/>
          </w:tcPr>
          <w:p w14:paraId="1303330E">
            <w:pPr>
              <w:pStyle w:val="61"/>
              <w:ind w:firstLine="0"/>
              <w:jc w:val="left"/>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sym w:font="Wingdings 2" w:char="0052"/>
            </w:r>
            <w:r>
              <w:rPr>
                <w:rFonts w:hint="default" w:ascii="Times New Roman" w:hAnsi="Times New Roman" w:cs="Times New Roman"/>
                <w:b w:val="0"/>
                <w:bCs/>
                <w:color w:val="000000"/>
                <w:sz w:val="24"/>
                <w:szCs w:val="24"/>
              </w:rPr>
              <w:t>新建（迁建）</w:t>
            </w:r>
          </w:p>
          <w:p w14:paraId="1D0FEE54">
            <w:pPr>
              <w:pStyle w:val="61"/>
              <w:ind w:firstLine="0"/>
              <w:jc w:val="left"/>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sym w:font="Wingdings 2" w:char="00A3"/>
            </w:r>
            <w:r>
              <w:rPr>
                <w:rFonts w:hint="default" w:ascii="Times New Roman" w:hAnsi="Times New Roman" w:cs="Times New Roman"/>
                <w:b w:val="0"/>
                <w:bCs/>
                <w:color w:val="000000"/>
                <w:sz w:val="24"/>
                <w:szCs w:val="24"/>
              </w:rPr>
              <w:t>改建</w:t>
            </w:r>
          </w:p>
          <w:p w14:paraId="7D2F142B">
            <w:pPr>
              <w:pStyle w:val="61"/>
              <w:ind w:firstLine="0"/>
              <w:jc w:val="left"/>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sym w:font="Wingdings 2" w:char="00A3"/>
            </w:r>
            <w:r>
              <w:rPr>
                <w:rFonts w:hint="default" w:ascii="Times New Roman" w:hAnsi="Times New Roman" w:cs="Times New Roman"/>
                <w:b w:val="0"/>
                <w:bCs/>
                <w:color w:val="000000"/>
                <w:sz w:val="24"/>
                <w:szCs w:val="24"/>
              </w:rPr>
              <w:t>扩建</w:t>
            </w:r>
          </w:p>
          <w:p w14:paraId="30296C02">
            <w:pPr>
              <w:pStyle w:val="61"/>
              <w:ind w:firstLine="0"/>
              <w:jc w:val="left"/>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lang w:eastAsia="zh-CN"/>
              </w:rPr>
              <w:t>□</w:t>
            </w:r>
            <w:r>
              <w:rPr>
                <w:rFonts w:hint="default" w:ascii="Times New Roman" w:hAnsi="Times New Roman" w:cs="Times New Roman"/>
                <w:b w:val="0"/>
                <w:bCs/>
                <w:color w:val="000000"/>
                <w:sz w:val="24"/>
                <w:szCs w:val="24"/>
              </w:rPr>
              <w:t>技术改造</w:t>
            </w:r>
          </w:p>
        </w:tc>
        <w:tc>
          <w:tcPr>
            <w:tcW w:w="1051" w:type="pct"/>
            <w:noWrap w:val="0"/>
            <w:vAlign w:val="center"/>
          </w:tcPr>
          <w:p w14:paraId="45C3B2F7">
            <w:pPr>
              <w:pStyle w:val="61"/>
              <w:ind w:firstLine="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建设项目申报情形</w:t>
            </w:r>
          </w:p>
        </w:tc>
        <w:tc>
          <w:tcPr>
            <w:tcW w:w="2066" w:type="pct"/>
            <w:noWrap w:val="0"/>
            <w:vAlign w:val="center"/>
          </w:tcPr>
          <w:p w14:paraId="50C64EDF">
            <w:pPr>
              <w:pStyle w:val="61"/>
              <w:ind w:firstLine="0"/>
              <w:jc w:val="left"/>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sym w:font="Wingdings 2" w:char="0052"/>
            </w:r>
            <w:r>
              <w:rPr>
                <w:rFonts w:hint="default" w:ascii="Times New Roman" w:hAnsi="Times New Roman" w:cs="Times New Roman"/>
                <w:b w:val="0"/>
                <w:bCs/>
                <w:color w:val="000000"/>
                <w:sz w:val="24"/>
                <w:szCs w:val="24"/>
              </w:rPr>
              <w:t>首次申报项目</w:t>
            </w:r>
          </w:p>
          <w:p w14:paraId="2DEA0230">
            <w:pPr>
              <w:pStyle w:val="61"/>
              <w:ind w:firstLine="0"/>
              <w:jc w:val="left"/>
              <w:rPr>
                <w:rFonts w:hint="default" w:ascii="Times New Roman" w:hAnsi="Times New Roman" w:cs="Times New Roman"/>
                <w:b w:val="0"/>
                <w:bCs/>
                <w:color w:val="000000"/>
                <w:sz w:val="24"/>
                <w:szCs w:val="24"/>
              </w:rPr>
            </w:pPr>
            <w:r>
              <w:rPr>
                <w:rFonts w:hint="eastAsia" w:ascii="Times New Roman" w:hAnsi="Times New Roman" w:cs="Times New Roman"/>
                <w:b w:val="0"/>
                <w:bCs/>
                <w:color w:val="000000"/>
                <w:sz w:val="24"/>
                <w:szCs w:val="24"/>
                <w:lang w:eastAsia="zh-CN"/>
              </w:rPr>
              <w:t>□</w:t>
            </w:r>
            <w:r>
              <w:rPr>
                <w:rFonts w:hint="default" w:ascii="Times New Roman" w:hAnsi="Times New Roman" w:cs="Times New Roman"/>
                <w:b w:val="0"/>
                <w:bCs/>
                <w:color w:val="000000"/>
                <w:sz w:val="24"/>
                <w:szCs w:val="24"/>
              </w:rPr>
              <w:t>不予批准后再次申报项目</w:t>
            </w:r>
          </w:p>
          <w:p w14:paraId="18F0D6C8">
            <w:pPr>
              <w:pStyle w:val="61"/>
              <w:ind w:firstLine="0"/>
              <w:jc w:val="left"/>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sym w:font="Wingdings 2" w:char="00A3"/>
            </w:r>
            <w:r>
              <w:rPr>
                <w:rFonts w:hint="default" w:ascii="Times New Roman" w:hAnsi="Times New Roman" w:cs="Times New Roman"/>
                <w:b w:val="0"/>
                <w:bCs/>
                <w:color w:val="000000"/>
                <w:sz w:val="24"/>
                <w:szCs w:val="24"/>
              </w:rPr>
              <w:t>超五年重新审核项目</w:t>
            </w:r>
          </w:p>
          <w:p w14:paraId="6D338867">
            <w:pPr>
              <w:pStyle w:val="61"/>
              <w:ind w:firstLine="0"/>
              <w:jc w:val="left"/>
              <w:rPr>
                <w:rFonts w:hint="default" w:ascii="Times New Roman" w:hAnsi="Times New Roman" w:cs="Times New Roman"/>
                <w:b w:val="0"/>
                <w:bCs/>
                <w:color w:val="000000"/>
                <w:sz w:val="24"/>
                <w:szCs w:val="24"/>
              </w:rPr>
            </w:pPr>
            <w:r>
              <w:rPr>
                <w:rFonts w:hint="eastAsia" w:ascii="Times New Roman" w:hAnsi="Times New Roman" w:cs="Times New Roman"/>
                <w:b w:val="0"/>
                <w:bCs/>
                <w:color w:val="000000"/>
                <w:sz w:val="24"/>
                <w:szCs w:val="24"/>
                <w:lang w:eastAsia="zh-CN"/>
              </w:rPr>
              <w:t>□</w:t>
            </w:r>
            <w:r>
              <w:rPr>
                <w:rFonts w:hint="default" w:ascii="Times New Roman" w:hAnsi="Times New Roman" w:cs="Times New Roman"/>
                <w:b w:val="0"/>
                <w:bCs/>
                <w:color w:val="000000"/>
                <w:sz w:val="24"/>
                <w:szCs w:val="24"/>
              </w:rPr>
              <w:t>重大变动重新报批项目</w:t>
            </w:r>
          </w:p>
        </w:tc>
      </w:tr>
      <w:tr w14:paraId="274887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90" w:type="pct"/>
            <w:noWrap w:val="0"/>
            <w:tcMar>
              <w:top w:w="16" w:type="dxa"/>
              <w:left w:w="16" w:type="dxa"/>
              <w:right w:w="16" w:type="dxa"/>
            </w:tcMar>
            <w:vAlign w:val="center"/>
          </w:tcPr>
          <w:p w14:paraId="30F37B52">
            <w:pPr>
              <w:pStyle w:val="61"/>
              <w:ind w:firstLine="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项目审批（核准/备案）部门（选填）</w:t>
            </w:r>
          </w:p>
        </w:tc>
        <w:tc>
          <w:tcPr>
            <w:tcW w:w="890" w:type="pct"/>
            <w:noWrap w:val="0"/>
            <w:vAlign w:val="center"/>
          </w:tcPr>
          <w:p w14:paraId="5602051D">
            <w:pPr>
              <w:pStyle w:val="61"/>
              <w:ind w:firstLine="0"/>
              <w:rPr>
                <w:rFonts w:hint="default" w:ascii="Times New Roman" w:hAnsi="Times New Roman" w:eastAsia="宋体" w:cs="Times New Roman"/>
                <w:b w:val="0"/>
                <w:bCs/>
                <w:color w:val="000000"/>
                <w:sz w:val="24"/>
                <w:szCs w:val="24"/>
                <w:lang w:val="en-US" w:eastAsia="zh-CN"/>
              </w:rPr>
            </w:pPr>
            <w:r>
              <w:rPr>
                <w:rFonts w:hint="default" w:ascii="Times New Roman" w:hAnsi="Times New Roman" w:cs="Times New Roman"/>
                <w:b w:val="0"/>
                <w:bCs/>
                <w:color w:val="000000"/>
                <w:sz w:val="24"/>
                <w:szCs w:val="24"/>
                <w:lang w:val="en-US" w:eastAsia="zh-CN"/>
              </w:rPr>
              <w:t>淮南市潘集区发展和改革委员会</w:t>
            </w:r>
          </w:p>
        </w:tc>
        <w:tc>
          <w:tcPr>
            <w:tcW w:w="1051" w:type="pct"/>
            <w:noWrap w:val="0"/>
            <w:vAlign w:val="center"/>
          </w:tcPr>
          <w:p w14:paraId="4E8E5A36">
            <w:pPr>
              <w:pStyle w:val="61"/>
              <w:ind w:firstLine="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项目审批（核准/备案）文号（选填）</w:t>
            </w:r>
          </w:p>
        </w:tc>
        <w:tc>
          <w:tcPr>
            <w:tcW w:w="2066" w:type="pct"/>
            <w:noWrap w:val="0"/>
            <w:vAlign w:val="center"/>
          </w:tcPr>
          <w:p w14:paraId="06B2492E">
            <w:pPr>
              <w:pStyle w:val="61"/>
              <w:ind w:firstLine="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w:t>
            </w:r>
          </w:p>
        </w:tc>
      </w:tr>
      <w:tr w14:paraId="7A741B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90" w:type="pct"/>
            <w:noWrap w:val="0"/>
            <w:tcMar>
              <w:top w:w="16" w:type="dxa"/>
              <w:left w:w="16" w:type="dxa"/>
              <w:right w:w="16" w:type="dxa"/>
            </w:tcMar>
            <w:vAlign w:val="center"/>
          </w:tcPr>
          <w:p w14:paraId="04377C5E">
            <w:pPr>
              <w:pStyle w:val="61"/>
              <w:ind w:firstLine="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总投资（万元）</w:t>
            </w:r>
          </w:p>
        </w:tc>
        <w:tc>
          <w:tcPr>
            <w:tcW w:w="890" w:type="pct"/>
            <w:noWrap w:val="0"/>
            <w:vAlign w:val="center"/>
          </w:tcPr>
          <w:p w14:paraId="66E20979">
            <w:pPr>
              <w:pStyle w:val="61"/>
              <w:ind w:firstLine="0"/>
              <w:rPr>
                <w:rFonts w:hint="default" w:ascii="Times New Roman" w:hAnsi="Times New Roman" w:eastAsia="宋体" w:cs="Times New Roman"/>
                <w:color w:val="000000"/>
                <w:lang w:val="en-US" w:eastAsia="zh-CN"/>
              </w:rPr>
            </w:pPr>
            <w:r>
              <w:rPr>
                <w:rFonts w:hint="default" w:ascii="Times New Roman" w:hAnsi="Times New Roman" w:cs="Times New Roman"/>
                <w:b w:val="0"/>
                <w:bCs/>
                <w:color w:val="000000"/>
                <w:sz w:val="24"/>
                <w:szCs w:val="24"/>
                <w:lang w:val="en-US" w:eastAsia="zh-CN"/>
              </w:rPr>
              <w:t>11000.0</w:t>
            </w:r>
          </w:p>
        </w:tc>
        <w:tc>
          <w:tcPr>
            <w:tcW w:w="1051" w:type="pct"/>
            <w:noWrap w:val="0"/>
            <w:tcMar>
              <w:top w:w="16" w:type="dxa"/>
              <w:left w:w="16" w:type="dxa"/>
              <w:right w:w="16" w:type="dxa"/>
            </w:tcMar>
            <w:vAlign w:val="center"/>
          </w:tcPr>
          <w:p w14:paraId="3C1C459A">
            <w:pPr>
              <w:pStyle w:val="61"/>
              <w:ind w:firstLine="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环保投资（万元）</w:t>
            </w:r>
          </w:p>
        </w:tc>
        <w:tc>
          <w:tcPr>
            <w:tcW w:w="2066" w:type="pct"/>
            <w:noWrap w:val="0"/>
            <w:vAlign w:val="center"/>
          </w:tcPr>
          <w:p w14:paraId="2551C5EF">
            <w:pPr>
              <w:pStyle w:val="61"/>
              <w:ind w:firstLine="0"/>
              <w:rPr>
                <w:rFonts w:hint="default" w:ascii="Times New Roman" w:hAnsi="Times New Roman" w:eastAsia="宋体" w:cs="Times New Roman"/>
                <w:b w:val="0"/>
                <w:bCs/>
                <w:color w:val="000000"/>
                <w:sz w:val="24"/>
                <w:szCs w:val="24"/>
                <w:lang w:val="en-US" w:eastAsia="zh-CN"/>
              </w:rPr>
            </w:pPr>
            <w:r>
              <w:rPr>
                <w:rFonts w:hint="eastAsia" w:ascii="Times New Roman" w:hAnsi="Times New Roman" w:cs="Times New Roman"/>
                <w:b w:val="0"/>
                <w:bCs/>
                <w:color w:val="000000" w:themeColor="text1"/>
                <w:sz w:val="24"/>
                <w:szCs w:val="24"/>
                <w:lang w:val="en-US" w:eastAsia="zh-CN"/>
                <w14:textFill>
                  <w14:solidFill>
                    <w14:schemeClr w14:val="tx1"/>
                  </w14:solidFill>
                </w14:textFill>
              </w:rPr>
              <w:t>28</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.0</w:t>
            </w:r>
          </w:p>
        </w:tc>
      </w:tr>
      <w:tr w14:paraId="18259D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90" w:type="pct"/>
            <w:noWrap w:val="0"/>
            <w:tcMar>
              <w:top w:w="16" w:type="dxa"/>
              <w:left w:w="16" w:type="dxa"/>
              <w:right w:w="16" w:type="dxa"/>
            </w:tcMar>
            <w:vAlign w:val="center"/>
          </w:tcPr>
          <w:p w14:paraId="4D598EEF">
            <w:pPr>
              <w:pStyle w:val="61"/>
              <w:ind w:firstLine="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环保投资占比（%）</w:t>
            </w:r>
          </w:p>
        </w:tc>
        <w:tc>
          <w:tcPr>
            <w:tcW w:w="890" w:type="pct"/>
            <w:noWrap w:val="0"/>
            <w:vAlign w:val="center"/>
          </w:tcPr>
          <w:p w14:paraId="55982998">
            <w:pPr>
              <w:pStyle w:val="61"/>
              <w:ind w:firstLine="0"/>
              <w:rPr>
                <w:rFonts w:hint="default" w:ascii="Times New Roman" w:hAnsi="Times New Roman" w:eastAsia="宋体" w:cs="Times New Roman"/>
                <w:b w:val="0"/>
                <w:bCs/>
                <w:color w:val="000000"/>
                <w:sz w:val="24"/>
                <w:szCs w:val="24"/>
                <w:lang w:val="en-US" w:eastAsia="zh-CN"/>
              </w:rPr>
            </w:pPr>
            <w:r>
              <w:rPr>
                <w:rFonts w:hint="eastAsia" w:ascii="Times New Roman" w:hAnsi="Times New Roman" w:cs="Times New Roman"/>
                <w:b w:val="0"/>
                <w:bCs/>
                <w:color w:val="000000" w:themeColor="text1"/>
                <w:sz w:val="24"/>
                <w:szCs w:val="24"/>
                <w:lang w:val="en-US" w:eastAsia="zh-CN"/>
                <w14:textFill>
                  <w14:solidFill>
                    <w14:schemeClr w14:val="tx1"/>
                  </w14:solidFill>
                </w14:textFill>
              </w:rPr>
              <w:t>0.25</w:t>
            </w:r>
          </w:p>
        </w:tc>
        <w:tc>
          <w:tcPr>
            <w:tcW w:w="1051" w:type="pct"/>
            <w:noWrap w:val="0"/>
            <w:tcMar>
              <w:top w:w="16" w:type="dxa"/>
              <w:left w:w="16" w:type="dxa"/>
              <w:right w:w="16" w:type="dxa"/>
            </w:tcMar>
            <w:vAlign w:val="center"/>
          </w:tcPr>
          <w:p w14:paraId="6D5E22AD">
            <w:pPr>
              <w:pStyle w:val="61"/>
              <w:ind w:firstLine="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施工工期</w:t>
            </w:r>
          </w:p>
        </w:tc>
        <w:tc>
          <w:tcPr>
            <w:tcW w:w="2066" w:type="pct"/>
            <w:noWrap w:val="0"/>
            <w:vAlign w:val="center"/>
          </w:tcPr>
          <w:p w14:paraId="348EF029">
            <w:pPr>
              <w:pStyle w:val="61"/>
              <w:ind w:firstLine="0"/>
              <w:rPr>
                <w:rFonts w:hint="default" w:ascii="Times New Roman" w:hAnsi="Times New Roman" w:cs="Times New Roman"/>
                <w:b w:val="0"/>
                <w:bCs/>
                <w:color w:val="000000"/>
                <w:sz w:val="24"/>
                <w:szCs w:val="24"/>
                <w:lang w:val="en-US"/>
              </w:rPr>
            </w:pPr>
            <w:r>
              <w:rPr>
                <w:rFonts w:hint="default" w:ascii="Times New Roman" w:hAnsi="Times New Roman" w:cs="Times New Roman"/>
                <w:b w:val="0"/>
                <w:bCs/>
                <w:color w:val="000000"/>
                <w:sz w:val="24"/>
                <w:szCs w:val="24"/>
                <w:lang w:val="en-US" w:eastAsia="zh-CN"/>
              </w:rPr>
              <w:t>1个月</w:t>
            </w:r>
          </w:p>
        </w:tc>
      </w:tr>
      <w:tr w14:paraId="0FBD28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90" w:type="pct"/>
            <w:noWrap w:val="0"/>
            <w:tcMar>
              <w:top w:w="16" w:type="dxa"/>
              <w:left w:w="16" w:type="dxa"/>
              <w:right w:w="16" w:type="dxa"/>
            </w:tcMar>
            <w:vAlign w:val="center"/>
          </w:tcPr>
          <w:p w14:paraId="6D980C2D">
            <w:pPr>
              <w:pStyle w:val="61"/>
              <w:ind w:firstLine="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是否开工建设</w:t>
            </w:r>
          </w:p>
        </w:tc>
        <w:tc>
          <w:tcPr>
            <w:tcW w:w="890" w:type="pct"/>
            <w:noWrap w:val="0"/>
            <w:vAlign w:val="center"/>
          </w:tcPr>
          <w:p w14:paraId="0B915EC1">
            <w:pPr>
              <w:pStyle w:val="61"/>
              <w:ind w:firstLine="0"/>
              <w:jc w:val="left"/>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sym w:font="Wingdings 2" w:char="0052"/>
            </w:r>
            <w:r>
              <w:rPr>
                <w:rFonts w:hint="default" w:ascii="Times New Roman" w:hAnsi="Times New Roman" w:cs="Times New Roman"/>
                <w:b w:val="0"/>
                <w:bCs/>
                <w:color w:val="000000"/>
                <w:sz w:val="24"/>
                <w:szCs w:val="24"/>
              </w:rPr>
              <w:t>否</w:t>
            </w:r>
          </w:p>
          <w:p w14:paraId="05B89730">
            <w:pPr>
              <w:pStyle w:val="61"/>
              <w:ind w:firstLine="0"/>
              <w:jc w:val="left"/>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sym w:font="Wingdings 2" w:char="00A3"/>
            </w:r>
            <w:r>
              <w:rPr>
                <w:rFonts w:hint="default" w:ascii="Times New Roman" w:hAnsi="Times New Roman" w:cs="Times New Roman"/>
                <w:b w:val="0"/>
                <w:bCs/>
                <w:color w:val="000000"/>
                <w:sz w:val="24"/>
                <w:szCs w:val="24"/>
              </w:rPr>
              <w:t>是</w:t>
            </w:r>
          </w:p>
        </w:tc>
        <w:tc>
          <w:tcPr>
            <w:tcW w:w="1051" w:type="pct"/>
            <w:noWrap w:val="0"/>
            <w:tcMar>
              <w:top w:w="16" w:type="dxa"/>
              <w:left w:w="16" w:type="dxa"/>
              <w:right w:w="16" w:type="dxa"/>
            </w:tcMar>
            <w:vAlign w:val="center"/>
          </w:tcPr>
          <w:p w14:paraId="0E59422D">
            <w:pPr>
              <w:pStyle w:val="61"/>
              <w:ind w:firstLine="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用地面积（m</w:t>
            </w:r>
            <w:r>
              <w:rPr>
                <w:rFonts w:hint="default" w:ascii="Times New Roman" w:hAnsi="Times New Roman" w:cs="Times New Roman"/>
                <w:b w:val="0"/>
                <w:bCs/>
                <w:color w:val="000000"/>
                <w:sz w:val="24"/>
                <w:szCs w:val="24"/>
                <w:vertAlign w:val="superscript"/>
              </w:rPr>
              <w:t>2</w:t>
            </w:r>
            <w:r>
              <w:rPr>
                <w:rFonts w:hint="default" w:ascii="Times New Roman" w:hAnsi="Times New Roman" w:cs="Times New Roman"/>
                <w:b w:val="0"/>
                <w:bCs/>
                <w:color w:val="000000"/>
                <w:sz w:val="24"/>
                <w:szCs w:val="24"/>
              </w:rPr>
              <w:t>）</w:t>
            </w:r>
          </w:p>
        </w:tc>
        <w:tc>
          <w:tcPr>
            <w:tcW w:w="2066" w:type="pct"/>
            <w:noWrap w:val="0"/>
            <w:vAlign w:val="center"/>
          </w:tcPr>
          <w:p w14:paraId="69D059DE">
            <w:pPr>
              <w:pStyle w:val="61"/>
              <w:ind w:firstLine="0"/>
              <w:rPr>
                <w:rFonts w:hint="default" w:ascii="Times New Roman" w:hAnsi="Times New Roman" w:eastAsia="宋体" w:cs="Times New Roman"/>
                <w:b w:val="0"/>
                <w:bCs/>
                <w:color w:val="000000"/>
                <w:sz w:val="24"/>
                <w:szCs w:val="24"/>
                <w:lang w:val="en-US" w:eastAsia="zh-CN"/>
              </w:rPr>
            </w:pPr>
            <w:r>
              <w:rPr>
                <w:rFonts w:hint="default" w:ascii="Times New Roman" w:hAnsi="Times New Roman" w:cs="Times New Roman"/>
                <w:b w:val="0"/>
                <w:bCs/>
                <w:color w:val="000000"/>
                <w:sz w:val="24"/>
                <w:szCs w:val="24"/>
                <w:highlight w:val="none"/>
                <w:lang w:val="en-US" w:eastAsia="zh-CN"/>
              </w:rPr>
              <w:t>3000.0</w:t>
            </w:r>
          </w:p>
        </w:tc>
      </w:tr>
      <w:tr w14:paraId="47367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7" w:hRule="atLeast"/>
          <w:jc w:val="center"/>
        </w:trPr>
        <w:tc>
          <w:tcPr>
            <w:tcW w:w="990" w:type="pct"/>
            <w:noWrap w:val="0"/>
            <w:vAlign w:val="center"/>
          </w:tcPr>
          <w:p w14:paraId="0D95829B">
            <w:pPr>
              <w:pStyle w:val="61"/>
              <w:ind w:firstLine="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专项评价设置情况</w:t>
            </w:r>
          </w:p>
        </w:tc>
        <w:tc>
          <w:tcPr>
            <w:tcW w:w="4009" w:type="pct"/>
            <w:gridSpan w:val="3"/>
            <w:noWrap w:val="0"/>
            <w:vAlign w:val="center"/>
          </w:tcPr>
          <w:p w14:paraId="3E5E7CCE">
            <w:pPr>
              <w:autoSpaceDE w:val="0"/>
              <w:autoSpaceDN w:val="0"/>
              <w:adjustRightInd w:val="0"/>
              <w:snapToGrid w:val="0"/>
              <w:spacing w:line="240" w:lineRule="auto"/>
              <w:jc w:val="center"/>
              <w:rPr>
                <w:rFonts w:hint="eastAsia" w:ascii="Times New Roman" w:hAnsi="Times New Roman" w:eastAsia="宋体" w:cs="Times New Roman"/>
                <w:bCs/>
                <w:color w:val="000000"/>
                <w:kern w:val="0"/>
                <w:szCs w:val="21"/>
                <w:lang w:val="en-US" w:eastAsia="zh-CN"/>
              </w:rPr>
            </w:pPr>
            <w:r>
              <w:rPr>
                <w:rFonts w:hint="eastAsia"/>
                <w:color w:val="auto"/>
                <w:lang w:val="en-US" w:eastAsia="zh-CN"/>
              </w:rPr>
              <w:t>无</w:t>
            </w:r>
          </w:p>
        </w:tc>
      </w:tr>
      <w:tr w14:paraId="6775AD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462" w:hRule="atLeast"/>
          <w:jc w:val="center"/>
        </w:trPr>
        <w:tc>
          <w:tcPr>
            <w:tcW w:w="990" w:type="pct"/>
            <w:noWrap w:val="0"/>
            <w:vAlign w:val="center"/>
          </w:tcPr>
          <w:p w14:paraId="4E0E06F0">
            <w:pPr>
              <w:pStyle w:val="61"/>
              <w:ind w:firstLine="0"/>
              <w:jc w:val="center"/>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规划情况</w:t>
            </w:r>
          </w:p>
        </w:tc>
        <w:tc>
          <w:tcPr>
            <w:tcW w:w="4009" w:type="pct"/>
            <w:gridSpan w:val="3"/>
            <w:noWrap w:val="0"/>
            <w:vAlign w:val="center"/>
          </w:tcPr>
          <w:p w14:paraId="2767F6D6">
            <w:pPr>
              <w:autoSpaceDE w:val="0"/>
              <w:autoSpaceDN w:val="0"/>
              <w:adjustRightInd w:val="0"/>
              <w:snapToGrid w:val="0"/>
              <w:spacing w:line="240" w:lineRule="auto"/>
              <w:jc w:val="left"/>
              <w:rPr>
                <w:rFonts w:hint="default" w:ascii="Times New Roman" w:hAnsi="Times New Roman" w:cs="Times New Roman"/>
                <w:color w:val="000000"/>
                <w:kern w:val="0"/>
              </w:rPr>
            </w:pPr>
            <w:r>
              <w:rPr>
                <w:rFonts w:hint="default" w:ascii="Times New Roman" w:hAnsi="Times New Roman" w:cs="Times New Roman"/>
                <w:color w:val="000000"/>
                <w:kern w:val="0"/>
              </w:rPr>
              <w:t>规划名称：</w:t>
            </w:r>
            <w:r>
              <w:rPr>
                <w:rFonts w:hint="eastAsia"/>
                <w:color w:val="auto"/>
              </w:rPr>
              <w:t>《安徽淮南潘集经济开发区（安徽淮南现代煤化工产业园）总体发展规划（2022-2035年）》</w:t>
            </w:r>
          </w:p>
          <w:p w14:paraId="36DB2C93">
            <w:pPr>
              <w:autoSpaceDE w:val="0"/>
              <w:autoSpaceDN w:val="0"/>
              <w:adjustRightInd w:val="0"/>
              <w:snapToGrid w:val="0"/>
              <w:spacing w:line="240" w:lineRule="auto"/>
              <w:jc w:val="left"/>
              <w:rPr>
                <w:rFonts w:hint="eastAsia" w:ascii="Times New Roman" w:hAnsi="Times New Roman" w:eastAsia="宋体" w:cs="Times New Roman"/>
                <w:color w:val="000000"/>
                <w:kern w:val="0"/>
                <w:lang w:eastAsia="zh-CN"/>
              </w:rPr>
            </w:pPr>
            <w:r>
              <w:rPr>
                <w:rFonts w:hint="default" w:ascii="Times New Roman" w:hAnsi="Times New Roman" w:cs="Times New Roman"/>
                <w:color w:val="000000"/>
                <w:kern w:val="0"/>
              </w:rPr>
              <w:t>审批机关：</w:t>
            </w:r>
            <w:r>
              <w:rPr>
                <w:rFonts w:hint="eastAsia" w:ascii="Times New Roman" w:hAnsi="Times New Roman" w:cs="Times New Roman"/>
                <w:color w:val="000000"/>
                <w:kern w:val="0"/>
                <w:szCs w:val="21"/>
                <w:lang w:val="en-US" w:eastAsia="zh-CN"/>
              </w:rPr>
              <w:t>/</w:t>
            </w:r>
          </w:p>
          <w:p w14:paraId="38D9E987">
            <w:pPr>
              <w:autoSpaceDE w:val="0"/>
              <w:autoSpaceDN w:val="0"/>
              <w:adjustRightInd w:val="0"/>
              <w:snapToGrid w:val="0"/>
              <w:spacing w:line="240" w:lineRule="auto"/>
              <w:jc w:val="left"/>
              <w:rPr>
                <w:rFonts w:hint="default" w:ascii="Times New Roman" w:hAnsi="Times New Roman" w:cs="Times New Roman"/>
                <w:lang w:val="en-US"/>
              </w:rPr>
            </w:pPr>
            <w:r>
              <w:rPr>
                <w:rFonts w:hint="default" w:ascii="Times New Roman" w:hAnsi="Times New Roman" w:cs="Times New Roman"/>
                <w:color w:val="000000"/>
                <w:kern w:val="0"/>
              </w:rPr>
              <w:t>审批</w:t>
            </w:r>
            <w:r>
              <w:rPr>
                <w:rFonts w:hint="default" w:ascii="Times New Roman" w:hAnsi="Times New Roman" w:cs="Times New Roman"/>
                <w:color w:val="000000"/>
                <w:kern w:val="0"/>
                <w:lang w:val="en-US" w:eastAsia="zh-CN"/>
              </w:rPr>
              <w:t>文件名称及</w:t>
            </w:r>
            <w:r>
              <w:rPr>
                <w:rFonts w:hint="default" w:ascii="Times New Roman" w:hAnsi="Times New Roman" w:cs="Times New Roman"/>
                <w:color w:val="000000"/>
                <w:kern w:val="0"/>
              </w:rPr>
              <w:t>文号：</w:t>
            </w:r>
            <w:r>
              <w:rPr>
                <w:rFonts w:hint="eastAsia" w:ascii="Times New Roman" w:hAnsi="Times New Roman" w:cs="Times New Roman"/>
                <w:color w:val="000000"/>
                <w:kern w:val="0"/>
                <w:lang w:val="en-US" w:eastAsia="zh-CN"/>
              </w:rPr>
              <w:t>/</w:t>
            </w:r>
          </w:p>
        </w:tc>
      </w:tr>
      <w:tr w14:paraId="6BC659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90" w:type="pct"/>
            <w:noWrap w:val="0"/>
            <w:vAlign w:val="center"/>
          </w:tcPr>
          <w:p w14:paraId="64412E5E">
            <w:pPr>
              <w:pStyle w:val="61"/>
              <w:ind w:firstLine="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规划环境影响评价情况</w:t>
            </w:r>
          </w:p>
        </w:tc>
        <w:tc>
          <w:tcPr>
            <w:tcW w:w="4009" w:type="pct"/>
            <w:gridSpan w:val="3"/>
            <w:noWrap w:val="0"/>
            <w:vAlign w:val="top"/>
          </w:tcPr>
          <w:p w14:paraId="2D1B8A0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szCs w:val="21"/>
              </w:rPr>
            </w:pPr>
            <w:r>
              <w:rPr>
                <w:rFonts w:hint="default" w:ascii="Times New Roman" w:hAnsi="Times New Roman" w:cs="Times New Roman"/>
                <w:b w:val="0"/>
                <w:bCs w:val="0"/>
                <w:color w:val="000000"/>
                <w:kern w:val="0"/>
                <w:sz w:val="24"/>
                <w:szCs w:val="24"/>
                <w:highlight w:val="none"/>
              </w:rPr>
              <w:t>规划环评</w:t>
            </w:r>
            <w:r>
              <w:rPr>
                <w:rFonts w:hint="default" w:ascii="Times New Roman" w:hAnsi="Times New Roman" w:cs="Times New Roman"/>
                <w:b w:val="0"/>
                <w:bCs w:val="0"/>
                <w:color w:val="000000"/>
                <w:kern w:val="0"/>
                <w:sz w:val="24"/>
                <w:szCs w:val="24"/>
                <w:highlight w:val="none"/>
                <w:lang w:val="en-US" w:eastAsia="zh-CN"/>
              </w:rPr>
              <w:t>文件</w:t>
            </w:r>
            <w:r>
              <w:rPr>
                <w:rFonts w:hint="default" w:ascii="Times New Roman" w:hAnsi="Times New Roman" w:cs="Times New Roman"/>
                <w:b w:val="0"/>
                <w:bCs w:val="0"/>
                <w:color w:val="000000"/>
                <w:kern w:val="0"/>
                <w:sz w:val="24"/>
                <w:szCs w:val="24"/>
                <w:highlight w:val="none"/>
              </w:rPr>
              <w:t>名称：</w:t>
            </w:r>
            <w:r>
              <w:rPr>
                <w:rFonts w:hint="default" w:ascii="Times New Roman" w:hAnsi="Times New Roman" w:cs="Times New Roman"/>
                <w:color w:val="000000"/>
                <w:szCs w:val="21"/>
              </w:rPr>
              <w:t>《安徽淮南潘集经济开发区（安徽淮南现代煤化工产业园）</w:t>
            </w:r>
          </w:p>
          <w:p w14:paraId="22CF7DE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总体发展规划（2022-2035年）主导产业变更环境影响报告书》</w:t>
            </w:r>
          </w:p>
          <w:p w14:paraId="4F5E6B6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kern w:val="0"/>
                <w:sz w:val="24"/>
                <w:szCs w:val="24"/>
                <w:highlight w:val="none"/>
                <w:lang w:val="en-US" w:eastAsia="zh-CN"/>
              </w:rPr>
            </w:pPr>
            <w:r>
              <w:rPr>
                <w:rFonts w:hint="default" w:ascii="Times New Roman" w:hAnsi="Times New Roman" w:cs="Times New Roman"/>
                <w:b w:val="0"/>
                <w:bCs w:val="0"/>
                <w:color w:val="000000"/>
                <w:kern w:val="0"/>
                <w:sz w:val="24"/>
                <w:szCs w:val="24"/>
                <w:highlight w:val="none"/>
              </w:rPr>
              <w:t>审查机关：</w:t>
            </w:r>
            <w:r>
              <w:rPr>
                <w:rFonts w:hint="default" w:ascii="Times New Roman" w:hAnsi="Times New Roman" w:cs="Times New Roman"/>
                <w:b w:val="0"/>
                <w:bCs w:val="0"/>
                <w:color w:val="000000"/>
                <w:kern w:val="0"/>
                <w:sz w:val="24"/>
                <w:szCs w:val="24"/>
                <w:highlight w:val="none"/>
                <w:lang w:eastAsia="zh-CN"/>
              </w:rPr>
              <w:t>淮南市</w:t>
            </w:r>
            <w:r>
              <w:rPr>
                <w:rFonts w:hint="eastAsia" w:ascii="Times New Roman" w:hAnsi="Times New Roman" w:cs="Times New Roman"/>
                <w:b w:val="0"/>
                <w:bCs w:val="0"/>
                <w:color w:val="000000"/>
                <w:kern w:val="0"/>
                <w:sz w:val="24"/>
                <w:szCs w:val="24"/>
                <w:highlight w:val="none"/>
                <w:lang w:val="en-US" w:eastAsia="zh-CN"/>
              </w:rPr>
              <w:t>生态环境局</w:t>
            </w:r>
          </w:p>
          <w:p w14:paraId="4DD64A7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rPr>
            </w:pPr>
            <w:r>
              <w:rPr>
                <w:rFonts w:hint="default" w:ascii="Times New Roman" w:hAnsi="Times New Roman" w:cs="Times New Roman"/>
                <w:b w:val="0"/>
                <w:bCs w:val="0"/>
                <w:color w:val="000000"/>
                <w:kern w:val="0"/>
                <w:sz w:val="24"/>
                <w:szCs w:val="24"/>
                <w:highlight w:val="none"/>
              </w:rPr>
              <w:t>审查文件名称及文号</w:t>
            </w:r>
            <w:r>
              <w:rPr>
                <w:rFonts w:hint="default" w:ascii="Times New Roman" w:hAnsi="Times New Roman" w:eastAsia="宋体" w:cs="Times New Roman"/>
                <w:b w:val="0"/>
                <w:bCs w:val="0"/>
                <w:color w:val="000000"/>
                <w:kern w:val="0"/>
                <w:sz w:val="24"/>
                <w:szCs w:val="24"/>
                <w:highlight w:val="none"/>
                <w:lang w:eastAsia="zh-CN"/>
              </w:rPr>
              <w:t>：</w:t>
            </w:r>
            <w:r>
              <w:rPr>
                <w:rFonts w:hint="default" w:ascii="Times New Roman" w:hAnsi="Times New Roman" w:eastAsia="宋体" w:cs="Times New Roman"/>
                <w:b w:val="0"/>
                <w:bCs w:val="0"/>
                <w:color w:val="000000"/>
                <w:kern w:val="0"/>
                <w:sz w:val="24"/>
                <w:szCs w:val="24"/>
                <w:highlight w:val="none"/>
                <w:lang w:val="en-US" w:eastAsia="zh-CN"/>
              </w:rPr>
              <w:t>《关于印发《安徽淮南潘集经济开发区（安徽淮南现代煤化工产业园）总体发展规划（2022-2035年）主导产业变更环境影响报告书》审查意见的函》</w:t>
            </w:r>
            <w:r>
              <w:rPr>
                <w:rFonts w:hint="default" w:ascii="Times New Roman" w:hAnsi="Times New Roman" w:cs="Times New Roman"/>
                <w:b w:val="0"/>
                <w:bCs w:val="0"/>
                <w:color w:val="000000"/>
                <w:kern w:val="0"/>
                <w:sz w:val="24"/>
                <w:szCs w:val="24"/>
                <w:highlight w:val="none"/>
                <w:lang w:val="en-US" w:eastAsia="zh-CN"/>
              </w:rPr>
              <w:t>（</w:t>
            </w:r>
            <w:r>
              <w:rPr>
                <w:rFonts w:hint="default" w:ascii="Times New Roman" w:hAnsi="Times New Roman" w:eastAsia="宋体" w:cs="Times New Roman"/>
                <w:b w:val="0"/>
                <w:bCs w:val="0"/>
                <w:color w:val="000000"/>
                <w:kern w:val="0"/>
                <w:sz w:val="24"/>
                <w:szCs w:val="24"/>
                <w:highlight w:val="none"/>
                <w:lang w:val="en-US" w:eastAsia="zh-CN"/>
              </w:rPr>
              <w:t>淮环</w:t>
            </w:r>
            <w:r>
              <w:rPr>
                <w:rFonts w:hint="eastAsia" w:ascii="Times New Roman" w:hAnsi="Times New Roman" w:eastAsia="宋体" w:cs="Times New Roman"/>
                <w:b w:val="0"/>
                <w:bCs w:val="0"/>
                <w:color w:val="000000"/>
                <w:kern w:val="0"/>
                <w:sz w:val="24"/>
                <w:szCs w:val="24"/>
                <w:highlight w:val="none"/>
                <w:lang w:val="en-US" w:eastAsia="zh-CN"/>
              </w:rPr>
              <w:t>函〔2024〕47</w:t>
            </w:r>
            <w:r>
              <w:rPr>
                <w:rFonts w:hint="default" w:ascii="Times New Roman" w:hAnsi="Times New Roman" w:eastAsia="宋体" w:cs="Times New Roman"/>
                <w:b w:val="0"/>
                <w:bCs w:val="0"/>
                <w:color w:val="000000"/>
                <w:kern w:val="0"/>
                <w:sz w:val="24"/>
                <w:szCs w:val="24"/>
                <w:highlight w:val="none"/>
                <w:lang w:val="en-US" w:eastAsia="zh-CN"/>
              </w:rPr>
              <w:t>号</w:t>
            </w:r>
            <w:r>
              <w:rPr>
                <w:rFonts w:hint="default" w:ascii="Times New Roman" w:hAnsi="Times New Roman" w:cs="Times New Roman"/>
                <w:b w:val="0"/>
                <w:bCs w:val="0"/>
                <w:color w:val="000000"/>
                <w:kern w:val="0"/>
                <w:sz w:val="24"/>
                <w:szCs w:val="24"/>
                <w:highlight w:val="none"/>
                <w:lang w:val="en-US" w:eastAsia="zh-CN"/>
              </w:rPr>
              <w:t>）</w:t>
            </w:r>
          </w:p>
        </w:tc>
      </w:tr>
      <w:tr w14:paraId="0C6927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90" w:type="pct"/>
            <w:noWrap w:val="0"/>
            <w:vAlign w:val="center"/>
          </w:tcPr>
          <w:p w14:paraId="730194B8">
            <w:pPr>
              <w:pStyle w:val="61"/>
              <w:ind w:firstLine="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规划及规划环境影响评价符合性分析</w:t>
            </w:r>
          </w:p>
        </w:tc>
        <w:tc>
          <w:tcPr>
            <w:tcW w:w="4009" w:type="pct"/>
            <w:gridSpan w:val="3"/>
            <w:noWrap w:val="0"/>
            <w:vAlign w:val="top"/>
          </w:tcPr>
          <w:p w14:paraId="7A7BE96E">
            <w:pPr>
              <w:widowControl/>
              <w:spacing w:before="120" w:beforeLines="50"/>
              <w:ind w:firstLine="482" w:firstLineChars="200"/>
              <w:rPr>
                <w:rFonts w:hint="default" w:ascii="Times New Roman" w:hAnsi="Times New Roman" w:cs="Times New Roman"/>
                <w:b/>
                <w:bCs/>
                <w:color w:val="000000"/>
              </w:rPr>
            </w:pPr>
            <w:r>
              <w:rPr>
                <w:rFonts w:hint="default" w:ascii="Times New Roman" w:hAnsi="Times New Roman" w:cs="Times New Roman"/>
                <w:b/>
                <w:bCs/>
                <w:color w:val="000000"/>
              </w:rPr>
              <w:t>1、</w:t>
            </w:r>
            <w:r>
              <w:rPr>
                <w:rFonts w:hint="default" w:ascii="Times New Roman" w:hAnsi="Times New Roman" w:cs="Times New Roman"/>
                <w:b/>
                <w:bCs/>
                <w:color w:val="000000"/>
                <w:highlight w:val="none"/>
              </w:rPr>
              <w:t>与《安徽淮南潘集经济开发区（安徽淮南现代煤化工产业园）总体发展规划（2022-2035年）》符合</w:t>
            </w:r>
            <w:r>
              <w:rPr>
                <w:rFonts w:hint="default" w:ascii="Times New Roman" w:hAnsi="Times New Roman" w:cs="Times New Roman"/>
                <w:b/>
                <w:bCs/>
                <w:color w:val="000000"/>
              </w:rPr>
              <w:t>性分析</w:t>
            </w:r>
          </w:p>
          <w:p w14:paraId="4286DCC9">
            <w:pPr>
              <w:ind w:firstLine="480"/>
              <w:rPr>
                <w:rFonts w:ascii="宋体" w:hAnsi="宋体"/>
                <w:color w:val="000000"/>
                <w:szCs w:val="24"/>
              </w:rPr>
            </w:pPr>
            <w:r>
              <w:rPr>
                <w:rFonts w:hint="eastAsia"/>
                <w:color w:val="000000"/>
              </w:rPr>
              <w:t>安徽淮南潘集经济开发区（安徽淮南现代煤化工产业园）总面积1259.34公顷，包含四个地块：</w:t>
            </w:r>
          </w:p>
          <w:p w14:paraId="231D03F1">
            <w:pPr>
              <w:ind w:firstLine="480"/>
              <w:rPr>
                <w:color w:val="000000"/>
              </w:rPr>
            </w:pPr>
            <w:r>
              <w:rPr>
                <w:rFonts w:hint="eastAsia"/>
                <w:color w:val="000000"/>
              </w:rPr>
              <w:t>地块一为原淮南平圩经济开发区（筹）范围，面积189.00公顷，四至范围为：东至淮潘公路，南至淮阜铁路，西至经一路，北至高压通廊；</w:t>
            </w:r>
          </w:p>
          <w:p w14:paraId="5186C44F">
            <w:pPr>
              <w:ind w:firstLine="480"/>
              <w:rPr>
                <w:color w:val="000000"/>
              </w:rPr>
            </w:pPr>
            <w:r>
              <w:rPr>
                <w:rFonts w:hint="eastAsia"/>
                <w:color w:val="000000"/>
              </w:rPr>
              <w:t>地块二为原安徽淮南现代煤化工产业园范围，面积223.11公顷，四至范围为：东至大圩自然庄，南至煤化工大道，西至经六路，北至淮阜铁路和平圩电厂铁路专用线；</w:t>
            </w:r>
          </w:p>
          <w:p w14:paraId="733D14CD">
            <w:pPr>
              <w:ind w:firstLine="480"/>
              <w:rPr>
                <w:color w:val="000000"/>
              </w:rPr>
            </w:pPr>
            <w:r>
              <w:rPr>
                <w:rFonts w:hint="eastAsia"/>
                <w:color w:val="000000"/>
              </w:rPr>
              <w:t>地块三为原安徽淮南现代煤化工产业园范围，面积180.10公顷，四至范围为：东至经六路，南至煤化工大道，西至经八路，北至淮阜铁路和平圩电厂铁路专用线；</w:t>
            </w:r>
          </w:p>
          <w:p w14:paraId="382047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rPr>
            </w:pPr>
            <w:r>
              <w:rPr>
                <w:rFonts w:hint="eastAsia"/>
                <w:color w:val="000000"/>
              </w:rPr>
              <w:t>地块四为原安徽淮南现代煤化工产业园范围，面积为667.13公顷，四至范围为：东至大圩自然庄，南至姚风路，西至自然庄，北至淮阜铁路和平圩电厂铁路专用线及煤化工大道。</w:t>
            </w:r>
          </w:p>
          <w:p w14:paraId="27AD61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rPr>
            </w:pPr>
            <w:r>
              <w:rPr>
                <w:rFonts w:hint="eastAsia"/>
                <w:color w:val="000000"/>
              </w:rPr>
              <w:t>根据潘集经开区规划产业定位，经开区积极发展</w:t>
            </w:r>
            <w:r>
              <w:rPr>
                <w:color w:val="000000"/>
              </w:rPr>
              <w:t>化学原料和化学品制造业</w:t>
            </w:r>
            <w:r>
              <w:rPr>
                <w:rFonts w:hint="eastAsia"/>
                <w:color w:val="000000"/>
              </w:rPr>
              <w:t>、</w:t>
            </w:r>
            <w:r>
              <w:rPr>
                <w:color w:val="000000"/>
              </w:rPr>
              <w:t>橡胶和塑料制品业</w:t>
            </w:r>
            <w:r>
              <w:rPr>
                <w:rFonts w:hint="eastAsia"/>
                <w:color w:val="000000"/>
              </w:rPr>
              <w:t>、计算机、通信和其他电子设备制造业三大主导产业，其中</w:t>
            </w:r>
            <w:r>
              <w:rPr>
                <w:color w:val="000000"/>
              </w:rPr>
              <w:t>化学原料和化学品制造业</w:t>
            </w:r>
            <w:r>
              <w:rPr>
                <w:rFonts w:hint="eastAsia"/>
                <w:color w:val="000000"/>
              </w:rPr>
              <w:t>重点发展方向为</w:t>
            </w:r>
            <w:r>
              <w:rPr>
                <w:color w:val="000000"/>
              </w:rPr>
              <w:t>基础化学原料制造</w:t>
            </w:r>
            <w:r>
              <w:rPr>
                <w:rFonts w:hint="eastAsia"/>
                <w:color w:val="000000"/>
              </w:rPr>
              <w:t>、</w:t>
            </w:r>
            <w:r>
              <w:rPr>
                <w:color w:val="000000"/>
              </w:rPr>
              <w:t>合成材料制造</w:t>
            </w:r>
            <w:r>
              <w:rPr>
                <w:rFonts w:hint="eastAsia"/>
                <w:color w:val="000000"/>
              </w:rPr>
              <w:t>、专用化学产品制造；</w:t>
            </w:r>
            <w:r>
              <w:rPr>
                <w:color w:val="000000"/>
              </w:rPr>
              <w:t>橡胶和塑料制品业</w:t>
            </w:r>
            <w:r>
              <w:rPr>
                <w:rFonts w:hint="eastAsia"/>
                <w:color w:val="000000"/>
              </w:rPr>
              <w:t>重点发展方向为橡胶制品业、</w:t>
            </w:r>
            <w:r>
              <w:rPr>
                <w:color w:val="000000"/>
              </w:rPr>
              <w:t>塑料制品业</w:t>
            </w:r>
            <w:r>
              <w:rPr>
                <w:rFonts w:hint="eastAsia"/>
                <w:color w:val="000000"/>
              </w:rPr>
              <w:t>；计算机、通信和其他电子设备制造业重点发展方向智能消费设备制造、为电子器件制造、电子元件及电子专用材料制造。</w:t>
            </w:r>
          </w:p>
          <w:p w14:paraId="19081DF6">
            <w:pPr>
              <w:widowControl w:val="0"/>
              <w:autoSpaceDE w:val="0"/>
              <w:autoSpaceDN w:val="0"/>
              <w:adjustRightInd w:val="0"/>
              <w:spacing w:line="360" w:lineRule="auto"/>
              <w:ind w:firstLine="0" w:firstLineChars="0"/>
              <w:jc w:val="center"/>
              <w:rPr>
                <w:rFonts w:hint="default" w:ascii="Times New Roman" w:hAnsi="Times New Roman" w:eastAsia="宋体" w:cs="Times New Roman"/>
                <w:b/>
                <w:color w:val="000000"/>
                <w:kern w:val="0"/>
                <w:sz w:val="21"/>
                <w:szCs w:val="20"/>
                <w:lang w:val="en-US" w:eastAsia="zh-CN" w:bidi="ar-SA"/>
              </w:rPr>
            </w:pPr>
            <w:r>
              <w:rPr>
                <w:rFonts w:hint="default" w:ascii="Times New Roman" w:hAnsi="Times New Roman" w:eastAsia="宋体" w:cs="Times New Roman"/>
                <w:b/>
                <w:color w:val="000000"/>
                <w:kern w:val="0"/>
                <w:sz w:val="21"/>
                <w:szCs w:val="20"/>
                <w:lang w:val="en-US" w:eastAsia="zh-CN" w:bidi="ar-SA"/>
              </w:rPr>
              <w:t>表1-1</w:t>
            </w:r>
            <w:r>
              <w:rPr>
                <w:rFonts w:hint="eastAsia" w:ascii="Times New Roman" w:hAnsi="Times New Roman" w:eastAsia="宋体" w:cs="Times New Roman"/>
                <w:b/>
                <w:color w:val="000000"/>
                <w:kern w:val="0"/>
                <w:sz w:val="21"/>
                <w:szCs w:val="20"/>
                <w:lang w:val="en-US" w:eastAsia="zh-CN" w:bidi="ar-SA"/>
              </w:rPr>
              <w:t xml:space="preserve"> </w:t>
            </w:r>
            <w:r>
              <w:rPr>
                <w:rFonts w:hint="eastAsia" w:cs="Times New Roman"/>
                <w:b/>
                <w:color w:val="000000"/>
                <w:kern w:val="0"/>
                <w:sz w:val="21"/>
                <w:szCs w:val="20"/>
                <w:lang w:val="en-US" w:eastAsia="zh-CN" w:bidi="ar-SA"/>
              </w:rPr>
              <w:t xml:space="preserve"> </w:t>
            </w:r>
            <w:r>
              <w:rPr>
                <w:rFonts w:hint="eastAsia" w:ascii="Times New Roman" w:hAnsi="Times New Roman" w:eastAsia="宋体" w:cs="Times New Roman"/>
                <w:b/>
                <w:color w:val="000000"/>
                <w:kern w:val="0"/>
                <w:sz w:val="21"/>
                <w:szCs w:val="20"/>
                <w:lang w:val="en-US" w:eastAsia="zh-CN" w:bidi="ar-SA"/>
              </w:rPr>
              <w:t>开发区区生态环境准入清单</w:t>
            </w:r>
          </w:p>
          <w:tbl>
            <w:tblPr>
              <w:tblStyle w:val="29"/>
              <w:tblW w:w="4999" w:type="pct"/>
              <w:jc w:val="center"/>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autofit"/>
              <w:tblCellMar>
                <w:top w:w="0" w:type="dxa"/>
                <w:left w:w="17" w:type="dxa"/>
                <w:bottom w:w="0" w:type="dxa"/>
                <w:right w:w="17" w:type="dxa"/>
              </w:tblCellMar>
            </w:tblPr>
            <w:tblGrid>
              <w:gridCol w:w="601"/>
              <w:gridCol w:w="605"/>
              <w:gridCol w:w="245"/>
              <w:gridCol w:w="696"/>
              <w:gridCol w:w="1310"/>
              <w:gridCol w:w="4377"/>
            </w:tblGrid>
            <w:tr w14:paraId="08BFFCC3">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3" w:hRule="atLeast"/>
                <w:jc w:val="center"/>
              </w:trPr>
              <w:tc>
                <w:tcPr>
                  <w:tcW w:w="387" w:type="pct"/>
                  <w:tcBorders>
                    <w:tl2br w:val="nil"/>
                    <w:tr2bl w:val="nil"/>
                  </w:tcBorders>
                  <w:noWrap w:val="0"/>
                  <w:vAlign w:val="center"/>
                </w:tcPr>
                <w:p w14:paraId="37163D53">
                  <w:pPr>
                    <w:widowControl/>
                    <w:spacing w:line="240" w:lineRule="auto"/>
                    <w:ind w:firstLine="0" w:firstLineChars="0"/>
                    <w:jc w:val="center"/>
                    <w:textAlignment w:val="center"/>
                    <w:rPr>
                      <w:rFonts w:cs="宋体"/>
                      <w:b/>
                      <w:bCs/>
                      <w:color w:val="000000"/>
                      <w:sz w:val="21"/>
                      <w:szCs w:val="18"/>
                    </w:rPr>
                  </w:pPr>
                  <w:r>
                    <w:rPr>
                      <w:rFonts w:hint="eastAsia" w:cs="宋体"/>
                      <w:b/>
                      <w:bCs/>
                      <w:color w:val="000000"/>
                      <w:kern w:val="0"/>
                      <w:sz w:val="21"/>
                      <w:szCs w:val="18"/>
                      <w:lang w:bidi="ar"/>
                    </w:rPr>
                    <w:t>清单类型</w:t>
                  </w:r>
                </w:p>
              </w:tc>
              <w:tc>
                <w:tcPr>
                  <w:tcW w:w="390" w:type="pct"/>
                  <w:tcBorders>
                    <w:tl2br w:val="nil"/>
                    <w:tr2bl w:val="nil"/>
                  </w:tcBorders>
                  <w:noWrap w:val="0"/>
                  <w:vAlign w:val="center"/>
                </w:tcPr>
                <w:p w14:paraId="60BE024E">
                  <w:pPr>
                    <w:widowControl/>
                    <w:spacing w:line="240" w:lineRule="auto"/>
                    <w:ind w:firstLine="0" w:firstLineChars="0"/>
                    <w:jc w:val="center"/>
                    <w:textAlignment w:val="center"/>
                    <w:rPr>
                      <w:rFonts w:cs="宋体"/>
                      <w:b/>
                      <w:bCs/>
                      <w:color w:val="000000"/>
                      <w:sz w:val="21"/>
                      <w:szCs w:val="18"/>
                    </w:rPr>
                  </w:pPr>
                  <w:r>
                    <w:rPr>
                      <w:rFonts w:hint="eastAsia" w:cs="宋体"/>
                      <w:b/>
                      <w:bCs/>
                      <w:color w:val="000000"/>
                      <w:kern w:val="0"/>
                      <w:sz w:val="21"/>
                      <w:szCs w:val="18"/>
                      <w:lang w:bidi="ar"/>
                    </w:rPr>
                    <w:t>管控类别</w:t>
                  </w:r>
                </w:p>
              </w:tc>
              <w:tc>
                <w:tcPr>
                  <w:tcW w:w="140" w:type="pct"/>
                  <w:tcBorders>
                    <w:tl2br w:val="nil"/>
                    <w:tr2bl w:val="nil"/>
                  </w:tcBorders>
                  <w:noWrap w:val="0"/>
                  <w:vAlign w:val="center"/>
                </w:tcPr>
                <w:p w14:paraId="1B4758C2">
                  <w:pPr>
                    <w:widowControl/>
                    <w:spacing w:line="240" w:lineRule="auto"/>
                    <w:ind w:firstLine="0" w:firstLineChars="0"/>
                    <w:jc w:val="center"/>
                    <w:textAlignment w:val="center"/>
                    <w:rPr>
                      <w:rFonts w:cs="宋体"/>
                      <w:b/>
                      <w:bCs/>
                      <w:color w:val="000000"/>
                      <w:sz w:val="21"/>
                      <w:szCs w:val="18"/>
                    </w:rPr>
                  </w:pPr>
                  <w:r>
                    <w:rPr>
                      <w:rFonts w:hint="eastAsia" w:cs="宋体"/>
                      <w:b/>
                      <w:bCs/>
                      <w:color w:val="000000"/>
                      <w:sz w:val="21"/>
                      <w:szCs w:val="18"/>
                    </w:rPr>
                    <w:t>区块</w:t>
                  </w:r>
                </w:p>
              </w:tc>
              <w:tc>
                <w:tcPr>
                  <w:tcW w:w="445" w:type="pct"/>
                  <w:tcBorders>
                    <w:tl2br w:val="nil"/>
                    <w:tr2bl w:val="nil"/>
                  </w:tcBorders>
                  <w:noWrap w:val="0"/>
                  <w:vAlign w:val="center"/>
                </w:tcPr>
                <w:p w14:paraId="06C062CB">
                  <w:pPr>
                    <w:widowControl/>
                    <w:spacing w:line="240" w:lineRule="auto"/>
                    <w:ind w:firstLine="0" w:firstLineChars="0"/>
                    <w:jc w:val="center"/>
                    <w:textAlignment w:val="center"/>
                    <w:rPr>
                      <w:rFonts w:cs="宋体"/>
                      <w:b/>
                      <w:bCs/>
                      <w:color w:val="000000"/>
                      <w:kern w:val="0"/>
                      <w:sz w:val="21"/>
                      <w:szCs w:val="18"/>
                      <w:lang w:bidi="ar"/>
                    </w:rPr>
                  </w:pPr>
                  <w:r>
                    <w:rPr>
                      <w:rFonts w:hint="eastAsia" w:cs="宋体"/>
                      <w:b/>
                      <w:bCs/>
                      <w:color w:val="000000"/>
                      <w:kern w:val="0"/>
                      <w:sz w:val="21"/>
                      <w:szCs w:val="18"/>
                      <w:lang w:bidi="ar"/>
                    </w:rPr>
                    <w:t>主导产业</w:t>
                  </w:r>
                </w:p>
              </w:tc>
              <w:tc>
                <w:tcPr>
                  <w:tcW w:w="839" w:type="pct"/>
                  <w:tcBorders>
                    <w:tl2br w:val="nil"/>
                    <w:tr2bl w:val="nil"/>
                  </w:tcBorders>
                  <w:noWrap w:val="0"/>
                  <w:vAlign w:val="center"/>
                </w:tcPr>
                <w:p w14:paraId="44C4199D">
                  <w:pPr>
                    <w:widowControl/>
                    <w:spacing w:line="240" w:lineRule="auto"/>
                    <w:ind w:firstLine="0" w:firstLineChars="0"/>
                    <w:jc w:val="center"/>
                    <w:textAlignment w:val="center"/>
                    <w:rPr>
                      <w:rFonts w:cs="宋体"/>
                      <w:b/>
                      <w:bCs/>
                      <w:color w:val="000000"/>
                      <w:sz w:val="21"/>
                      <w:szCs w:val="18"/>
                    </w:rPr>
                  </w:pPr>
                  <w:r>
                    <w:rPr>
                      <w:rFonts w:hint="eastAsia" w:cs="宋体"/>
                      <w:b/>
                      <w:bCs/>
                      <w:color w:val="000000"/>
                      <w:kern w:val="0"/>
                      <w:sz w:val="21"/>
                      <w:szCs w:val="18"/>
                      <w:lang w:bidi="ar"/>
                    </w:rPr>
                    <w:t>行业类</w:t>
                  </w:r>
                </w:p>
              </w:tc>
              <w:tc>
                <w:tcPr>
                  <w:tcW w:w="2795" w:type="pct"/>
                  <w:tcBorders>
                    <w:tl2br w:val="nil"/>
                    <w:tr2bl w:val="nil"/>
                  </w:tcBorders>
                  <w:noWrap w:val="0"/>
                  <w:vAlign w:val="center"/>
                </w:tcPr>
                <w:p w14:paraId="01BB0989">
                  <w:pPr>
                    <w:widowControl/>
                    <w:spacing w:line="240" w:lineRule="auto"/>
                    <w:ind w:firstLine="0" w:firstLineChars="0"/>
                    <w:jc w:val="center"/>
                    <w:textAlignment w:val="center"/>
                    <w:rPr>
                      <w:rFonts w:cs="宋体"/>
                      <w:b/>
                      <w:bCs/>
                      <w:color w:val="000000"/>
                      <w:sz w:val="21"/>
                      <w:szCs w:val="18"/>
                    </w:rPr>
                  </w:pPr>
                  <w:r>
                    <w:rPr>
                      <w:rFonts w:hint="eastAsia" w:cs="宋体"/>
                      <w:b/>
                      <w:bCs/>
                      <w:color w:val="000000"/>
                      <w:kern w:val="0"/>
                      <w:sz w:val="21"/>
                      <w:szCs w:val="18"/>
                      <w:lang w:bidi="ar"/>
                    </w:rPr>
                    <w:t>备注</w:t>
                  </w:r>
                </w:p>
              </w:tc>
            </w:tr>
            <w:tr w14:paraId="0625EF4A">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305" w:hRule="atLeast"/>
                <w:jc w:val="center"/>
              </w:trPr>
              <w:tc>
                <w:tcPr>
                  <w:tcW w:w="387" w:type="pct"/>
                  <w:vMerge w:val="restart"/>
                  <w:tcBorders>
                    <w:tl2br w:val="nil"/>
                    <w:tr2bl w:val="nil"/>
                  </w:tcBorders>
                  <w:noWrap w:val="0"/>
                  <w:vAlign w:val="center"/>
                </w:tcPr>
                <w:p w14:paraId="330D2899">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产业准入要求</w:t>
                  </w:r>
                </w:p>
              </w:tc>
              <w:tc>
                <w:tcPr>
                  <w:tcW w:w="390" w:type="pct"/>
                  <w:vMerge w:val="restart"/>
                  <w:tcBorders>
                    <w:tl2br w:val="nil"/>
                    <w:tr2bl w:val="nil"/>
                  </w:tcBorders>
                  <w:noWrap w:val="0"/>
                  <w:vAlign w:val="center"/>
                </w:tcPr>
                <w:p w14:paraId="110B3F57">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鼓励类</w:t>
                  </w:r>
                </w:p>
              </w:tc>
              <w:tc>
                <w:tcPr>
                  <w:tcW w:w="140" w:type="pct"/>
                  <w:vMerge w:val="restart"/>
                  <w:tcBorders>
                    <w:tl2br w:val="nil"/>
                    <w:tr2bl w:val="nil"/>
                  </w:tcBorders>
                  <w:noWrap w:val="0"/>
                  <w:vAlign w:val="center"/>
                </w:tcPr>
                <w:p w14:paraId="76EC28A2">
                  <w:pPr>
                    <w:widowControl/>
                    <w:spacing w:line="240" w:lineRule="auto"/>
                    <w:ind w:firstLine="0" w:firstLineChars="0"/>
                    <w:jc w:val="center"/>
                    <w:textAlignment w:val="center"/>
                    <w:rPr>
                      <w:rFonts w:cs="宋体"/>
                      <w:color w:val="000000"/>
                      <w:kern w:val="0"/>
                      <w:sz w:val="21"/>
                      <w:szCs w:val="18"/>
                      <w:lang w:bidi="ar"/>
                    </w:rPr>
                  </w:pPr>
                  <w:r>
                    <w:rPr>
                      <w:rFonts w:hint="eastAsia" w:cs="宋体"/>
                      <w:color w:val="000000"/>
                      <w:kern w:val="0"/>
                      <w:sz w:val="21"/>
                      <w:szCs w:val="18"/>
                      <w:lang w:bidi="ar"/>
                    </w:rPr>
                    <w:t>南区</w:t>
                  </w:r>
                </w:p>
              </w:tc>
              <w:tc>
                <w:tcPr>
                  <w:tcW w:w="445" w:type="pct"/>
                  <w:vMerge w:val="restart"/>
                  <w:tcBorders>
                    <w:tl2br w:val="nil"/>
                    <w:tr2bl w:val="nil"/>
                  </w:tcBorders>
                  <w:noWrap w:val="0"/>
                  <w:vAlign w:val="center"/>
                </w:tcPr>
                <w:p w14:paraId="56B0793F">
                  <w:pPr>
                    <w:widowControl/>
                    <w:spacing w:line="240" w:lineRule="auto"/>
                    <w:ind w:firstLine="0" w:firstLineChars="0"/>
                    <w:jc w:val="center"/>
                    <w:textAlignment w:val="center"/>
                    <w:rPr>
                      <w:rFonts w:cs="宋体"/>
                      <w:color w:val="000000"/>
                      <w:kern w:val="0"/>
                      <w:sz w:val="21"/>
                      <w:szCs w:val="18"/>
                      <w:lang w:bidi="ar"/>
                    </w:rPr>
                  </w:pPr>
                  <w:r>
                    <w:rPr>
                      <w:rFonts w:cs="宋体"/>
                      <w:color w:val="000000"/>
                      <w:kern w:val="0"/>
                      <w:sz w:val="21"/>
                      <w:szCs w:val="18"/>
                      <w:lang w:bidi="ar"/>
                    </w:rPr>
                    <w:t>化学原料和化学品制造业</w:t>
                  </w:r>
                </w:p>
              </w:tc>
              <w:tc>
                <w:tcPr>
                  <w:tcW w:w="839" w:type="pct"/>
                  <w:vMerge w:val="restart"/>
                  <w:tcBorders>
                    <w:tl2br w:val="nil"/>
                    <w:tr2bl w:val="nil"/>
                  </w:tcBorders>
                  <w:noWrap w:val="0"/>
                  <w:vAlign w:val="center"/>
                </w:tcPr>
                <w:p w14:paraId="324FE179">
                  <w:pPr>
                    <w:widowControl/>
                    <w:tabs>
                      <w:tab w:val="left" w:pos="475"/>
                    </w:tabs>
                    <w:spacing w:line="240" w:lineRule="auto"/>
                    <w:ind w:firstLine="0" w:firstLineChars="0"/>
                    <w:jc w:val="center"/>
                    <w:textAlignment w:val="center"/>
                    <w:rPr>
                      <w:color w:val="000000"/>
                      <w:sz w:val="21"/>
                      <w:szCs w:val="18"/>
                    </w:rPr>
                  </w:pPr>
                  <w:r>
                    <w:rPr>
                      <w:rFonts w:hint="eastAsia"/>
                      <w:color w:val="000000"/>
                      <w:sz w:val="21"/>
                      <w:szCs w:val="18"/>
                    </w:rPr>
                    <w:t>C26</w:t>
                  </w:r>
                  <w:r>
                    <w:rPr>
                      <w:rFonts w:cs="宋体"/>
                      <w:color w:val="000000"/>
                      <w:kern w:val="0"/>
                      <w:sz w:val="21"/>
                      <w:szCs w:val="18"/>
                      <w:lang w:bidi="ar"/>
                    </w:rPr>
                    <w:t>化学原料和化学品制造业</w:t>
                  </w:r>
                </w:p>
              </w:tc>
              <w:tc>
                <w:tcPr>
                  <w:tcW w:w="2795" w:type="pct"/>
                  <w:tcBorders>
                    <w:tl2br w:val="nil"/>
                    <w:tr2bl w:val="nil"/>
                  </w:tcBorders>
                  <w:noWrap w:val="0"/>
                  <w:vAlign w:val="center"/>
                </w:tcPr>
                <w:p w14:paraId="558CE491">
                  <w:pPr>
                    <w:widowControl/>
                    <w:spacing w:line="240" w:lineRule="auto"/>
                    <w:ind w:firstLine="0" w:firstLineChars="0"/>
                    <w:jc w:val="center"/>
                    <w:textAlignment w:val="center"/>
                    <w:rPr>
                      <w:color w:val="000000"/>
                      <w:sz w:val="21"/>
                      <w:szCs w:val="18"/>
                    </w:rPr>
                  </w:pPr>
                  <w:r>
                    <w:rPr>
                      <w:rFonts w:hint="eastAsia"/>
                      <w:color w:val="000000"/>
                      <w:sz w:val="21"/>
                      <w:szCs w:val="18"/>
                    </w:rPr>
                    <w:t>C261</w:t>
                  </w:r>
                  <w:r>
                    <w:rPr>
                      <w:color w:val="000000"/>
                      <w:sz w:val="21"/>
                      <w:szCs w:val="18"/>
                    </w:rPr>
                    <w:t>基础化学原料制造</w:t>
                  </w:r>
                </w:p>
              </w:tc>
            </w:tr>
            <w:tr w14:paraId="3200823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01" w:hRule="atLeast"/>
                <w:jc w:val="center"/>
              </w:trPr>
              <w:tc>
                <w:tcPr>
                  <w:tcW w:w="387" w:type="pct"/>
                  <w:vMerge w:val="continue"/>
                  <w:tcBorders>
                    <w:tl2br w:val="nil"/>
                    <w:tr2bl w:val="nil"/>
                  </w:tcBorders>
                  <w:noWrap w:val="0"/>
                  <w:vAlign w:val="center"/>
                </w:tcPr>
                <w:p w14:paraId="7BB010D1">
                  <w:pPr>
                    <w:widowControl/>
                    <w:spacing w:line="240" w:lineRule="auto"/>
                    <w:ind w:firstLine="0" w:firstLineChars="0"/>
                    <w:jc w:val="center"/>
                    <w:textAlignment w:val="center"/>
                    <w:rPr>
                      <w:rFonts w:cs="宋体"/>
                      <w:color w:val="000000"/>
                      <w:kern w:val="0"/>
                      <w:sz w:val="21"/>
                      <w:szCs w:val="18"/>
                      <w:lang w:bidi="ar"/>
                    </w:rPr>
                  </w:pPr>
                </w:p>
              </w:tc>
              <w:tc>
                <w:tcPr>
                  <w:tcW w:w="390" w:type="pct"/>
                  <w:vMerge w:val="continue"/>
                  <w:tcBorders>
                    <w:tl2br w:val="nil"/>
                    <w:tr2bl w:val="nil"/>
                  </w:tcBorders>
                  <w:noWrap w:val="0"/>
                  <w:vAlign w:val="center"/>
                </w:tcPr>
                <w:p w14:paraId="7BA2380C">
                  <w:pPr>
                    <w:widowControl/>
                    <w:spacing w:line="240" w:lineRule="auto"/>
                    <w:ind w:firstLine="0" w:firstLineChars="0"/>
                    <w:jc w:val="center"/>
                    <w:textAlignment w:val="center"/>
                    <w:rPr>
                      <w:rFonts w:cs="宋体"/>
                      <w:color w:val="000000"/>
                      <w:kern w:val="0"/>
                      <w:sz w:val="21"/>
                      <w:szCs w:val="18"/>
                      <w:lang w:bidi="ar"/>
                    </w:rPr>
                  </w:pPr>
                </w:p>
              </w:tc>
              <w:tc>
                <w:tcPr>
                  <w:tcW w:w="140" w:type="pct"/>
                  <w:vMerge w:val="continue"/>
                  <w:tcBorders>
                    <w:tl2br w:val="nil"/>
                    <w:tr2bl w:val="nil"/>
                  </w:tcBorders>
                  <w:noWrap w:val="0"/>
                  <w:vAlign w:val="center"/>
                </w:tcPr>
                <w:p w14:paraId="07B0BED0">
                  <w:pPr>
                    <w:widowControl/>
                    <w:spacing w:line="240" w:lineRule="auto"/>
                    <w:ind w:firstLine="0" w:firstLineChars="0"/>
                    <w:jc w:val="center"/>
                    <w:textAlignment w:val="center"/>
                    <w:rPr>
                      <w:rFonts w:cs="宋体"/>
                      <w:color w:val="000000"/>
                      <w:kern w:val="0"/>
                      <w:sz w:val="21"/>
                      <w:szCs w:val="18"/>
                      <w:lang w:bidi="ar"/>
                    </w:rPr>
                  </w:pPr>
                </w:p>
              </w:tc>
              <w:tc>
                <w:tcPr>
                  <w:tcW w:w="445" w:type="pct"/>
                  <w:vMerge w:val="continue"/>
                  <w:tcBorders>
                    <w:tl2br w:val="nil"/>
                    <w:tr2bl w:val="nil"/>
                  </w:tcBorders>
                  <w:noWrap w:val="0"/>
                  <w:vAlign w:val="center"/>
                </w:tcPr>
                <w:p w14:paraId="7A2A59DB">
                  <w:pPr>
                    <w:widowControl/>
                    <w:spacing w:line="240" w:lineRule="auto"/>
                    <w:ind w:firstLine="0" w:firstLineChars="0"/>
                    <w:jc w:val="center"/>
                    <w:textAlignment w:val="center"/>
                    <w:rPr>
                      <w:rFonts w:cs="宋体"/>
                      <w:color w:val="000000"/>
                      <w:kern w:val="0"/>
                      <w:sz w:val="21"/>
                      <w:szCs w:val="18"/>
                      <w:lang w:bidi="ar"/>
                    </w:rPr>
                  </w:pPr>
                </w:p>
              </w:tc>
              <w:tc>
                <w:tcPr>
                  <w:tcW w:w="839" w:type="pct"/>
                  <w:vMerge w:val="continue"/>
                  <w:tcBorders>
                    <w:tl2br w:val="nil"/>
                    <w:tr2bl w:val="nil"/>
                  </w:tcBorders>
                  <w:noWrap w:val="0"/>
                  <w:vAlign w:val="center"/>
                </w:tcPr>
                <w:p w14:paraId="1B1EF268">
                  <w:pPr>
                    <w:widowControl/>
                    <w:tabs>
                      <w:tab w:val="left" w:pos="475"/>
                    </w:tabs>
                    <w:spacing w:line="240" w:lineRule="auto"/>
                    <w:ind w:firstLine="0" w:firstLineChars="0"/>
                    <w:jc w:val="center"/>
                    <w:textAlignment w:val="center"/>
                    <w:rPr>
                      <w:color w:val="000000"/>
                      <w:sz w:val="21"/>
                      <w:szCs w:val="18"/>
                    </w:rPr>
                  </w:pPr>
                </w:p>
              </w:tc>
              <w:tc>
                <w:tcPr>
                  <w:tcW w:w="2795" w:type="pct"/>
                  <w:tcBorders>
                    <w:tl2br w:val="nil"/>
                    <w:tr2bl w:val="nil"/>
                  </w:tcBorders>
                  <w:noWrap w:val="0"/>
                  <w:vAlign w:val="center"/>
                </w:tcPr>
                <w:p w14:paraId="59F1B60E">
                  <w:pPr>
                    <w:widowControl/>
                    <w:spacing w:line="240" w:lineRule="auto"/>
                    <w:ind w:firstLine="0" w:firstLineChars="0"/>
                    <w:jc w:val="center"/>
                    <w:textAlignment w:val="center"/>
                    <w:rPr>
                      <w:color w:val="000000"/>
                      <w:sz w:val="21"/>
                      <w:szCs w:val="18"/>
                    </w:rPr>
                  </w:pPr>
                  <w:r>
                    <w:rPr>
                      <w:rFonts w:hint="eastAsia"/>
                      <w:color w:val="000000"/>
                      <w:sz w:val="21"/>
                      <w:szCs w:val="18"/>
                    </w:rPr>
                    <w:t>C265</w:t>
                  </w:r>
                  <w:r>
                    <w:rPr>
                      <w:color w:val="000000"/>
                      <w:sz w:val="21"/>
                      <w:szCs w:val="18"/>
                    </w:rPr>
                    <w:t>合成材料制造</w:t>
                  </w:r>
                </w:p>
              </w:tc>
            </w:tr>
            <w:tr w14:paraId="6F4B37BA">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133" w:hRule="atLeast"/>
                <w:jc w:val="center"/>
              </w:trPr>
              <w:tc>
                <w:tcPr>
                  <w:tcW w:w="387" w:type="pct"/>
                  <w:vMerge w:val="continue"/>
                  <w:tcBorders>
                    <w:tl2br w:val="nil"/>
                    <w:tr2bl w:val="nil"/>
                  </w:tcBorders>
                  <w:noWrap w:val="0"/>
                  <w:vAlign w:val="center"/>
                </w:tcPr>
                <w:p w14:paraId="6D6BA328">
                  <w:pPr>
                    <w:widowControl/>
                    <w:spacing w:line="240" w:lineRule="auto"/>
                    <w:ind w:firstLine="0" w:firstLineChars="0"/>
                    <w:jc w:val="center"/>
                    <w:textAlignment w:val="center"/>
                    <w:rPr>
                      <w:rFonts w:cs="宋体"/>
                      <w:color w:val="000000"/>
                      <w:kern w:val="0"/>
                      <w:sz w:val="21"/>
                      <w:szCs w:val="18"/>
                      <w:lang w:bidi="ar"/>
                    </w:rPr>
                  </w:pPr>
                </w:p>
              </w:tc>
              <w:tc>
                <w:tcPr>
                  <w:tcW w:w="390" w:type="pct"/>
                  <w:vMerge w:val="continue"/>
                  <w:tcBorders>
                    <w:tl2br w:val="nil"/>
                    <w:tr2bl w:val="nil"/>
                  </w:tcBorders>
                  <w:noWrap w:val="0"/>
                  <w:vAlign w:val="center"/>
                </w:tcPr>
                <w:p w14:paraId="431398F6">
                  <w:pPr>
                    <w:widowControl/>
                    <w:spacing w:line="240" w:lineRule="auto"/>
                    <w:ind w:firstLine="0" w:firstLineChars="0"/>
                    <w:jc w:val="center"/>
                    <w:textAlignment w:val="center"/>
                    <w:rPr>
                      <w:rFonts w:cs="宋体"/>
                      <w:color w:val="000000"/>
                      <w:kern w:val="0"/>
                      <w:sz w:val="21"/>
                      <w:szCs w:val="18"/>
                      <w:lang w:bidi="ar"/>
                    </w:rPr>
                  </w:pPr>
                </w:p>
              </w:tc>
              <w:tc>
                <w:tcPr>
                  <w:tcW w:w="140" w:type="pct"/>
                  <w:vMerge w:val="continue"/>
                  <w:tcBorders>
                    <w:tl2br w:val="nil"/>
                    <w:tr2bl w:val="nil"/>
                  </w:tcBorders>
                  <w:noWrap w:val="0"/>
                  <w:vAlign w:val="center"/>
                </w:tcPr>
                <w:p w14:paraId="7CDCFF80">
                  <w:pPr>
                    <w:widowControl/>
                    <w:spacing w:line="240" w:lineRule="auto"/>
                    <w:ind w:firstLine="0" w:firstLineChars="0"/>
                    <w:jc w:val="center"/>
                    <w:textAlignment w:val="center"/>
                    <w:rPr>
                      <w:rFonts w:cs="宋体"/>
                      <w:color w:val="000000"/>
                      <w:kern w:val="0"/>
                      <w:sz w:val="21"/>
                      <w:szCs w:val="18"/>
                      <w:lang w:bidi="ar"/>
                    </w:rPr>
                  </w:pPr>
                </w:p>
              </w:tc>
              <w:tc>
                <w:tcPr>
                  <w:tcW w:w="445" w:type="pct"/>
                  <w:vMerge w:val="continue"/>
                  <w:tcBorders>
                    <w:tl2br w:val="nil"/>
                    <w:tr2bl w:val="nil"/>
                  </w:tcBorders>
                  <w:noWrap w:val="0"/>
                  <w:vAlign w:val="center"/>
                </w:tcPr>
                <w:p w14:paraId="7F3C0CE5">
                  <w:pPr>
                    <w:widowControl/>
                    <w:spacing w:line="240" w:lineRule="auto"/>
                    <w:ind w:firstLine="0" w:firstLineChars="0"/>
                    <w:jc w:val="center"/>
                    <w:textAlignment w:val="center"/>
                    <w:rPr>
                      <w:rFonts w:cs="宋体"/>
                      <w:color w:val="000000"/>
                      <w:kern w:val="0"/>
                      <w:sz w:val="21"/>
                      <w:szCs w:val="18"/>
                      <w:lang w:bidi="ar"/>
                    </w:rPr>
                  </w:pPr>
                </w:p>
              </w:tc>
              <w:tc>
                <w:tcPr>
                  <w:tcW w:w="839" w:type="pct"/>
                  <w:vMerge w:val="continue"/>
                  <w:tcBorders>
                    <w:tl2br w:val="nil"/>
                    <w:tr2bl w:val="nil"/>
                  </w:tcBorders>
                  <w:noWrap w:val="0"/>
                  <w:vAlign w:val="center"/>
                </w:tcPr>
                <w:p w14:paraId="4BC5361A">
                  <w:pPr>
                    <w:widowControl/>
                    <w:tabs>
                      <w:tab w:val="left" w:pos="475"/>
                    </w:tabs>
                    <w:spacing w:line="240" w:lineRule="auto"/>
                    <w:ind w:firstLine="0" w:firstLineChars="0"/>
                    <w:jc w:val="center"/>
                    <w:textAlignment w:val="center"/>
                    <w:rPr>
                      <w:color w:val="000000"/>
                      <w:sz w:val="21"/>
                      <w:szCs w:val="18"/>
                    </w:rPr>
                  </w:pPr>
                </w:p>
              </w:tc>
              <w:tc>
                <w:tcPr>
                  <w:tcW w:w="2795" w:type="pct"/>
                  <w:tcBorders>
                    <w:tl2br w:val="nil"/>
                    <w:tr2bl w:val="nil"/>
                  </w:tcBorders>
                  <w:noWrap w:val="0"/>
                  <w:vAlign w:val="center"/>
                </w:tcPr>
                <w:p w14:paraId="7D3192D9">
                  <w:pPr>
                    <w:widowControl/>
                    <w:spacing w:line="240" w:lineRule="auto"/>
                    <w:ind w:firstLine="0" w:firstLineChars="0"/>
                    <w:jc w:val="center"/>
                    <w:textAlignment w:val="center"/>
                    <w:rPr>
                      <w:color w:val="000000"/>
                      <w:sz w:val="21"/>
                      <w:szCs w:val="18"/>
                    </w:rPr>
                  </w:pPr>
                  <w:r>
                    <w:rPr>
                      <w:rFonts w:hint="eastAsia"/>
                      <w:color w:val="000000"/>
                      <w:sz w:val="21"/>
                      <w:szCs w:val="18"/>
                    </w:rPr>
                    <w:t>C266专用化学产品制造</w:t>
                  </w:r>
                </w:p>
              </w:tc>
            </w:tr>
            <w:tr w14:paraId="5DD4B43A">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3" w:hRule="atLeast"/>
                <w:jc w:val="center"/>
              </w:trPr>
              <w:tc>
                <w:tcPr>
                  <w:tcW w:w="387" w:type="pct"/>
                  <w:vMerge w:val="continue"/>
                  <w:tcBorders>
                    <w:tl2br w:val="nil"/>
                    <w:tr2bl w:val="nil"/>
                  </w:tcBorders>
                  <w:noWrap w:val="0"/>
                  <w:vAlign w:val="center"/>
                </w:tcPr>
                <w:p w14:paraId="60CB8740">
                  <w:pPr>
                    <w:widowControl/>
                    <w:spacing w:line="240" w:lineRule="auto"/>
                    <w:ind w:firstLine="0" w:firstLineChars="0"/>
                    <w:jc w:val="center"/>
                    <w:rPr>
                      <w:rFonts w:cs="宋体"/>
                      <w:color w:val="000000"/>
                      <w:sz w:val="21"/>
                      <w:szCs w:val="18"/>
                    </w:rPr>
                  </w:pPr>
                </w:p>
              </w:tc>
              <w:tc>
                <w:tcPr>
                  <w:tcW w:w="390" w:type="pct"/>
                  <w:vMerge w:val="continue"/>
                  <w:tcBorders>
                    <w:tl2br w:val="nil"/>
                    <w:tr2bl w:val="nil"/>
                  </w:tcBorders>
                  <w:noWrap w:val="0"/>
                  <w:vAlign w:val="center"/>
                </w:tcPr>
                <w:p w14:paraId="55DB82DE">
                  <w:pPr>
                    <w:widowControl/>
                    <w:spacing w:line="240" w:lineRule="auto"/>
                    <w:ind w:firstLine="0" w:firstLineChars="0"/>
                    <w:jc w:val="center"/>
                    <w:rPr>
                      <w:rFonts w:cs="宋体"/>
                      <w:color w:val="000000"/>
                      <w:sz w:val="21"/>
                      <w:szCs w:val="18"/>
                    </w:rPr>
                  </w:pPr>
                </w:p>
              </w:tc>
              <w:tc>
                <w:tcPr>
                  <w:tcW w:w="140" w:type="pct"/>
                  <w:vMerge w:val="continue"/>
                  <w:tcBorders>
                    <w:tl2br w:val="nil"/>
                    <w:tr2bl w:val="nil"/>
                  </w:tcBorders>
                  <w:noWrap w:val="0"/>
                  <w:vAlign w:val="center"/>
                </w:tcPr>
                <w:p w14:paraId="1480F744">
                  <w:pPr>
                    <w:widowControl/>
                    <w:spacing w:line="240" w:lineRule="auto"/>
                    <w:ind w:firstLine="0" w:firstLineChars="0"/>
                    <w:jc w:val="center"/>
                    <w:textAlignment w:val="center"/>
                    <w:rPr>
                      <w:rFonts w:cs="宋体"/>
                      <w:color w:val="000000"/>
                      <w:kern w:val="0"/>
                      <w:sz w:val="21"/>
                      <w:szCs w:val="18"/>
                      <w:lang w:bidi="ar"/>
                    </w:rPr>
                  </w:pPr>
                </w:p>
              </w:tc>
              <w:tc>
                <w:tcPr>
                  <w:tcW w:w="445" w:type="pct"/>
                  <w:vMerge w:val="restart"/>
                  <w:tcBorders>
                    <w:tl2br w:val="nil"/>
                    <w:tr2bl w:val="nil"/>
                  </w:tcBorders>
                  <w:noWrap w:val="0"/>
                  <w:vAlign w:val="center"/>
                </w:tcPr>
                <w:p w14:paraId="432CBBB1">
                  <w:pPr>
                    <w:widowControl/>
                    <w:spacing w:line="240" w:lineRule="auto"/>
                    <w:ind w:firstLine="0" w:firstLineChars="0"/>
                    <w:jc w:val="center"/>
                    <w:textAlignment w:val="center"/>
                    <w:rPr>
                      <w:rFonts w:cs="宋体"/>
                      <w:color w:val="000000"/>
                      <w:kern w:val="0"/>
                      <w:sz w:val="21"/>
                      <w:szCs w:val="18"/>
                      <w:lang w:bidi="ar"/>
                    </w:rPr>
                  </w:pPr>
                  <w:r>
                    <w:rPr>
                      <w:rFonts w:cs="宋体"/>
                      <w:color w:val="000000"/>
                      <w:kern w:val="0"/>
                      <w:sz w:val="21"/>
                      <w:szCs w:val="18"/>
                      <w:lang w:bidi="ar"/>
                    </w:rPr>
                    <w:t>橡胶和塑料制品业</w:t>
                  </w:r>
                </w:p>
              </w:tc>
              <w:tc>
                <w:tcPr>
                  <w:tcW w:w="839" w:type="pct"/>
                  <w:vMerge w:val="restart"/>
                  <w:tcBorders>
                    <w:tl2br w:val="nil"/>
                    <w:tr2bl w:val="nil"/>
                  </w:tcBorders>
                  <w:noWrap w:val="0"/>
                  <w:vAlign w:val="center"/>
                </w:tcPr>
                <w:p w14:paraId="0270AD7C">
                  <w:pPr>
                    <w:widowControl/>
                    <w:spacing w:line="240" w:lineRule="auto"/>
                    <w:ind w:firstLine="0" w:firstLineChars="0"/>
                    <w:jc w:val="center"/>
                    <w:textAlignment w:val="center"/>
                    <w:rPr>
                      <w:color w:val="000000"/>
                      <w:sz w:val="21"/>
                      <w:szCs w:val="18"/>
                    </w:rPr>
                  </w:pPr>
                  <w:r>
                    <w:rPr>
                      <w:rFonts w:hint="eastAsia"/>
                      <w:color w:val="000000"/>
                      <w:sz w:val="21"/>
                      <w:szCs w:val="18"/>
                    </w:rPr>
                    <w:t>C29</w:t>
                  </w:r>
                  <w:r>
                    <w:rPr>
                      <w:rFonts w:cs="宋体"/>
                      <w:color w:val="000000"/>
                      <w:kern w:val="0"/>
                      <w:sz w:val="21"/>
                      <w:szCs w:val="18"/>
                      <w:lang w:bidi="ar"/>
                    </w:rPr>
                    <w:t>橡胶和塑料制品业</w:t>
                  </w:r>
                </w:p>
              </w:tc>
              <w:tc>
                <w:tcPr>
                  <w:tcW w:w="2795" w:type="pct"/>
                  <w:tcBorders>
                    <w:tl2br w:val="nil"/>
                    <w:tr2bl w:val="nil"/>
                  </w:tcBorders>
                  <w:noWrap w:val="0"/>
                  <w:vAlign w:val="center"/>
                </w:tcPr>
                <w:p w14:paraId="683472A9">
                  <w:pPr>
                    <w:widowControl/>
                    <w:spacing w:line="240" w:lineRule="auto"/>
                    <w:ind w:firstLine="0" w:firstLineChars="0"/>
                    <w:jc w:val="center"/>
                    <w:textAlignment w:val="center"/>
                    <w:rPr>
                      <w:color w:val="000000"/>
                      <w:sz w:val="21"/>
                      <w:szCs w:val="18"/>
                    </w:rPr>
                  </w:pPr>
                  <w:r>
                    <w:rPr>
                      <w:rFonts w:hint="eastAsia"/>
                      <w:color w:val="000000"/>
                      <w:sz w:val="21"/>
                      <w:szCs w:val="18"/>
                    </w:rPr>
                    <w:t>C291橡胶制品业</w:t>
                  </w:r>
                </w:p>
              </w:tc>
            </w:tr>
            <w:tr w14:paraId="32B504D7">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3" w:hRule="atLeast"/>
                <w:jc w:val="center"/>
              </w:trPr>
              <w:tc>
                <w:tcPr>
                  <w:tcW w:w="387" w:type="pct"/>
                  <w:vMerge w:val="continue"/>
                  <w:tcBorders>
                    <w:tl2br w:val="nil"/>
                    <w:tr2bl w:val="nil"/>
                  </w:tcBorders>
                  <w:noWrap w:val="0"/>
                  <w:vAlign w:val="center"/>
                </w:tcPr>
                <w:p w14:paraId="7A26ABFA">
                  <w:pPr>
                    <w:widowControl/>
                    <w:spacing w:line="240" w:lineRule="auto"/>
                    <w:ind w:firstLine="0" w:firstLineChars="0"/>
                    <w:jc w:val="center"/>
                    <w:rPr>
                      <w:rFonts w:cs="宋体"/>
                      <w:color w:val="000000"/>
                      <w:sz w:val="21"/>
                      <w:szCs w:val="18"/>
                    </w:rPr>
                  </w:pPr>
                </w:p>
              </w:tc>
              <w:tc>
                <w:tcPr>
                  <w:tcW w:w="390" w:type="pct"/>
                  <w:vMerge w:val="continue"/>
                  <w:tcBorders>
                    <w:tl2br w:val="nil"/>
                    <w:tr2bl w:val="nil"/>
                  </w:tcBorders>
                  <w:noWrap w:val="0"/>
                  <w:vAlign w:val="center"/>
                </w:tcPr>
                <w:p w14:paraId="24B55BAA">
                  <w:pPr>
                    <w:widowControl/>
                    <w:spacing w:line="240" w:lineRule="auto"/>
                    <w:ind w:firstLine="0" w:firstLineChars="0"/>
                    <w:jc w:val="center"/>
                    <w:rPr>
                      <w:rFonts w:cs="宋体"/>
                      <w:color w:val="000000"/>
                      <w:sz w:val="21"/>
                      <w:szCs w:val="18"/>
                    </w:rPr>
                  </w:pPr>
                </w:p>
              </w:tc>
              <w:tc>
                <w:tcPr>
                  <w:tcW w:w="140" w:type="pct"/>
                  <w:vMerge w:val="continue"/>
                  <w:tcBorders>
                    <w:tl2br w:val="nil"/>
                    <w:tr2bl w:val="nil"/>
                  </w:tcBorders>
                  <w:noWrap w:val="0"/>
                  <w:vAlign w:val="center"/>
                </w:tcPr>
                <w:p w14:paraId="1889565B">
                  <w:pPr>
                    <w:widowControl/>
                    <w:spacing w:line="240" w:lineRule="auto"/>
                    <w:ind w:firstLine="0" w:firstLineChars="0"/>
                    <w:jc w:val="center"/>
                    <w:textAlignment w:val="center"/>
                    <w:rPr>
                      <w:rFonts w:cs="宋体"/>
                      <w:color w:val="000000"/>
                      <w:kern w:val="0"/>
                      <w:sz w:val="21"/>
                      <w:szCs w:val="18"/>
                      <w:lang w:bidi="ar"/>
                    </w:rPr>
                  </w:pPr>
                </w:p>
              </w:tc>
              <w:tc>
                <w:tcPr>
                  <w:tcW w:w="445" w:type="pct"/>
                  <w:vMerge w:val="continue"/>
                  <w:tcBorders>
                    <w:tl2br w:val="nil"/>
                    <w:tr2bl w:val="nil"/>
                  </w:tcBorders>
                  <w:noWrap w:val="0"/>
                  <w:vAlign w:val="center"/>
                </w:tcPr>
                <w:p w14:paraId="23032D6F">
                  <w:pPr>
                    <w:widowControl/>
                    <w:spacing w:line="240" w:lineRule="auto"/>
                    <w:ind w:firstLine="0" w:firstLineChars="0"/>
                    <w:jc w:val="center"/>
                    <w:textAlignment w:val="center"/>
                    <w:rPr>
                      <w:rFonts w:cs="宋体"/>
                      <w:color w:val="000000"/>
                      <w:kern w:val="0"/>
                      <w:sz w:val="21"/>
                      <w:szCs w:val="18"/>
                      <w:lang w:bidi="ar"/>
                    </w:rPr>
                  </w:pPr>
                </w:p>
              </w:tc>
              <w:tc>
                <w:tcPr>
                  <w:tcW w:w="839" w:type="pct"/>
                  <w:vMerge w:val="continue"/>
                  <w:tcBorders>
                    <w:tl2br w:val="nil"/>
                    <w:tr2bl w:val="nil"/>
                  </w:tcBorders>
                  <w:noWrap w:val="0"/>
                  <w:vAlign w:val="center"/>
                </w:tcPr>
                <w:p w14:paraId="7CE5517C">
                  <w:pPr>
                    <w:widowControl/>
                    <w:spacing w:line="240" w:lineRule="auto"/>
                    <w:ind w:firstLine="0" w:firstLineChars="0"/>
                    <w:jc w:val="center"/>
                    <w:textAlignment w:val="center"/>
                    <w:rPr>
                      <w:color w:val="000000"/>
                      <w:sz w:val="21"/>
                      <w:szCs w:val="18"/>
                    </w:rPr>
                  </w:pPr>
                </w:p>
              </w:tc>
              <w:tc>
                <w:tcPr>
                  <w:tcW w:w="2795" w:type="pct"/>
                  <w:tcBorders>
                    <w:tl2br w:val="nil"/>
                    <w:tr2bl w:val="nil"/>
                  </w:tcBorders>
                  <w:noWrap w:val="0"/>
                  <w:vAlign w:val="center"/>
                </w:tcPr>
                <w:p w14:paraId="56EFF899">
                  <w:pPr>
                    <w:widowControl/>
                    <w:spacing w:line="240" w:lineRule="auto"/>
                    <w:ind w:firstLine="0" w:firstLineChars="0"/>
                    <w:jc w:val="center"/>
                    <w:textAlignment w:val="center"/>
                    <w:rPr>
                      <w:color w:val="000000"/>
                      <w:sz w:val="21"/>
                      <w:szCs w:val="18"/>
                    </w:rPr>
                  </w:pPr>
                  <w:r>
                    <w:rPr>
                      <w:rFonts w:hint="eastAsia"/>
                      <w:color w:val="000000"/>
                      <w:sz w:val="21"/>
                      <w:szCs w:val="18"/>
                    </w:rPr>
                    <w:t>C292塑料制品业</w:t>
                  </w:r>
                </w:p>
              </w:tc>
            </w:tr>
            <w:tr w14:paraId="264515F6">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3" w:hRule="atLeast"/>
                <w:jc w:val="center"/>
              </w:trPr>
              <w:tc>
                <w:tcPr>
                  <w:tcW w:w="387" w:type="pct"/>
                  <w:vMerge w:val="continue"/>
                  <w:tcBorders>
                    <w:tl2br w:val="nil"/>
                    <w:tr2bl w:val="nil"/>
                  </w:tcBorders>
                  <w:noWrap w:val="0"/>
                  <w:vAlign w:val="center"/>
                </w:tcPr>
                <w:p w14:paraId="594174E2">
                  <w:pPr>
                    <w:widowControl/>
                    <w:spacing w:line="240" w:lineRule="auto"/>
                    <w:ind w:firstLine="0" w:firstLineChars="0"/>
                    <w:jc w:val="center"/>
                    <w:rPr>
                      <w:rFonts w:cs="宋体"/>
                      <w:color w:val="000000"/>
                      <w:sz w:val="21"/>
                      <w:szCs w:val="18"/>
                    </w:rPr>
                  </w:pPr>
                </w:p>
              </w:tc>
              <w:tc>
                <w:tcPr>
                  <w:tcW w:w="390" w:type="pct"/>
                  <w:vMerge w:val="continue"/>
                  <w:tcBorders>
                    <w:tl2br w:val="nil"/>
                    <w:tr2bl w:val="nil"/>
                  </w:tcBorders>
                  <w:noWrap w:val="0"/>
                  <w:vAlign w:val="center"/>
                </w:tcPr>
                <w:p w14:paraId="6932E08C">
                  <w:pPr>
                    <w:widowControl/>
                    <w:spacing w:line="240" w:lineRule="auto"/>
                    <w:ind w:firstLine="0" w:firstLineChars="0"/>
                    <w:jc w:val="center"/>
                    <w:rPr>
                      <w:rFonts w:cs="宋体"/>
                      <w:color w:val="000000"/>
                      <w:sz w:val="21"/>
                      <w:szCs w:val="18"/>
                    </w:rPr>
                  </w:pPr>
                </w:p>
              </w:tc>
              <w:tc>
                <w:tcPr>
                  <w:tcW w:w="140" w:type="pct"/>
                  <w:vMerge w:val="continue"/>
                  <w:tcBorders>
                    <w:tl2br w:val="nil"/>
                    <w:tr2bl w:val="nil"/>
                  </w:tcBorders>
                  <w:noWrap w:val="0"/>
                  <w:vAlign w:val="center"/>
                </w:tcPr>
                <w:p w14:paraId="4D35D8AC">
                  <w:pPr>
                    <w:widowControl/>
                    <w:spacing w:line="240" w:lineRule="auto"/>
                    <w:ind w:firstLine="0" w:firstLineChars="0"/>
                    <w:jc w:val="center"/>
                    <w:textAlignment w:val="center"/>
                    <w:rPr>
                      <w:rFonts w:cs="宋体"/>
                      <w:color w:val="000000"/>
                      <w:kern w:val="0"/>
                      <w:sz w:val="21"/>
                      <w:szCs w:val="18"/>
                      <w:lang w:bidi="ar"/>
                    </w:rPr>
                  </w:pPr>
                </w:p>
              </w:tc>
              <w:tc>
                <w:tcPr>
                  <w:tcW w:w="445" w:type="pct"/>
                  <w:vMerge w:val="restart"/>
                  <w:tcBorders>
                    <w:tl2br w:val="nil"/>
                    <w:tr2bl w:val="nil"/>
                  </w:tcBorders>
                  <w:noWrap w:val="0"/>
                  <w:vAlign w:val="center"/>
                </w:tcPr>
                <w:p w14:paraId="7CF8BCB8">
                  <w:pPr>
                    <w:widowControl/>
                    <w:spacing w:line="240" w:lineRule="auto"/>
                    <w:ind w:firstLine="0" w:firstLineChars="0"/>
                    <w:jc w:val="center"/>
                    <w:textAlignment w:val="center"/>
                    <w:rPr>
                      <w:rFonts w:cs="宋体"/>
                      <w:color w:val="000000"/>
                      <w:kern w:val="0"/>
                      <w:sz w:val="21"/>
                      <w:szCs w:val="18"/>
                      <w:lang w:bidi="ar"/>
                    </w:rPr>
                  </w:pPr>
                  <w:r>
                    <w:rPr>
                      <w:rFonts w:hint="eastAsia" w:cs="宋体"/>
                      <w:color w:val="000000"/>
                      <w:kern w:val="0"/>
                      <w:sz w:val="21"/>
                      <w:szCs w:val="18"/>
                      <w:lang w:bidi="ar"/>
                    </w:rPr>
                    <w:t>计算机、通信和其他电子设备制造业</w:t>
                  </w:r>
                </w:p>
              </w:tc>
              <w:tc>
                <w:tcPr>
                  <w:tcW w:w="839" w:type="pct"/>
                  <w:vMerge w:val="restart"/>
                  <w:tcBorders>
                    <w:tl2br w:val="nil"/>
                    <w:tr2bl w:val="nil"/>
                  </w:tcBorders>
                  <w:noWrap w:val="0"/>
                  <w:vAlign w:val="center"/>
                </w:tcPr>
                <w:p w14:paraId="76874AEC">
                  <w:pPr>
                    <w:widowControl/>
                    <w:spacing w:line="240" w:lineRule="auto"/>
                    <w:ind w:firstLine="0" w:firstLineChars="0"/>
                    <w:jc w:val="center"/>
                    <w:textAlignment w:val="center"/>
                    <w:rPr>
                      <w:color w:val="000000"/>
                      <w:sz w:val="21"/>
                      <w:szCs w:val="18"/>
                    </w:rPr>
                  </w:pPr>
                  <w:r>
                    <w:rPr>
                      <w:rFonts w:hint="eastAsia"/>
                      <w:color w:val="000000"/>
                      <w:sz w:val="21"/>
                      <w:szCs w:val="18"/>
                    </w:rPr>
                    <w:t>C39</w:t>
                  </w:r>
                  <w:r>
                    <w:rPr>
                      <w:rFonts w:hint="eastAsia" w:cs="宋体"/>
                      <w:color w:val="000000"/>
                      <w:kern w:val="0"/>
                      <w:sz w:val="21"/>
                      <w:szCs w:val="18"/>
                      <w:lang w:bidi="ar"/>
                    </w:rPr>
                    <w:t>计算机、通信和其他电子设备制造业</w:t>
                  </w:r>
                </w:p>
              </w:tc>
              <w:tc>
                <w:tcPr>
                  <w:tcW w:w="2795" w:type="pct"/>
                  <w:tcBorders>
                    <w:tl2br w:val="nil"/>
                    <w:tr2bl w:val="nil"/>
                  </w:tcBorders>
                  <w:noWrap w:val="0"/>
                  <w:vAlign w:val="center"/>
                </w:tcPr>
                <w:p w14:paraId="41263670">
                  <w:pPr>
                    <w:widowControl/>
                    <w:spacing w:line="240" w:lineRule="auto"/>
                    <w:ind w:firstLine="0" w:firstLineChars="0"/>
                    <w:jc w:val="center"/>
                    <w:textAlignment w:val="center"/>
                    <w:rPr>
                      <w:rFonts w:cs="宋体"/>
                      <w:color w:val="000000"/>
                      <w:kern w:val="0"/>
                      <w:sz w:val="21"/>
                      <w:szCs w:val="18"/>
                      <w:lang w:bidi="ar"/>
                    </w:rPr>
                  </w:pPr>
                  <w:r>
                    <w:rPr>
                      <w:rFonts w:hint="eastAsia" w:cs="宋体"/>
                      <w:color w:val="000000"/>
                      <w:kern w:val="0"/>
                      <w:sz w:val="21"/>
                      <w:szCs w:val="18"/>
                      <w:lang w:bidi="ar"/>
                    </w:rPr>
                    <w:t>C396智能消费设备制造</w:t>
                  </w:r>
                </w:p>
              </w:tc>
            </w:tr>
            <w:tr w14:paraId="6BA08CE1">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68" w:hRule="atLeast"/>
                <w:jc w:val="center"/>
              </w:trPr>
              <w:tc>
                <w:tcPr>
                  <w:tcW w:w="387" w:type="pct"/>
                  <w:vMerge w:val="continue"/>
                  <w:tcBorders>
                    <w:tl2br w:val="nil"/>
                    <w:tr2bl w:val="nil"/>
                  </w:tcBorders>
                  <w:noWrap w:val="0"/>
                  <w:vAlign w:val="center"/>
                </w:tcPr>
                <w:p w14:paraId="466D6ED2">
                  <w:pPr>
                    <w:widowControl/>
                    <w:spacing w:line="240" w:lineRule="auto"/>
                    <w:ind w:firstLine="0" w:firstLineChars="0"/>
                    <w:jc w:val="center"/>
                    <w:rPr>
                      <w:rFonts w:cs="宋体"/>
                      <w:color w:val="000000"/>
                      <w:sz w:val="21"/>
                      <w:szCs w:val="18"/>
                    </w:rPr>
                  </w:pPr>
                </w:p>
              </w:tc>
              <w:tc>
                <w:tcPr>
                  <w:tcW w:w="390" w:type="pct"/>
                  <w:vMerge w:val="continue"/>
                  <w:tcBorders>
                    <w:tl2br w:val="nil"/>
                    <w:tr2bl w:val="nil"/>
                  </w:tcBorders>
                  <w:noWrap w:val="0"/>
                  <w:vAlign w:val="center"/>
                </w:tcPr>
                <w:p w14:paraId="6C680023">
                  <w:pPr>
                    <w:widowControl/>
                    <w:spacing w:line="240" w:lineRule="auto"/>
                    <w:ind w:firstLine="0" w:firstLineChars="0"/>
                    <w:jc w:val="center"/>
                    <w:rPr>
                      <w:rFonts w:cs="宋体"/>
                      <w:color w:val="000000"/>
                      <w:sz w:val="21"/>
                      <w:szCs w:val="18"/>
                    </w:rPr>
                  </w:pPr>
                </w:p>
              </w:tc>
              <w:tc>
                <w:tcPr>
                  <w:tcW w:w="140" w:type="pct"/>
                  <w:vMerge w:val="continue"/>
                  <w:tcBorders>
                    <w:tl2br w:val="nil"/>
                    <w:tr2bl w:val="nil"/>
                  </w:tcBorders>
                  <w:noWrap w:val="0"/>
                  <w:vAlign w:val="center"/>
                </w:tcPr>
                <w:p w14:paraId="6D6EC890">
                  <w:pPr>
                    <w:widowControl/>
                    <w:spacing w:line="240" w:lineRule="auto"/>
                    <w:ind w:firstLine="0" w:firstLineChars="0"/>
                    <w:jc w:val="center"/>
                    <w:rPr>
                      <w:rFonts w:cs="宋体"/>
                      <w:color w:val="000000"/>
                      <w:sz w:val="21"/>
                      <w:szCs w:val="18"/>
                    </w:rPr>
                  </w:pPr>
                </w:p>
              </w:tc>
              <w:tc>
                <w:tcPr>
                  <w:tcW w:w="445" w:type="pct"/>
                  <w:vMerge w:val="continue"/>
                  <w:tcBorders>
                    <w:tl2br w:val="nil"/>
                    <w:tr2bl w:val="nil"/>
                  </w:tcBorders>
                  <w:noWrap w:val="0"/>
                  <w:vAlign w:val="center"/>
                </w:tcPr>
                <w:p w14:paraId="2A7713AF">
                  <w:pPr>
                    <w:widowControl/>
                    <w:spacing w:line="240" w:lineRule="auto"/>
                    <w:ind w:firstLine="0" w:firstLineChars="0"/>
                    <w:jc w:val="center"/>
                    <w:rPr>
                      <w:rFonts w:cs="宋体"/>
                      <w:color w:val="000000"/>
                      <w:sz w:val="21"/>
                      <w:szCs w:val="18"/>
                    </w:rPr>
                  </w:pPr>
                </w:p>
              </w:tc>
              <w:tc>
                <w:tcPr>
                  <w:tcW w:w="839" w:type="pct"/>
                  <w:vMerge w:val="continue"/>
                  <w:tcBorders>
                    <w:tl2br w:val="nil"/>
                    <w:tr2bl w:val="nil"/>
                  </w:tcBorders>
                  <w:noWrap w:val="0"/>
                  <w:vAlign w:val="center"/>
                </w:tcPr>
                <w:p w14:paraId="6ED0C849">
                  <w:pPr>
                    <w:widowControl/>
                    <w:spacing w:line="240" w:lineRule="auto"/>
                    <w:ind w:firstLine="0" w:firstLineChars="0"/>
                    <w:jc w:val="center"/>
                    <w:textAlignment w:val="center"/>
                    <w:rPr>
                      <w:rFonts w:cs="宋体"/>
                      <w:color w:val="000000"/>
                      <w:sz w:val="21"/>
                      <w:szCs w:val="18"/>
                    </w:rPr>
                  </w:pPr>
                </w:p>
              </w:tc>
              <w:tc>
                <w:tcPr>
                  <w:tcW w:w="2795" w:type="pct"/>
                  <w:tcBorders>
                    <w:tl2br w:val="nil"/>
                    <w:tr2bl w:val="nil"/>
                  </w:tcBorders>
                  <w:noWrap w:val="0"/>
                  <w:vAlign w:val="center"/>
                </w:tcPr>
                <w:p w14:paraId="7AAACEFB">
                  <w:pPr>
                    <w:widowControl/>
                    <w:spacing w:line="240" w:lineRule="auto"/>
                    <w:ind w:firstLine="0" w:firstLineChars="0"/>
                    <w:jc w:val="center"/>
                    <w:textAlignment w:val="center"/>
                    <w:rPr>
                      <w:rFonts w:cs="宋体"/>
                      <w:color w:val="000000"/>
                      <w:kern w:val="0"/>
                      <w:sz w:val="21"/>
                      <w:szCs w:val="18"/>
                      <w:lang w:bidi="ar"/>
                    </w:rPr>
                  </w:pPr>
                  <w:r>
                    <w:rPr>
                      <w:rFonts w:hint="eastAsia" w:cs="宋体"/>
                      <w:color w:val="000000"/>
                      <w:kern w:val="0"/>
                      <w:sz w:val="21"/>
                      <w:szCs w:val="18"/>
                      <w:lang w:bidi="ar"/>
                    </w:rPr>
                    <w:t>C397电子器件制造</w:t>
                  </w:r>
                </w:p>
              </w:tc>
            </w:tr>
            <w:tr w14:paraId="1BE338F3">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356" w:hRule="atLeast"/>
                <w:jc w:val="center"/>
              </w:trPr>
              <w:tc>
                <w:tcPr>
                  <w:tcW w:w="387" w:type="pct"/>
                  <w:vMerge w:val="continue"/>
                  <w:tcBorders>
                    <w:tl2br w:val="nil"/>
                    <w:tr2bl w:val="nil"/>
                  </w:tcBorders>
                  <w:noWrap w:val="0"/>
                  <w:vAlign w:val="center"/>
                </w:tcPr>
                <w:p w14:paraId="6F5EDB6D">
                  <w:pPr>
                    <w:widowControl/>
                    <w:spacing w:line="240" w:lineRule="auto"/>
                    <w:ind w:firstLine="0" w:firstLineChars="0"/>
                    <w:jc w:val="center"/>
                    <w:rPr>
                      <w:rFonts w:cs="宋体"/>
                      <w:color w:val="000000"/>
                      <w:sz w:val="21"/>
                      <w:szCs w:val="18"/>
                    </w:rPr>
                  </w:pPr>
                </w:p>
              </w:tc>
              <w:tc>
                <w:tcPr>
                  <w:tcW w:w="390" w:type="pct"/>
                  <w:vMerge w:val="continue"/>
                  <w:tcBorders>
                    <w:tl2br w:val="nil"/>
                    <w:tr2bl w:val="nil"/>
                  </w:tcBorders>
                  <w:noWrap w:val="0"/>
                  <w:vAlign w:val="center"/>
                </w:tcPr>
                <w:p w14:paraId="61361FCF">
                  <w:pPr>
                    <w:widowControl/>
                    <w:spacing w:line="240" w:lineRule="auto"/>
                    <w:ind w:firstLine="0" w:firstLineChars="0"/>
                    <w:jc w:val="center"/>
                    <w:rPr>
                      <w:rFonts w:cs="宋体"/>
                      <w:color w:val="000000"/>
                      <w:sz w:val="21"/>
                      <w:szCs w:val="18"/>
                    </w:rPr>
                  </w:pPr>
                </w:p>
              </w:tc>
              <w:tc>
                <w:tcPr>
                  <w:tcW w:w="140" w:type="pct"/>
                  <w:vMerge w:val="continue"/>
                  <w:tcBorders>
                    <w:tl2br w:val="nil"/>
                    <w:tr2bl w:val="nil"/>
                  </w:tcBorders>
                  <w:noWrap w:val="0"/>
                  <w:vAlign w:val="center"/>
                </w:tcPr>
                <w:p w14:paraId="0F5C2CB4">
                  <w:pPr>
                    <w:widowControl/>
                    <w:spacing w:line="240" w:lineRule="auto"/>
                    <w:ind w:firstLine="0" w:firstLineChars="0"/>
                    <w:jc w:val="center"/>
                    <w:rPr>
                      <w:rFonts w:cs="宋体"/>
                      <w:color w:val="000000"/>
                      <w:sz w:val="21"/>
                      <w:szCs w:val="18"/>
                    </w:rPr>
                  </w:pPr>
                </w:p>
              </w:tc>
              <w:tc>
                <w:tcPr>
                  <w:tcW w:w="445" w:type="pct"/>
                  <w:vMerge w:val="continue"/>
                  <w:tcBorders>
                    <w:tl2br w:val="nil"/>
                    <w:tr2bl w:val="nil"/>
                  </w:tcBorders>
                  <w:noWrap w:val="0"/>
                  <w:vAlign w:val="center"/>
                </w:tcPr>
                <w:p w14:paraId="1FEE118C">
                  <w:pPr>
                    <w:widowControl/>
                    <w:spacing w:line="240" w:lineRule="auto"/>
                    <w:ind w:firstLine="0" w:firstLineChars="0"/>
                    <w:jc w:val="center"/>
                    <w:rPr>
                      <w:rFonts w:cs="宋体"/>
                      <w:color w:val="000000"/>
                      <w:sz w:val="21"/>
                      <w:szCs w:val="18"/>
                    </w:rPr>
                  </w:pPr>
                </w:p>
              </w:tc>
              <w:tc>
                <w:tcPr>
                  <w:tcW w:w="839" w:type="pct"/>
                  <w:vMerge w:val="continue"/>
                  <w:tcBorders>
                    <w:tl2br w:val="nil"/>
                    <w:tr2bl w:val="nil"/>
                  </w:tcBorders>
                  <w:noWrap w:val="0"/>
                  <w:vAlign w:val="center"/>
                </w:tcPr>
                <w:p w14:paraId="00C6C260">
                  <w:pPr>
                    <w:widowControl/>
                    <w:spacing w:line="240" w:lineRule="auto"/>
                    <w:ind w:firstLine="0" w:firstLineChars="0"/>
                    <w:jc w:val="center"/>
                    <w:textAlignment w:val="center"/>
                    <w:rPr>
                      <w:rFonts w:cs="宋体"/>
                      <w:color w:val="000000"/>
                      <w:sz w:val="21"/>
                      <w:szCs w:val="18"/>
                    </w:rPr>
                  </w:pPr>
                </w:p>
              </w:tc>
              <w:tc>
                <w:tcPr>
                  <w:tcW w:w="2795" w:type="pct"/>
                  <w:tcBorders>
                    <w:tl2br w:val="nil"/>
                    <w:tr2bl w:val="nil"/>
                  </w:tcBorders>
                  <w:noWrap w:val="0"/>
                  <w:vAlign w:val="center"/>
                </w:tcPr>
                <w:p w14:paraId="005A67A8">
                  <w:pPr>
                    <w:widowControl/>
                    <w:spacing w:line="240" w:lineRule="auto"/>
                    <w:ind w:firstLine="0" w:firstLineChars="0"/>
                    <w:jc w:val="center"/>
                    <w:textAlignment w:val="center"/>
                    <w:rPr>
                      <w:rFonts w:cs="宋体"/>
                      <w:color w:val="000000"/>
                      <w:kern w:val="0"/>
                      <w:sz w:val="21"/>
                      <w:szCs w:val="18"/>
                      <w:lang w:bidi="ar"/>
                    </w:rPr>
                  </w:pPr>
                  <w:r>
                    <w:rPr>
                      <w:rFonts w:hint="eastAsia" w:cs="宋体"/>
                      <w:color w:val="000000"/>
                      <w:kern w:val="0"/>
                      <w:sz w:val="21"/>
                      <w:szCs w:val="18"/>
                      <w:lang w:bidi="ar"/>
                    </w:rPr>
                    <w:t>C398电子元件及电子专用材料制造</w:t>
                  </w:r>
                </w:p>
              </w:tc>
            </w:tr>
            <w:tr w14:paraId="53823548">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356" w:hRule="atLeast"/>
                <w:jc w:val="center"/>
              </w:trPr>
              <w:tc>
                <w:tcPr>
                  <w:tcW w:w="387" w:type="pct"/>
                  <w:vMerge w:val="continue"/>
                  <w:tcBorders>
                    <w:tl2br w:val="nil"/>
                    <w:tr2bl w:val="nil"/>
                  </w:tcBorders>
                  <w:noWrap w:val="0"/>
                  <w:vAlign w:val="center"/>
                </w:tcPr>
                <w:p w14:paraId="224D248F">
                  <w:pPr>
                    <w:widowControl/>
                    <w:spacing w:line="240" w:lineRule="auto"/>
                    <w:ind w:firstLine="0" w:firstLineChars="0"/>
                    <w:jc w:val="center"/>
                    <w:rPr>
                      <w:rFonts w:cs="宋体"/>
                      <w:color w:val="000000"/>
                      <w:sz w:val="21"/>
                      <w:szCs w:val="18"/>
                    </w:rPr>
                  </w:pPr>
                </w:p>
              </w:tc>
              <w:tc>
                <w:tcPr>
                  <w:tcW w:w="390" w:type="pct"/>
                  <w:vMerge w:val="continue"/>
                  <w:tcBorders>
                    <w:tl2br w:val="nil"/>
                    <w:tr2bl w:val="nil"/>
                  </w:tcBorders>
                  <w:noWrap w:val="0"/>
                  <w:vAlign w:val="center"/>
                </w:tcPr>
                <w:p w14:paraId="655DBDA7">
                  <w:pPr>
                    <w:widowControl/>
                    <w:spacing w:line="240" w:lineRule="auto"/>
                    <w:ind w:firstLine="0" w:firstLineChars="0"/>
                    <w:jc w:val="center"/>
                    <w:rPr>
                      <w:rFonts w:cs="宋体"/>
                      <w:color w:val="000000"/>
                      <w:sz w:val="21"/>
                      <w:szCs w:val="18"/>
                    </w:rPr>
                  </w:pPr>
                </w:p>
              </w:tc>
              <w:tc>
                <w:tcPr>
                  <w:tcW w:w="140" w:type="pct"/>
                  <w:vMerge w:val="restart"/>
                  <w:tcBorders>
                    <w:tl2br w:val="nil"/>
                    <w:tr2bl w:val="nil"/>
                  </w:tcBorders>
                  <w:noWrap w:val="0"/>
                  <w:vAlign w:val="center"/>
                </w:tcPr>
                <w:p w14:paraId="016DBD97">
                  <w:pPr>
                    <w:widowControl/>
                    <w:spacing w:line="240" w:lineRule="auto"/>
                    <w:ind w:firstLine="0" w:firstLineChars="0"/>
                    <w:jc w:val="center"/>
                    <w:rPr>
                      <w:rFonts w:cs="宋体"/>
                      <w:color w:val="000000"/>
                      <w:sz w:val="21"/>
                      <w:szCs w:val="18"/>
                    </w:rPr>
                  </w:pPr>
                  <w:r>
                    <w:rPr>
                      <w:rFonts w:hint="eastAsia" w:cs="宋体"/>
                      <w:color w:val="000000"/>
                      <w:sz w:val="21"/>
                      <w:szCs w:val="18"/>
                    </w:rPr>
                    <w:t>北区</w:t>
                  </w:r>
                </w:p>
              </w:tc>
              <w:tc>
                <w:tcPr>
                  <w:tcW w:w="445" w:type="pct"/>
                  <w:vMerge w:val="restart"/>
                  <w:tcBorders>
                    <w:tl2br w:val="nil"/>
                    <w:tr2bl w:val="nil"/>
                  </w:tcBorders>
                  <w:noWrap w:val="0"/>
                  <w:vAlign w:val="center"/>
                </w:tcPr>
                <w:p w14:paraId="2148568E">
                  <w:pPr>
                    <w:widowControl/>
                    <w:spacing w:line="240" w:lineRule="auto"/>
                    <w:ind w:firstLine="0" w:firstLineChars="0"/>
                    <w:jc w:val="center"/>
                    <w:rPr>
                      <w:rFonts w:cs="宋体"/>
                      <w:color w:val="000000"/>
                      <w:sz w:val="21"/>
                      <w:szCs w:val="18"/>
                    </w:rPr>
                  </w:pPr>
                  <w:r>
                    <w:rPr>
                      <w:rFonts w:cs="宋体"/>
                      <w:color w:val="000000"/>
                      <w:kern w:val="0"/>
                      <w:sz w:val="21"/>
                      <w:szCs w:val="18"/>
                      <w:lang w:bidi="ar"/>
                    </w:rPr>
                    <w:t>化学原料和化学品制造业</w:t>
                  </w:r>
                </w:p>
              </w:tc>
              <w:tc>
                <w:tcPr>
                  <w:tcW w:w="839" w:type="pct"/>
                  <w:vMerge w:val="restart"/>
                  <w:tcBorders>
                    <w:tl2br w:val="nil"/>
                    <w:tr2bl w:val="nil"/>
                  </w:tcBorders>
                  <w:noWrap w:val="0"/>
                  <w:vAlign w:val="center"/>
                </w:tcPr>
                <w:p w14:paraId="3DB7C20D">
                  <w:pPr>
                    <w:widowControl/>
                    <w:spacing w:line="240" w:lineRule="auto"/>
                    <w:ind w:firstLine="0" w:firstLineChars="0"/>
                    <w:jc w:val="center"/>
                    <w:textAlignment w:val="center"/>
                    <w:rPr>
                      <w:rFonts w:cs="宋体"/>
                      <w:color w:val="000000"/>
                      <w:sz w:val="21"/>
                      <w:szCs w:val="18"/>
                    </w:rPr>
                  </w:pPr>
                  <w:r>
                    <w:rPr>
                      <w:rFonts w:hint="eastAsia"/>
                      <w:color w:val="000000"/>
                      <w:sz w:val="21"/>
                      <w:szCs w:val="18"/>
                    </w:rPr>
                    <w:t>C26</w:t>
                  </w:r>
                  <w:r>
                    <w:rPr>
                      <w:rFonts w:cs="宋体"/>
                      <w:color w:val="000000"/>
                      <w:kern w:val="0"/>
                      <w:sz w:val="21"/>
                      <w:szCs w:val="18"/>
                      <w:lang w:bidi="ar"/>
                    </w:rPr>
                    <w:t>化学原料和化学品制造业</w:t>
                  </w:r>
                </w:p>
              </w:tc>
              <w:tc>
                <w:tcPr>
                  <w:tcW w:w="2795" w:type="pct"/>
                  <w:tcBorders>
                    <w:tl2br w:val="nil"/>
                    <w:tr2bl w:val="nil"/>
                  </w:tcBorders>
                  <w:noWrap w:val="0"/>
                  <w:vAlign w:val="center"/>
                </w:tcPr>
                <w:p w14:paraId="0B9C1632">
                  <w:pPr>
                    <w:widowControl/>
                    <w:spacing w:line="240" w:lineRule="auto"/>
                    <w:ind w:firstLine="0" w:firstLineChars="0"/>
                    <w:jc w:val="center"/>
                    <w:textAlignment w:val="center"/>
                    <w:rPr>
                      <w:rFonts w:cs="宋体"/>
                      <w:color w:val="000000"/>
                      <w:kern w:val="0"/>
                      <w:sz w:val="21"/>
                      <w:szCs w:val="18"/>
                      <w:lang w:bidi="ar"/>
                    </w:rPr>
                  </w:pPr>
                  <w:r>
                    <w:rPr>
                      <w:rFonts w:hint="eastAsia"/>
                      <w:color w:val="000000"/>
                      <w:sz w:val="21"/>
                      <w:szCs w:val="18"/>
                    </w:rPr>
                    <w:t>C261</w:t>
                  </w:r>
                  <w:r>
                    <w:rPr>
                      <w:color w:val="000000"/>
                      <w:sz w:val="21"/>
                      <w:szCs w:val="18"/>
                    </w:rPr>
                    <w:t>基础化学原料制造</w:t>
                  </w:r>
                </w:p>
              </w:tc>
            </w:tr>
            <w:tr w14:paraId="49F17445">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356" w:hRule="atLeast"/>
                <w:jc w:val="center"/>
              </w:trPr>
              <w:tc>
                <w:tcPr>
                  <w:tcW w:w="387" w:type="pct"/>
                  <w:vMerge w:val="continue"/>
                  <w:tcBorders>
                    <w:tl2br w:val="nil"/>
                    <w:tr2bl w:val="nil"/>
                  </w:tcBorders>
                  <w:noWrap w:val="0"/>
                  <w:vAlign w:val="center"/>
                </w:tcPr>
                <w:p w14:paraId="7648D7EB">
                  <w:pPr>
                    <w:widowControl/>
                    <w:spacing w:line="240" w:lineRule="auto"/>
                    <w:ind w:firstLine="0" w:firstLineChars="0"/>
                    <w:jc w:val="center"/>
                    <w:rPr>
                      <w:rFonts w:cs="宋体"/>
                      <w:color w:val="000000"/>
                      <w:sz w:val="21"/>
                      <w:szCs w:val="18"/>
                    </w:rPr>
                  </w:pPr>
                </w:p>
              </w:tc>
              <w:tc>
                <w:tcPr>
                  <w:tcW w:w="390" w:type="pct"/>
                  <w:vMerge w:val="continue"/>
                  <w:tcBorders>
                    <w:tl2br w:val="nil"/>
                    <w:tr2bl w:val="nil"/>
                  </w:tcBorders>
                  <w:noWrap w:val="0"/>
                  <w:vAlign w:val="center"/>
                </w:tcPr>
                <w:p w14:paraId="795FE578">
                  <w:pPr>
                    <w:widowControl/>
                    <w:spacing w:line="240" w:lineRule="auto"/>
                    <w:ind w:firstLine="0" w:firstLineChars="0"/>
                    <w:jc w:val="center"/>
                    <w:rPr>
                      <w:rFonts w:cs="宋体"/>
                      <w:color w:val="000000"/>
                      <w:sz w:val="21"/>
                      <w:szCs w:val="18"/>
                    </w:rPr>
                  </w:pPr>
                </w:p>
              </w:tc>
              <w:tc>
                <w:tcPr>
                  <w:tcW w:w="140" w:type="pct"/>
                  <w:vMerge w:val="continue"/>
                  <w:tcBorders>
                    <w:tl2br w:val="nil"/>
                    <w:tr2bl w:val="nil"/>
                  </w:tcBorders>
                  <w:noWrap w:val="0"/>
                  <w:vAlign w:val="center"/>
                </w:tcPr>
                <w:p w14:paraId="5345FC33">
                  <w:pPr>
                    <w:widowControl/>
                    <w:spacing w:line="240" w:lineRule="auto"/>
                    <w:ind w:firstLine="0" w:firstLineChars="0"/>
                    <w:jc w:val="center"/>
                    <w:rPr>
                      <w:rFonts w:cs="宋体"/>
                      <w:color w:val="000000"/>
                      <w:sz w:val="21"/>
                      <w:szCs w:val="18"/>
                    </w:rPr>
                  </w:pPr>
                </w:p>
              </w:tc>
              <w:tc>
                <w:tcPr>
                  <w:tcW w:w="445" w:type="pct"/>
                  <w:vMerge w:val="continue"/>
                  <w:tcBorders>
                    <w:tl2br w:val="nil"/>
                    <w:tr2bl w:val="nil"/>
                  </w:tcBorders>
                  <w:noWrap w:val="0"/>
                  <w:vAlign w:val="center"/>
                </w:tcPr>
                <w:p w14:paraId="740201E2">
                  <w:pPr>
                    <w:widowControl/>
                    <w:spacing w:line="240" w:lineRule="auto"/>
                    <w:ind w:firstLine="0" w:firstLineChars="0"/>
                    <w:jc w:val="center"/>
                    <w:rPr>
                      <w:rFonts w:cs="宋体"/>
                      <w:color w:val="000000"/>
                      <w:sz w:val="21"/>
                      <w:szCs w:val="18"/>
                    </w:rPr>
                  </w:pPr>
                </w:p>
              </w:tc>
              <w:tc>
                <w:tcPr>
                  <w:tcW w:w="839" w:type="pct"/>
                  <w:vMerge w:val="continue"/>
                  <w:tcBorders>
                    <w:tl2br w:val="nil"/>
                    <w:tr2bl w:val="nil"/>
                  </w:tcBorders>
                  <w:noWrap w:val="0"/>
                  <w:vAlign w:val="center"/>
                </w:tcPr>
                <w:p w14:paraId="163258A5">
                  <w:pPr>
                    <w:widowControl/>
                    <w:spacing w:line="240" w:lineRule="auto"/>
                    <w:ind w:firstLine="0" w:firstLineChars="0"/>
                    <w:jc w:val="center"/>
                    <w:textAlignment w:val="center"/>
                    <w:rPr>
                      <w:rFonts w:cs="宋体"/>
                      <w:color w:val="000000"/>
                      <w:sz w:val="21"/>
                      <w:szCs w:val="18"/>
                    </w:rPr>
                  </w:pPr>
                </w:p>
              </w:tc>
              <w:tc>
                <w:tcPr>
                  <w:tcW w:w="2795" w:type="pct"/>
                  <w:tcBorders>
                    <w:tl2br w:val="nil"/>
                    <w:tr2bl w:val="nil"/>
                  </w:tcBorders>
                  <w:noWrap w:val="0"/>
                  <w:vAlign w:val="center"/>
                </w:tcPr>
                <w:p w14:paraId="172049D5">
                  <w:pPr>
                    <w:widowControl/>
                    <w:spacing w:line="240" w:lineRule="auto"/>
                    <w:ind w:firstLine="0" w:firstLineChars="0"/>
                    <w:jc w:val="center"/>
                    <w:textAlignment w:val="center"/>
                    <w:rPr>
                      <w:rFonts w:cs="宋体"/>
                      <w:color w:val="000000"/>
                      <w:kern w:val="0"/>
                      <w:sz w:val="21"/>
                      <w:szCs w:val="18"/>
                      <w:lang w:bidi="ar"/>
                    </w:rPr>
                  </w:pPr>
                  <w:r>
                    <w:rPr>
                      <w:rFonts w:hint="eastAsia"/>
                      <w:color w:val="000000"/>
                      <w:sz w:val="21"/>
                      <w:szCs w:val="18"/>
                    </w:rPr>
                    <w:t>C265</w:t>
                  </w:r>
                  <w:r>
                    <w:rPr>
                      <w:color w:val="000000"/>
                      <w:sz w:val="21"/>
                      <w:szCs w:val="18"/>
                    </w:rPr>
                    <w:t>合成材料制造</w:t>
                  </w:r>
                </w:p>
              </w:tc>
            </w:tr>
            <w:tr w14:paraId="4CB6843C">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356" w:hRule="atLeast"/>
                <w:jc w:val="center"/>
              </w:trPr>
              <w:tc>
                <w:tcPr>
                  <w:tcW w:w="387" w:type="pct"/>
                  <w:vMerge w:val="continue"/>
                  <w:tcBorders>
                    <w:tl2br w:val="nil"/>
                    <w:tr2bl w:val="nil"/>
                  </w:tcBorders>
                  <w:noWrap w:val="0"/>
                  <w:vAlign w:val="center"/>
                </w:tcPr>
                <w:p w14:paraId="63260A71">
                  <w:pPr>
                    <w:widowControl/>
                    <w:spacing w:line="240" w:lineRule="auto"/>
                    <w:ind w:firstLine="0" w:firstLineChars="0"/>
                    <w:jc w:val="center"/>
                    <w:rPr>
                      <w:rFonts w:cs="宋体"/>
                      <w:color w:val="000000"/>
                      <w:sz w:val="21"/>
                      <w:szCs w:val="18"/>
                    </w:rPr>
                  </w:pPr>
                </w:p>
              </w:tc>
              <w:tc>
                <w:tcPr>
                  <w:tcW w:w="390" w:type="pct"/>
                  <w:vMerge w:val="continue"/>
                  <w:tcBorders>
                    <w:tl2br w:val="nil"/>
                    <w:tr2bl w:val="nil"/>
                  </w:tcBorders>
                  <w:noWrap w:val="0"/>
                  <w:vAlign w:val="center"/>
                </w:tcPr>
                <w:p w14:paraId="003749DF">
                  <w:pPr>
                    <w:widowControl/>
                    <w:spacing w:line="240" w:lineRule="auto"/>
                    <w:ind w:firstLine="0" w:firstLineChars="0"/>
                    <w:jc w:val="center"/>
                    <w:rPr>
                      <w:rFonts w:cs="宋体"/>
                      <w:color w:val="000000"/>
                      <w:sz w:val="21"/>
                      <w:szCs w:val="18"/>
                    </w:rPr>
                  </w:pPr>
                </w:p>
              </w:tc>
              <w:tc>
                <w:tcPr>
                  <w:tcW w:w="140" w:type="pct"/>
                  <w:vMerge w:val="continue"/>
                  <w:tcBorders>
                    <w:tl2br w:val="nil"/>
                    <w:tr2bl w:val="nil"/>
                  </w:tcBorders>
                  <w:noWrap w:val="0"/>
                  <w:vAlign w:val="center"/>
                </w:tcPr>
                <w:p w14:paraId="017EBFE3">
                  <w:pPr>
                    <w:widowControl/>
                    <w:spacing w:line="240" w:lineRule="auto"/>
                    <w:ind w:firstLine="0" w:firstLineChars="0"/>
                    <w:jc w:val="center"/>
                    <w:rPr>
                      <w:rFonts w:cs="宋体"/>
                      <w:color w:val="000000"/>
                      <w:sz w:val="21"/>
                      <w:szCs w:val="18"/>
                    </w:rPr>
                  </w:pPr>
                </w:p>
              </w:tc>
              <w:tc>
                <w:tcPr>
                  <w:tcW w:w="445" w:type="pct"/>
                  <w:vMerge w:val="continue"/>
                  <w:tcBorders>
                    <w:tl2br w:val="nil"/>
                    <w:tr2bl w:val="nil"/>
                  </w:tcBorders>
                  <w:noWrap w:val="0"/>
                  <w:vAlign w:val="center"/>
                </w:tcPr>
                <w:p w14:paraId="7292C3DA">
                  <w:pPr>
                    <w:widowControl/>
                    <w:spacing w:line="240" w:lineRule="auto"/>
                    <w:ind w:firstLine="0" w:firstLineChars="0"/>
                    <w:jc w:val="center"/>
                    <w:rPr>
                      <w:rFonts w:cs="宋体"/>
                      <w:color w:val="000000"/>
                      <w:sz w:val="21"/>
                      <w:szCs w:val="18"/>
                    </w:rPr>
                  </w:pPr>
                </w:p>
              </w:tc>
              <w:tc>
                <w:tcPr>
                  <w:tcW w:w="839" w:type="pct"/>
                  <w:vMerge w:val="continue"/>
                  <w:tcBorders>
                    <w:tl2br w:val="nil"/>
                    <w:tr2bl w:val="nil"/>
                  </w:tcBorders>
                  <w:noWrap w:val="0"/>
                  <w:vAlign w:val="center"/>
                </w:tcPr>
                <w:p w14:paraId="6DF087D9">
                  <w:pPr>
                    <w:widowControl/>
                    <w:spacing w:line="240" w:lineRule="auto"/>
                    <w:ind w:firstLine="0" w:firstLineChars="0"/>
                    <w:jc w:val="center"/>
                    <w:textAlignment w:val="center"/>
                    <w:rPr>
                      <w:rFonts w:cs="宋体"/>
                      <w:color w:val="000000"/>
                      <w:sz w:val="21"/>
                      <w:szCs w:val="18"/>
                    </w:rPr>
                  </w:pPr>
                </w:p>
              </w:tc>
              <w:tc>
                <w:tcPr>
                  <w:tcW w:w="2795" w:type="pct"/>
                  <w:tcBorders>
                    <w:tl2br w:val="nil"/>
                    <w:tr2bl w:val="nil"/>
                  </w:tcBorders>
                  <w:noWrap w:val="0"/>
                  <w:vAlign w:val="center"/>
                </w:tcPr>
                <w:p w14:paraId="68D1093D">
                  <w:pPr>
                    <w:widowControl/>
                    <w:spacing w:line="240" w:lineRule="auto"/>
                    <w:ind w:firstLine="0" w:firstLineChars="0"/>
                    <w:jc w:val="center"/>
                    <w:textAlignment w:val="center"/>
                    <w:rPr>
                      <w:rFonts w:cs="宋体"/>
                      <w:color w:val="000000"/>
                      <w:kern w:val="0"/>
                      <w:sz w:val="21"/>
                      <w:szCs w:val="18"/>
                      <w:lang w:bidi="ar"/>
                    </w:rPr>
                  </w:pPr>
                  <w:r>
                    <w:rPr>
                      <w:rFonts w:hint="eastAsia"/>
                      <w:color w:val="000000"/>
                      <w:sz w:val="21"/>
                      <w:szCs w:val="18"/>
                    </w:rPr>
                    <w:t>C266专用化学产品制造</w:t>
                  </w:r>
                </w:p>
              </w:tc>
            </w:tr>
            <w:tr w14:paraId="6294F37B">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90" w:hRule="atLeast"/>
                <w:jc w:val="center"/>
              </w:trPr>
              <w:tc>
                <w:tcPr>
                  <w:tcW w:w="387" w:type="pct"/>
                  <w:vMerge w:val="continue"/>
                  <w:tcBorders>
                    <w:tl2br w:val="nil"/>
                    <w:tr2bl w:val="nil"/>
                  </w:tcBorders>
                  <w:noWrap w:val="0"/>
                  <w:vAlign w:val="center"/>
                </w:tcPr>
                <w:p w14:paraId="414CB3FD">
                  <w:pPr>
                    <w:widowControl/>
                    <w:spacing w:line="240" w:lineRule="auto"/>
                    <w:ind w:firstLine="0" w:firstLineChars="0"/>
                    <w:jc w:val="center"/>
                    <w:rPr>
                      <w:rFonts w:cs="宋体"/>
                      <w:color w:val="000000"/>
                      <w:sz w:val="21"/>
                      <w:szCs w:val="18"/>
                    </w:rPr>
                  </w:pPr>
                </w:p>
              </w:tc>
              <w:tc>
                <w:tcPr>
                  <w:tcW w:w="390" w:type="pct"/>
                  <w:vMerge w:val="continue"/>
                  <w:tcBorders>
                    <w:tl2br w:val="nil"/>
                    <w:tr2bl w:val="nil"/>
                  </w:tcBorders>
                  <w:noWrap w:val="0"/>
                  <w:vAlign w:val="center"/>
                </w:tcPr>
                <w:p w14:paraId="1D3F9AF1">
                  <w:pPr>
                    <w:widowControl/>
                    <w:spacing w:line="240" w:lineRule="auto"/>
                    <w:ind w:firstLine="0" w:firstLineChars="0"/>
                    <w:jc w:val="center"/>
                    <w:rPr>
                      <w:rFonts w:cs="宋体"/>
                      <w:color w:val="000000"/>
                      <w:sz w:val="21"/>
                      <w:szCs w:val="18"/>
                    </w:rPr>
                  </w:pPr>
                </w:p>
              </w:tc>
              <w:tc>
                <w:tcPr>
                  <w:tcW w:w="140" w:type="pct"/>
                  <w:vMerge w:val="continue"/>
                  <w:tcBorders>
                    <w:tl2br w:val="nil"/>
                    <w:tr2bl w:val="nil"/>
                  </w:tcBorders>
                  <w:noWrap w:val="0"/>
                  <w:vAlign w:val="center"/>
                </w:tcPr>
                <w:p w14:paraId="7248F131">
                  <w:pPr>
                    <w:widowControl/>
                    <w:spacing w:line="240" w:lineRule="auto"/>
                    <w:ind w:firstLine="0" w:firstLineChars="0"/>
                    <w:jc w:val="center"/>
                    <w:rPr>
                      <w:rFonts w:cs="宋体"/>
                      <w:color w:val="000000"/>
                      <w:sz w:val="21"/>
                      <w:szCs w:val="18"/>
                    </w:rPr>
                  </w:pPr>
                </w:p>
              </w:tc>
              <w:tc>
                <w:tcPr>
                  <w:tcW w:w="445" w:type="pct"/>
                  <w:vMerge w:val="restart"/>
                  <w:tcBorders>
                    <w:tl2br w:val="nil"/>
                    <w:tr2bl w:val="nil"/>
                  </w:tcBorders>
                  <w:noWrap w:val="0"/>
                  <w:vAlign w:val="center"/>
                </w:tcPr>
                <w:p w14:paraId="6C22808B">
                  <w:pPr>
                    <w:widowControl/>
                    <w:spacing w:line="240" w:lineRule="auto"/>
                    <w:ind w:firstLine="0" w:firstLineChars="0"/>
                    <w:jc w:val="center"/>
                    <w:rPr>
                      <w:rFonts w:cs="宋体"/>
                      <w:color w:val="000000"/>
                      <w:sz w:val="21"/>
                      <w:szCs w:val="18"/>
                    </w:rPr>
                  </w:pPr>
                  <w:r>
                    <w:rPr>
                      <w:rFonts w:cs="宋体"/>
                      <w:color w:val="000000"/>
                      <w:kern w:val="0"/>
                      <w:sz w:val="21"/>
                      <w:szCs w:val="18"/>
                      <w:lang w:bidi="ar"/>
                    </w:rPr>
                    <w:t>橡胶和塑料制品业</w:t>
                  </w:r>
                </w:p>
              </w:tc>
              <w:tc>
                <w:tcPr>
                  <w:tcW w:w="839" w:type="pct"/>
                  <w:vMerge w:val="restart"/>
                  <w:tcBorders>
                    <w:tl2br w:val="nil"/>
                    <w:tr2bl w:val="nil"/>
                  </w:tcBorders>
                  <w:noWrap w:val="0"/>
                  <w:vAlign w:val="center"/>
                </w:tcPr>
                <w:p w14:paraId="73825406">
                  <w:pPr>
                    <w:widowControl/>
                    <w:spacing w:line="240" w:lineRule="auto"/>
                    <w:ind w:firstLine="0" w:firstLineChars="0"/>
                    <w:jc w:val="center"/>
                    <w:textAlignment w:val="center"/>
                    <w:rPr>
                      <w:rFonts w:cs="宋体"/>
                      <w:color w:val="000000"/>
                      <w:sz w:val="21"/>
                      <w:szCs w:val="18"/>
                    </w:rPr>
                  </w:pPr>
                  <w:r>
                    <w:rPr>
                      <w:rFonts w:hint="eastAsia"/>
                      <w:color w:val="000000"/>
                      <w:sz w:val="21"/>
                      <w:szCs w:val="18"/>
                    </w:rPr>
                    <w:t>C29</w:t>
                  </w:r>
                  <w:r>
                    <w:rPr>
                      <w:rFonts w:cs="宋体"/>
                      <w:color w:val="000000"/>
                      <w:kern w:val="0"/>
                      <w:sz w:val="21"/>
                      <w:szCs w:val="18"/>
                      <w:lang w:bidi="ar"/>
                    </w:rPr>
                    <w:t>橡胶和塑料制品业</w:t>
                  </w:r>
                </w:p>
              </w:tc>
              <w:tc>
                <w:tcPr>
                  <w:tcW w:w="2795" w:type="pct"/>
                  <w:tcBorders>
                    <w:tl2br w:val="nil"/>
                    <w:tr2bl w:val="nil"/>
                  </w:tcBorders>
                  <w:noWrap w:val="0"/>
                  <w:vAlign w:val="center"/>
                </w:tcPr>
                <w:p w14:paraId="5B519173">
                  <w:pPr>
                    <w:widowControl/>
                    <w:spacing w:line="240" w:lineRule="auto"/>
                    <w:ind w:firstLine="0" w:firstLineChars="0"/>
                    <w:jc w:val="center"/>
                    <w:textAlignment w:val="center"/>
                    <w:rPr>
                      <w:rFonts w:cs="宋体"/>
                      <w:color w:val="000000"/>
                      <w:kern w:val="0"/>
                      <w:sz w:val="21"/>
                      <w:szCs w:val="18"/>
                      <w:lang w:bidi="ar"/>
                    </w:rPr>
                  </w:pPr>
                  <w:r>
                    <w:rPr>
                      <w:rFonts w:hint="eastAsia"/>
                      <w:color w:val="000000"/>
                      <w:sz w:val="21"/>
                      <w:szCs w:val="18"/>
                    </w:rPr>
                    <w:t>C291橡胶制品业</w:t>
                  </w:r>
                </w:p>
              </w:tc>
            </w:tr>
            <w:tr w14:paraId="24F9411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356" w:hRule="atLeast"/>
                <w:jc w:val="center"/>
              </w:trPr>
              <w:tc>
                <w:tcPr>
                  <w:tcW w:w="387" w:type="pct"/>
                  <w:vMerge w:val="continue"/>
                  <w:tcBorders>
                    <w:tl2br w:val="nil"/>
                    <w:tr2bl w:val="nil"/>
                  </w:tcBorders>
                  <w:noWrap w:val="0"/>
                  <w:vAlign w:val="center"/>
                </w:tcPr>
                <w:p w14:paraId="59E9950A">
                  <w:pPr>
                    <w:widowControl/>
                    <w:spacing w:line="240" w:lineRule="auto"/>
                    <w:ind w:firstLine="0" w:firstLineChars="0"/>
                    <w:jc w:val="center"/>
                    <w:rPr>
                      <w:rFonts w:cs="宋体"/>
                      <w:color w:val="000000"/>
                      <w:sz w:val="21"/>
                      <w:szCs w:val="18"/>
                    </w:rPr>
                  </w:pPr>
                </w:p>
              </w:tc>
              <w:tc>
                <w:tcPr>
                  <w:tcW w:w="390" w:type="pct"/>
                  <w:vMerge w:val="continue"/>
                  <w:tcBorders>
                    <w:tl2br w:val="nil"/>
                    <w:tr2bl w:val="nil"/>
                  </w:tcBorders>
                  <w:noWrap w:val="0"/>
                  <w:vAlign w:val="center"/>
                </w:tcPr>
                <w:p w14:paraId="3BAD8E96">
                  <w:pPr>
                    <w:widowControl/>
                    <w:spacing w:line="240" w:lineRule="auto"/>
                    <w:ind w:firstLine="0" w:firstLineChars="0"/>
                    <w:jc w:val="center"/>
                    <w:rPr>
                      <w:rFonts w:cs="宋体"/>
                      <w:color w:val="000000"/>
                      <w:sz w:val="21"/>
                      <w:szCs w:val="18"/>
                    </w:rPr>
                  </w:pPr>
                </w:p>
              </w:tc>
              <w:tc>
                <w:tcPr>
                  <w:tcW w:w="140" w:type="pct"/>
                  <w:vMerge w:val="continue"/>
                  <w:tcBorders>
                    <w:tl2br w:val="nil"/>
                    <w:tr2bl w:val="nil"/>
                  </w:tcBorders>
                  <w:noWrap w:val="0"/>
                  <w:vAlign w:val="center"/>
                </w:tcPr>
                <w:p w14:paraId="6F600B2F">
                  <w:pPr>
                    <w:widowControl/>
                    <w:spacing w:line="240" w:lineRule="auto"/>
                    <w:ind w:firstLine="0" w:firstLineChars="0"/>
                    <w:jc w:val="center"/>
                    <w:rPr>
                      <w:rFonts w:cs="宋体"/>
                      <w:color w:val="000000"/>
                      <w:sz w:val="21"/>
                      <w:szCs w:val="18"/>
                    </w:rPr>
                  </w:pPr>
                </w:p>
              </w:tc>
              <w:tc>
                <w:tcPr>
                  <w:tcW w:w="445" w:type="pct"/>
                  <w:vMerge w:val="continue"/>
                  <w:tcBorders>
                    <w:tl2br w:val="nil"/>
                    <w:tr2bl w:val="nil"/>
                  </w:tcBorders>
                  <w:noWrap w:val="0"/>
                  <w:vAlign w:val="center"/>
                </w:tcPr>
                <w:p w14:paraId="05DF5617">
                  <w:pPr>
                    <w:widowControl/>
                    <w:spacing w:line="240" w:lineRule="auto"/>
                    <w:ind w:firstLine="0" w:firstLineChars="0"/>
                    <w:jc w:val="center"/>
                    <w:rPr>
                      <w:rFonts w:cs="宋体"/>
                      <w:color w:val="000000"/>
                      <w:sz w:val="21"/>
                      <w:szCs w:val="18"/>
                    </w:rPr>
                  </w:pPr>
                </w:p>
              </w:tc>
              <w:tc>
                <w:tcPr>
                  <w:tcW w:w="839" w:type="pct"/>
                  <w:vMerge w:val="continue"/>
                  <w:tcBorders>
                    <w:tl2br w:val="nil"/>
                    <w:tr2bl w:val="nil"/>
                  </w:tcBorders>
                  <w:noWrap w:val="0"/>
                  <w:vAlign w:val="center"/>
                </w:tcPr>
                <w:p w14:paraId="2B4321D5">
                  <w:pPr>
                    <w:widowControl/>
                    <w:spacing w:line="240" w:lineRule="auto"/>
                    <w:ind w:firstLine="0" w:firstLineChars="0"/>
                    <w:jc w:val="center"/>
                    <w:textAlignment w:val="center"/>
                    <w:rPr>
                      <w:rFonts w:cs="宋体"/>
                      <w:color w:val="000000"/>
                      <w:sz w:val="21"/>
                      <w:szCs w:val="18"/>
                    </w:rPr>
                  </w:pPr>
                </w:p>
              </w:tc>
              <w:tc>
                <w:tcPr>
                  <w:tcW w:w="2795" w:type="pct"/>
                  <w:tcBorders>
                    <w:tl2br w:val="nil"/>
                    <w:tr2bl w:val="nil"/>
                  </w:tcBorders>
                  <w:noWrap w:val="0"/>
                  <w:vAlign w:val="center"/>
                </w:tcPr>
                <w:p w14:paraId="59A29CF1">
                  <w:pPr>
                    <w:widowControl/>
                    <w:spacing w:line="240" w:lineRule="auto"/>
                    <w:ind w:firstLine="0" w:firstLineChars="0"/>
                    <w:jc w:val="center"/>
                    <w:textAlignment w:val="center"/>
                    <w:rPr>
                      <w:rFonts w:cs="宋体"/>
                      <w:color w:val="000000"/>
                      <w:kern w:val="0"/>
                      <w:sz w:val="21"/>
                      <w:szCs w:val="18"/>
                      <w:lang w:bidi="ar"/>
                    </w:rPr>
                  </w:pPr>
                  <w:r>
                    <w:rPr>
                      <w:rFonts w:hint="eastAsia"/>
                      <w:color w:val="000000"/>
                      <w:sz w:val="21"/>
                      <w:szCs w:val="18"/>
                    </w:rPr>
                    <w:t>C292塑料制品业</w:t>
                  </w:r>
                </w:p>
              </w:tc>
            </w:tr>
            <w:tr w14:paraId="57BA27E6">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356" w:hRule="atLeast"/>
                <w:jc w:val="center"/>
              </w:trPr>
              <w:tc>
                <w:tcPr>
                  <w:tcW w:w="387" w:type="pct"/>
                  <w:vMerge w:val="continue"/>
                  <w:tcBorders>
                    <w:tl2br w:val="nil"/>
                    <w:tr2bl w:val="nil"/>
                  </w:tcBorders>
                  <w:noWrap w:val="0"/>
                  <w:vAlign w:val="center"/>
                </w:tcPr>
                <w:p w14:paraId="0C069D80">
                  <w:pPr>
                    <w:widowControl/>
                    <w:spacing w:line="240" w:lineRule="auto"/>
                    <w:ind w:firstLine="0" w:firstLineChars="0"/>
                    <w:jc w:val="center"/>
                    <w:rPr>
                      <w:rFonts w:cs="宋体"/>
                      <w:color w:val="000000"/>
                      <w:sz w:val="21"/>
                      <w:szCs w:val="18"/>
                    </w:rPr>
                  </w:pPr>
                </w:p>
              </w:tc>
              <w:tc>
                <w:tcPr>
                  <w:tcW w:w="390" w:type="pct"/>
                  <w:vMerge w:val="continue"/>
                  <w:tcBorders>
                    <w:tl2br w:val="nil"/>
                    <w:tr2bl w:val="nil"/>
                  </w:tcBorders>
                  <w:noWrap w:val="0"/>
                  <w:vAlign w:val="center"/>
                </w:tcPr>
                <w:p w14:paraId="2E0C4321">
                  <w:pPr>
                    <w:widowControl/>
                    <w:spacing w:line="240" w:lineRule="auto"/>
                    <w:ind w:firstLine="0" w:firstLineChars="0"/>
                    <w:jc w:val="center"/>
                    <w:rPr>
                      <w:rFonts w:cs="宋体"/>
                      <w:color w:val="000000"/>
                      <w:sz w:val="21"/>
                      <w:szCs w:val="18"/>
                    </w:rPr>
                  </w:pPr>
                </w:p>
              </w:tc>
              <w:tc>
                <w:tcPr>
                  <w:tcW w:w="4221" w:type="pct"/>
                  <w:gridSpan w:val="4"/>
                  <w:tcBorders>
                    <w:tl2br w:val="nil"/>
                    <w:tr2bl w:val="nil"/>
                  </w:tcBorders>
                  <w:noWrap w:val="0"/>
                  <w:vAlign w:val="center"/>
                </w:tcPr>
                <w:tbl>
                  <w:tblPr>
                    <w:tblStyle w:val="29"/>
                    <w:tblW w:w="0" w:type="auto"/>
                    <w:tblInd w:w="0" w:type="dxa"/>
                    <w:tblLayout w:type="autofit"/>
                    <w:tblCellMar>
                      <w:top w:w="0" w:type="dxa"/>
                      <w:left w:w="108" w:type="dxa"/>
                      <w:bottom w:w="0" w:type="dxa"/>
                      <w:right w:w="108" w:type="dxa"/>
                    </w:tblCellMar>
                  </w:tblPr>
                  <w:tblGrid>
                    <w:gridCol w:w="6594"/>
                  </w:tblGrid>
                  <w:tr w14:paraId="6D53C1C0">
                    <w:trPr>
                      <w:trHeight w:val="323" w:hRule="atLeast"/>
                    </w:trPr>
                    <w:tc>
                      <w:tcPr>
                        <w:tcW w:w="11801" w:type="dxa"/>
                        <w:tcBorders>
                          <w:tl2br w:val="nil"/>
                          <w:tr2bl w:val="nil"/>
                        </w:tcBorders>
                        <w:noWrap w:val="0"/>
                        <w:vAlign w:val="center"/>
                      </w:tcPr>
                      <w:p w14:paraId="4D9D28A8">
                        <w:pPr>
                          <w:spacing w:line="240" w:lineRule="auto"/>
                          <w:ind w:firstLine="0" w:firstLineChars="0"/>
                          <w:jc w:val="left"/>
                          <w:rPr>
                            <w:rFonts w:ascii="宋体" w:hAnsi="宋体"/>
                            <w:color w:val="000000"/>
                            <w:sz w:val="21"/>
                            <w:szCs w:val="21"/>
                          </w:rPr>
                        </w:pPr>
                        <w:r>
                          <w:rPr>
                            <w:rFonts w:hint="eastAsia" w:ascii="宋体" w:hAnsi="宋体"/>
                            <w:color w:val="000000"/>
                            <w:sz w:val="21"/>
                            <w:szCs w:val="21"/>
                          </w:rPr>
                          <w:t>其他与经开区规划主导产业的产业链相配套的项目，如经开区基础设施建设项目及其他规模效益好、能源资源消耗少、排污量小的项目。</w:t>
                        </w:r>
                      </w:p>
                    </w:tc>
                  </w:tr>
                </w:tbl>
                <w:p w14:paraId="0C2B51F0">
                  <w:pPr>
                    <w:widowControl/>
                    <w:spacing w:line="240" w:lineRule="auto"/>
                    <w:ind w:firstLine="0" w:firstLineChars="0"/>
                    <w:jc w:val="center"/>
                    <w:textAlignment w:val="center"/>
                    <w:rPr>
                      <w:rFonts w:cs="宋体"/>
                      <w:color w:val="000000"/>
                      <w:kern w:val="0"/>
                      <w:sz w:val="21"/>
                      <w:szCs w:val="18"/>
                      <w:lang w:bidi="ar"/>
                    </w:rPr>
                  </w:pPr>
                </w:p>
              </w:tc>
            </w:tr>
            <w:tr w14:paraId="0B22C41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3" w:hRule="atLeast"/>
                <w:jc w:val="center"/>
              </w:trPr>
              <w:tc>
                <w:tcPr>
                  <w:tcW w:w="387" w:type="pct"/>
                  <w:vMerge w:val="continue"/>
                  <w:tcBorders>
                    <w:tl2br w:val="nil"/>
                    <w:tr2bl w:val="nil"/>
                  </w:tcBorders>
                  <w:noWrap w:val="0"/>
                  <w:vAlign w:val="center"/>
                </w:tcPr>
                <w:p w14:paraId="04978FCA">
                  <w:pPr>
                    <w:widowControl/>
                    <w:spacing w:line="240" w:lineRule="auto"/>
                    <w:ind w:firstLine="0" w:firstLineChars="0"/>
                    <w:jc w:val="center"/>
                    <w:rPr>
                      <w:rFonts w:cs="宋体"/>
                      <w:color w:val="000000"/>
                      <w:sz w:val="21"/>
                      <w:szCs w:val="18"/>
                    </w:rPr>
                  </w:pPr>
                </w:p>
              </w:tc>
              <w:tc>
                <w:tcPr>
                  <w:tcW w:w="390" w:type="pct"/>
                  <w:vMerge w:val="restart"/>
                  <w:tcBorders>
                    <w:tl2br w:val="nil"/>
                    <w:tr2bl w:val="nil"/>
                  </w:tcBorders>
                  <w:noWrap w:val="0"/>
                  <w:vAlign w:val="center"/>
                </w:tcPr>
                <w:p w14:paraId="4B83EB60">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有条件准入类</w:t>
                  </w:r>
                </w:p>
              </w:tc>
              <w:tc>
                <w:tcPr>
                  <w:tcW w:w="586" w:type="pct"/>
                  <w:gridSpan w:val="2"/>
                  <w:vMerge w:val="restart"/>
                  <w:tcBorders>
                    <w:tl2br w:val="nil"/>
                    <w:tr2bl w:val="nil"/>
                  </w:tcBorders>
                  <w:noWrap w:val="0"/>
                  <w:vAlign w:val="center"/>
                </w:tcPr>
                <w:p w14:paraId="346B6812">
                  <w:pPr>
                    <w:widowControl/>
                    <w:spacing w:line="240" w:lineRule="auto"/>
                    <w:ind w:firstLine="0" w:firstLineChars="0"/>
                    <w:jc w:val="center"/>
                    <w:textAlignment w:val="center"/>
                    <w:rPr>
                      <w:rFonts w:cs="宋体"/>
                      <w:color w:val="000000"/>
                      <w:kern w:val="0"/>
                      <w:sz w:val="21"/>
                      <w:szCs w:val="18"/>
                      <w:lang w:bidi="ar"/>
                    </w:rPr>
                  </w:pPr>
                  <w:r>
                    <w:rPr>
                      <w:rFonts w:hint="eastAsia" w:cs="宋体"/>
                      <w:color w:val="000000"/>
                      <w:kern w:val="0"/>
                      <w:sz w:val="21"/>
                      <w:szCs w:val="18"/>
                      <w:lang w:bidi="ar"/>
                    </w:rPr>
                    <w:t>南区、北区化工片区</w:t>
                  </w:r>
                </w:p>
              </w:tc>
              <w:tc>
                <w:tcPr>
                  <w:tcW w:w="3635" w:type="pct"/>
                  <w:gridSpan w:val="2"/>
                  <w:tcBorders>
                    <w:tl2br w:val="nil"/>
                    <w:tr2bl w:val="nil"/>
                  </w:tcBorders>
                  <w:noWrap w:val="0"/>
                  <w:vAlign w:val="center"/>
                </w:tcPr>
                <w:p w14:paraId="6B20F2E1">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涉及重金属总量指标项目需要落实重金属指标来源，危废处置项目需按照国家及安徽省相关管理要求严格控制引入，并经过环境影响充分论证。</w:t>
                  </w:r>
                </w:p>
              </w:tc>
            </w:tr>
            <w:tr w14:paraId="05B2219D">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3" w:hRule="atLeast"/>
                <w:jc w:val="center"/>
              </w:trPr>
              <w:tc>
                <w:tcPr>
                  <w:tcW w:w="387" w:type="pct"/>
                  <w:vMerge w:val="continue"/>
                  <w:tcBorders>
                    <w:tl2br w:val="nil"/>
                    <w:tr2bl w:val="nil"/>
                  </w:tcBorders>
                  <w:noWrap w:val="0"/>
                  <w:vAlign w:val="center"/>
                </w:tcPr>
                <w:p w14:paraId="46C54B63">
                  <w:pPr>
                    <w:widowControl/>
                    <w:spacing w:line="240" w:lineRule="auto"/>
                    <w:ind w:firstLine="0" w:firstLineChars="0"/>
                    <w:jc w:val="center"/>
                    <w:rPr>
                      <w:rFonts w:cs="宋体"/>
                      <w:color w:val="000000"/>
                      <w:sz w:val="21"/>
                      <w:szCs w:val="18"/>
                    </w:rPr>
                  </w:pPr>
                </w:p>
              </w:tc>
              <w:tc>
                <w:tcPr>
                  <w:tcW w:w="390" w:type="pct"/>
                  <w:vMerge w:val="continue"/>
                  <w:tcBorders>
                    <w:tl2br w:val="nil"/>
                    <w:tr2bl w:val="nil"/>
                  </w:tcBorders>
                  <w:noWrap w:val="0"/>
                  <w:vAlign w:val="center"/>
                </w:tcPr>
                <w:p w14:paraId="5995B37A">
                  <w:pPr>
                    <w:widowControl/>
                    <w:spacing w:line="240" w:lineRule="auto"/>
                    <w:ind w:firstLine="0" w:firstLineChars="0"/>
                    <w:jc w:val="center"/>
                    <w:rPr>
                      <w:rFonts w:cs="宋体"/>
                      <w:color w:val="000000"/>
                      <w:sz w:val="21"/>
                      <w:szCs w:val="18"/>
                    </w:rPr>
                  </w:pPr>
                </w:p>
              </w:tc>
              <w:tc>
                <w:tcPr>
                  <w:tcW w:w="586" w:type="pct"/>
                  <w:gridSpan w:val="2"/>
                  <w:vMerge w:val="continue"/>
                  <w:tcBorders>
                    <w:tl2br w:val="nil"/>
                    <w:tr2bl w:val="nil"/>
                  </w:tcBorders>
                  <w:noWrap w:val="0"/>
                  <w:vAlign w:val="center"/>
                </w:tcPr>
                <w:p w14:paraId="1776ECF9">
                  <w:pPr>
                    <w:widowControl/>
                    <w:spacing w:line="240" w:lineRule="auto"/>
                    <w:ind w:firstLine="0" w:firstLineChars="0"/>
                    <w:jc w:val="center"/>
                    <w:rPr>
                      <w:rFonts w:cs="宋体"/>
                      <w:color w:val="000000"/>
                      <w:sz w:val="21"/>
                      <w:szCs w:val="18"/>
                    </w:rPr>
                  </w:pPr>
                </w:p>
              </w:tc>
              <w:tc>
                <w:tcPr>
                  <w:tcW w:w="3635" w:type="pct"/>
                  <w:gridSpan w:val="2"/>
                  <w:tcBorders>
                    <w:tl2br w:val="nil"/>
                    <w:tr2bl w:val="nil"/>
                  </w:tcBorders>
                  <w:noWrap w:val="0"/>
                  <w:vAlign w:val="center"/>
                </w:tcPr>
                <w:p w14:paraId="357D50B1">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与主导产业相关的“两高”类项目需按照国家及安徽省相关政策要求严格控制引入，并经过环境影响充分论证。</w:t>
                  </w:r>
                </w:p>
              </w:tc>
            </w:tr>
            <w:tr w14:paraId="69573E00">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3" w:hRule="atLeast"/>
                <w:jc w:val="center"/>
              </w:trPr>
              <w:tc>
                <w:tcPr>
                  <w:tcW w:w="387" w:type="pct"/>
                  <w:vMerge w:val="continue"/>
                  <w:tcBorders>
                    <w:tl2br w:val="nil"/>
                    <w:tr2bl w:val="nil"/>
                  </w:tcBorders>
                  <w:noWrap w:val="0"/>
                  <w:vAlign w:val="center"/>
                </w:tcPr>
                <w:p w14:paraId="5CE80F0C">
                  <w:pPr>
                    <w:widowControl/>
                    <w:spacing w:line="240" w:lineRule="auto"/>
                    <w:ind w:firstLine="0" w:firstLineChars="0"/>
                    <w:jc w:val="center"/>
                    <w:rPr>
                      <w:rFonts w:cs="宋体"/>
                      <w:color w:val="000000"/>
                      <w:sz w:val="21"/>
                      <w:szCs w:val="18"/>
                    </w:rPr>
                  </w:pPr>
                </w:p>
              </w:tc>
              <w:tc>
                <w:tcPr>
                  <w:tcW w:w="977" w:type="pct"/>
                  <w:gridSpan w:val="3"/>
                  <w:tcBorders>
                    <w:tl2br w:val="nil"/>
                    <w:tr2bl w:val="nil"/>
                  </w:tcBorders>
                  <w:noWrap w:val="0"/>
                  <w:vAlign w:val="center"/>
                </w:tcPr>
                <w:p w14:paraId="0620F2C6">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限制类</w:t>
                  </w:r>
                </w:p>
              </w:tc>
              <w:tc>
                <w:tcPr>
                  <w:tcW w:w="3635" w:type="pct"/>
                  <w:gridSpan w:val="2"/>
                  <w:tcBorders>
                    <w:tl2br w:val="nil"/>
                    <w:tr2bl w:val="nil"/>
                  </w:tcBorders>
                  <w:noWrap w:val="0"/>
                  <w:vAlign w:val="center"/>
                </w:tcPr>
                <w:p w14:paraId="0341088E">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限制发展能源、资源消耗量或排污量较大但效益相对较好的企业，主要为开发区规划主导产业外、非负面清单中的项目，具体项目引入需经充分环境影响论证。</w:t>
                  </w:r>
                </w:p>
              </w:tc>
            </w:tr>
            <w:tr w14:paraId="368F49FC">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3" w:hRule="atLeast"/>
                <w:jc w:val="center"/>
              </w:trPr>
              <w:tc>
                <w:tcPr>
                  <w:tcW w:w="387" w:type="pct"/>
                  <w:vMerge w:val="continue"/>
                  <w:tcBorders>
                    <w:tl2br w:val="nil"/>
                    <w:tr2bl w:val="nil"/>
                  </w:tcBorders>
                  <w:noWrap w:val="0"/>
                  <w:vAlign w:val="center"/>
                </w:tcPr>
                <w:p w14:paraId="66830266">
                  <w:pPr>
                    <w:widowControl/>
                    <w:spacing w:line="240" w:lineRule="auto"/>
                    <w:ind w:firstLine="0" w:firstLineChars="0"/>
                    <w:jc w:val="center"/>
                    <w:rPr>
                      <w:rFonts w:cs="宋体"/>
                      <w:color w:val="000000"/>
                      <w:sz w:val="21"/>
                      <w:szCs w:val="18"/>
                    </w:rPr>
                  </w:pPr>
                </w:p>
              </w:tc>
              <w:tc>
                <w:tcPr>
                  <w:tcW w:w="977" w:type="pct"/>
                  <w:gridSpan w:val="3"/>
                  <w:vMerge w:val="restart"/>
                  <w:tcBorders>
                    <w:tl2br w:val="nil"/>
                    <w:tr2bl w:val="nil"/>
                  </w:tcBorders>
                  <w:noWrap w:val="0"/>
                  <w:vAlign w:val="center"/>
                </w:tcPr>
                <w:p w14:paraId="7208A00A">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禁止类</w:t>
                  </w:r>
                </w:p>
              </w:tc>
              <w:tc>
                <w:tcPr>
                  <w:tcW w:w="3635" w:type="pct"/>
                  <w:gridSpan w:val="2"/>
                  <w:tcBorders>
                    <w:tl2br w:val="nil"/>
                    <w:tr2bl w:val="nil"/>
                  </w:tcBorders>
                  <w:noWrap w:val="0"/>
                  <w:vAlign w:val="center"/>
                </w:tcPr>
                <w:p w14:paraId="5AF19217">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禁止引入列入《产业结构调整指导目录（</w:t>
                  </w:r>
                  <w:r>
                    <w:rPr>
                      <w:color w:val="000000"/>
                      <w:kern w:val="0"/>
                      <w:sz w:val="21"/>
                      <w:szCs w:val="18"/>
                      <w:lang w:bidi="ar"/>
                    </w:rPr>
                    <w:t>2024</w:t>
                  </w:r>
                  <w:r>
                    <w:rPr>
                      <w:rFonts w:hint="eastAsia" w:cs="宋体"/>
                      <w:color w:val="000000"/>
                      <w:kern w:val="0"/>
                      <w:sz w:val="21"/>
                      <w:szCs w:val="18"/>
                      <w:lang w:bidi="ar"/>
                    </w:rPr>
                    <w:t>年本）》</w:t>
                  </w:r>
                  <w:r>
                    <w:rPr>
                      <w:rFonts w:hint="eastAsia" w:cs="宋体"/>
                      <w:color w:val="000000"/>
                      <w:kern w:val="0"/>
                      <w:sz w:val="21"/>
                      <w:szCs w:val="18"/>
                      <w:lang w:eastAsia="zh-CN" w:bidi="ar"/>
                    </w:rPr>
                    <w:t>《市场准入负面清单（2025年版）》</w:t>
                  </w:r>
                  <w:r>
                    <w:rPr>
                      <w:rFonts w:hint="eastAsia" w:cs="宋体"/>
                      <w:color w:val="000000"/>
                      <w:kern w:val="0"/>
                      <w:sz w:val="21"/>
                      <w:szCs w:val="18"/>
                      <w:lang w:bidi="ar"/>
                    </w:rPr>
                    <w:t>《外商投资准入特别管理措施（负面清单）（</w:t>
                  </w:r>
                  <w:r>
                    <w:rPr>
                      <w:color w:val="000000"/>
                      <w:kern w:val="0"/>
                      <w:sz w:val="21"/>
                      <w:szCs w:val="18"/>
                      <w:lang w:bidi="ar"/>
                    </w:rPr>
                    <w:t>2021</w:t>
                  </w:r>
                  <w:r>
                    <w:rPr>
                      <w:rFonts w:hint="eastAsia" w:cs="宋体"/>
                      <w:color w:val="000000"/>
                      <w:kern w:val="0"/>
                      <w:sz w:val="21"/>
                      <w:szCs w:val="18"/>
                      <w:lang w:bidi="ar"/>
                    </w:rPr>
                    <w:t>年版）》《长江经济带发展</w:t>
                  </w:r>
                  <w:r>
                    <w:rPr>
                      <w:rFonts w:hint="eastAsia" w:cs="宋体"/>
                      <w:color w:val="000000"/>
                      <w:kern w:val="0"/>
                      <w:sz w:val="21"/>
                      <w:szCs w:val="18"/>
                      <w:lang w:eastAsia="zh-CN" w:bidi="ar"/>
                    </w:rPr>
                    <w:t>负面</w:t>
                  </w:r>
                  <w:r>
                    <w:rPr>
                      <w:rFonts w:hint="eastAsia" w:cs="宋体"/>
                      <w:color w:val="000000"/>
                      <w:kern w:val="0"/>
                      <w:sz w:val="21"/>
                      <w:szCs w:val="18"/>
                      <w:lang w:bidi="ar"/>
                    </w:rPr>
                    <w:t>清单指南》（试行，2022 年版）、《中共安徽省委、安徽省人民政府关于全面打造水清岸绿产业优美丽长江（安徽）经济带的实施意见》（升级版）等相关产业政策中禁止或淘汰类项目、产品、工艺和设备。</w:t>
                  </w:r>
                </w:p>
              </w:tc>
            </w:tr>
            <w:tr w14:paraId="7172E8DA">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3" w:hRule="atLeast"/>
                <w:jc w:val="center"/>
              </w:trPr>
              <w:tc>
                <w:tcPr>
                  <w:tcW w:w="387" w:type="pct"/>
                  <w:vMerge w:val="continue"/>
                  <w:tcBorders>
                    <w:tl2br w:val="nil"/>
                    <w:tr2bl w:val="nil"/>
                  </w:tcBorders>
                  <w:noWrap w:val="0"/>
                  <w:vAlign w:val="center"/>
                </w:tcPr>
                <w:p w14:paraId="62854080">
                  <w:pPr>
                    <w:widowControl/>
                    <w:spacing w:line="240" w:lineRule="auto"/>
                    <w:ind w:firstLine="0" w:firstLineChars="0"/>
                    <w:jc w:val="center"/>
                    <w:rPr>
                      <w:rFonts w:cs="宋体"/>
                      <w:color w:val="000000"/>
                      <w:sz w:val="21"/>
                      <w:szCs w:val="18"/>
                    </w:rPr>
                  </w:pPr>
                </w:p>
              </w:tc>
              <w:tc>
                <w:tcPr>
                  <w:tcW w:w="977" w:type="pct"/>
                  <w:gridSpan w:val="3"/>
                  <w:vMerge w:val="continue"/>
                  <w:tcBorders>
                    <w:tl2br w:val="nil"/>
                    <w:tr2bl w:val="nil"/>
                  </w:tcBorders>
                  <w:noWrap w:val="0"/>
                  <w:vAlign w:val="center"/>
                </w:tcPr>
                <w:p w14:paraId="41E2A6CA">
                  <w:pPr>
                    <w:widowControl/>
                    <w:spacing w:line="240" w:lineRule="auto"/>
                    <w:ind w:firstLine="0" w:firstLineChars="0"/>
                    <w:jc w:val="center"/>
                    <w:rPr>
                      <w:rFonts w:cs="宋体"/>
                      <w:color w:val="000000"/>
                      <w:sz w:val="21"/>
                      <w:szCs w:val="18"/>
                    </w:rPr>
                  </w:pPr>
                </w:p>
              </w:tc>
              <w:tc>
                <w:tcPr>
                  <w:tcW w:w="3635" w:type="pct"/>
                  <w:gridSpan w:val="2"/>
                  <w:tcBorders>
                    <w:tl2br w:val="nil"/>
                    <w:tr2bl w:val="nil"/>
                  </w:tcBorders>
                  <w:noWrap w:val="0"/>
                  <w:vAlign w:val="center"/>
                </w:tcPr>
                <w:p w14:paraId="240CBD40">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禁止新建、扩建不符合国家产能置换要求的严重过剩产能行业的项目。</w:t>
                  </w:r>
                </w:p>
              </w:tc>
            </w:tr>
            <w:tr w14:paraId="46371B48">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3" w:hRule="atLeast"/>
                <w:jc w:val="center"/>
              </w:trPr>
              <w:tc>
                <w:tcPr>
                  <w:tcW w:w="387" w:type="pct"/>
                  <w:vMerge w:val="continue"/>
                  <w:tcBorders>
                    <w:tl2br w:val="nil"/>
                    <w:tr2bl w:val="nil"/>
                  </w:tcBorders>
                  <w:noWrap w:val="0"/>
                  <w:vAlign w:val="center"/>
                </w:tcPr>
                <w:p w14:paraId="41370FCB">
                  <w:pPr>
                    <w:widowControl/>
                    <w:spacing w:line="240" w:lineRule="auto"/>
                    <w:ind w:firstLine="0" w:firstLineChars="0"/>
                    <w:jc w:val="center"/>
                    <w:rPr>
                      <w:rFonts w:cs="宋体"/>
                      <w:color w:val="000000"/>
                      <w:sz w:val="21"/>
                      <w:szCs w:val="18"/>
                    </w:rPr>
                  </w:pPr>
                </w:p>
              </w:tc>
              <w:tc>
                <w:tcPr>
                  <w:tcW w:w="977" w:type="pct"/>
                  <w:gridSpan w:val="3"/>
                  <w:vMerge w:val="continue"/>
                  <w:tcBorders>
                    <w:tl2br w:val="nil"/>
                    <w:tr2bl w:val="nil"/>
                  </w:tcBorders>
                  <w:noWrap w:val="0"/>
                  <w:vAlign w:val="center"/>
                </w:tcPr>
                <w:p w14:paraId="1D28F35C">
                  <w:pPr>
                    <w:widowControl/>
                    <w:spacing w:line="240" w:lineRule="auto"/>
                    <w:ind w:firstLine="0" w:firstLineChars="0"/>
                    <w:jc w:val="center"/>
                    <w:rPr>
                      <w:rFonts w:cs="宋体"/>
                      <w:color w:val="000000"/>
                      <w:sz w:val="21"/>
                      <w:szCs w:val="18"/>
                    </w:rPr>
                  </w:pPr>
                </w:p>
              </w:tc>
              <w:tc>
                <w:tcPr>
                  <w:tcW w:w="3635" w:type="pct"/>
                  <w:gridSpan w:val="2"/>
                  <w:tcBorders>
                    <w:tl2br w:val="nil"/>
                    <w:tr2bl w:val="nil"/>
                  </w:tcBorders>
                  <w:noWrap w:val="0"/>
                  <w:vAlign w:val="center"/>
                </w:tcPr>
                <w:p w14:paraId="20D3F771">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禁止引进国家、安徽省明确规定不得审批的建设项目。</w:t>
                  </w:r>
                </w:p>
              </w:tc>
            </w:tr>
            <w:tr w14:paraId="5C24A777">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3" w:hRule="atLeast"/>
                <w:jc w:val="center"/>
              </w:trPr>
              <w:tc>
                <w:tcPr>
                  <w:tcW w:w="387" w:type="pct"/>
                  <w:vMerge w:val="continue"/>
                  <w:tcBorders>
                    <w:tl2br w:val="nil"/>
                    <w:tr2bl w:val="nil"/>
                  </w:tcBorders>
                  <w:noWrap w:val="0"/>
                  <w:vAlign w:val="center"/>
                </w:tcPr>
                <w:p w14:paraId="455E6EE3">
                  <w:pPr>
                    <w:widowControl/>
                    <w:spacing w:line="240" w:lineRule="auto"/>
                    <w:ind w:firstLine="0" w:firstLineChars="0"/>
                    <w:jc w:val="center"/>
                    <w:rPr>
                      <w:rFonts w:cs="宋体"/>
                      <w:color w:val="000000"/>
                      <w:sz w:val="21"/>
                      <w:szCs w:val="18"/>
                    </w:rPr>
                  </w:pPr>
                </w:p>
              </w:tc>
              <w:tc>
                <w:tcPr>
                  <w:tcW w:w="977" w:type="pct"/>
                  <w:gridSpan w:val="3"/>
                  <w:vMerge w:val="continue"/>
                  <w:tcBorders>
                    <w:tl2br w:val="nil"/>
                    <w:tr2bl w:val="nil"/>
                  </w:tcBorders>
                  <w:noWrap w:val="0"/>
                  <w:vAlign w:val="center"/>
                </w:tcPr>
                <w:p w14:paraId="75609EF8">
                  <w:pPr>
                    <w:widowControl/>
                    <w:spacing w:line="240" w:lineRule="auto"/>
                    <w:ind w:firstLine="0" w:firstLineChars="0"/>
                    <w:jc w:val="center"/>
                    <w:rPr>
                      <w:rFonts w:cs="宋体"/>
                      <w:color w:val="000000"/>
                      <w:sz w:val="21"/>
                      <w:szCs w:val="18"/>
                    </w:rPr>
                  </w:pPr>
                </w:p>
              </w:tc>
              <w:tc>
                <w:tcPr>
                  <w:tcW w:w="3635" w:type="pct"/>
                  <w:gridSpan w:val="2"/>
                  <w:tcBorders>
                    <w:tl2br w:val="nil"/>
                    <w:tr2bl w:val="nil"/>
                  </w:tcBorders>
                  <w:noWrap w:val="0"/>
                  <w:vAlign w:val="center"/>
                </w:tcPr>
                <w:p w14:paraId="31DB717F">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禁止生产、使用高VOCs含量涂料、胶黏剂的项目。</w:t>
                  </w:r>
                </w:p>
              </w:tc>
            </w:tr>
            <w:tr w14:paraId="1A8F114C">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3" w:hRule="atLeast"/>
                <w:jc w:val="center"/>
              </w:trPr>
              <w:tc>
                <w:tcPr>
                  <w:tcW w:w="387" w:type="pct"/>
                  <w:vMerge w:val="continue"/>
                  <w:tcBorders>
                    <w:tl2br w:val="nil"/>
                    <w:tr2bl w:val="nil"/>
                  </w:tcBorders>
                  <w:noWrap w:val="0"/>
                  <w:vAlign w:val="center"/>
                </w:tcPr>
                <w:p w14:paraId="02538154">
                  <w:pPr>
                    <w:widowControl/>
                    <w:spacing w:line="240" w:lineRule="auto"/>
                    <w:ind w:firstLine="0" w:firstLineChars="0"/>
                    <w:jc w:val="center"/>
                    <w:rPr>
                      <w:rFonts w:cs="宋体"/>
                      <w:color w:val="000000"/>
                      <w:sz w:val="21"/>
                      <w:szCs w:val="18"/>
                    </w:rPr>
                  </w:pPr>
                </w:p>
              </w:tc>
              <w:tc>
                <w:tcPr>
                  <w:tcW w:w="977" w:type="pct"/>
                  <w:gridSpan w:val="3"/>
                  <w:vMerge w:val="continue"/>
                  <w:tcBorders>
                    <w:tl2br w:val="nil"/>
                    <w:tr2bl w:val="nil"/>
                  </w:tcBorders>
                  <w:noWrap w:val="0"/>
                  <w:vAlign w:val="center"/>
                </w:tcPr>
                <w:p w14:paraId="44A7F890">
                  <w:pPr>
                    <w:widowControl/>
                    <w:spacing w:line="240" w:lineRule="auto"/>
                    <w:ind w:firstLine="0" w:firstLineChars="0"/>
                    <w:jc w:val="center"/>
                    <w:rPr>
                      <w:rFonts w:cs="宋体"/>
                      <w:color w:val="000000"/>
                      <w:sz w:val="21"/>
                      <w:szCs w:val="18"/>
                    </w:rPr>
                  </w:pPr>
                </w:p>
              </w:tc>
              <w:tc>
                <w:tcPr>
                  <w:tcW w:w="3635" w:type="pct"/>
                  <w:gridSpan w:val="2"/>
                  <w:tcBorders>
                    <w:tl2br w:val="nil"/>
                    <w:tr2bl w:val="nil"/>
                  </w:tcBorders>
                  <w:noWrap w:val="0"/>
                  <w:vAlign w:val="center"/>
                </w:tcPr>
                <w:p w14:paraId="362DA67E">
                  <w:pPr>
                    <w:widowControl/>
                    <w:spacing w:line="240" w:lineRule="auto"/>
                    <w:ind w:firstLine="0" w:firstLineChars="0"/>
                    <w:jc w:val="center"/>
                    <w:textAlignment w:val="center"/>
                    <w:rPr>
                      <w:rFonts w:cs="宋体"/>
                      <w:b/>
                      <w:bCs/>
                      <w:color w:val="000000"/>
                      <w:kern w:val="0"/>
                      <w:sz w:val="21"/>
                      <w:szCs w:val="18"/>
                      <w:lang w:bidi="ar"/>
                    </w:rPr>
                  </w:pPr>
                  <w:r>
                    <w:rPr>
                      <w:rFonts w:hint="eastAsia" w:cs="宋体"/>
                      <w:b/>
                      <w:bCs/>
                      <w:color w:val="000000"/>
                      <w:kern w:val="0"/>
                      <w:sz w:val="21"/>
                      <w:szCs w:val="18"/>
                      <w:lang w:bidi="ar"/>
                    </w:rPr>
                    <w:t>南区及北区化工片区：</w:t>
                  </w:r>
                </w:p>
                <w:p w14:paraId="5F9BA369">
                  <w:pPr>
                    <w:widowControl/>
                    <w:spacing w:line="240" w:lineRule="auto"/>
                    <w:ind w:firstLine="0" w:firstLineChars="0"/>
                    <w:jc w:val="center"/>
                    <w:textAlignment w:val="center"/>
                    <w:rPr>
                      <w:rFonts w:cs="宋体"/>
                      <w:color w:val="000000"/>
                      <w:kern w:val="0"/>
                      <w:sz w:val="21"/>
                      <w:szCs w:val="18"/>
                      <w:lang w:bidi="ar"/>
                    </w:rPr>
                  </w:pPr>
                  <w:r>
                    <w:rPr>
                      <w:rFonts w:hint="eastAsia" w:cs="宋体"/>
                      <w:color w:val="000000"/>
                      <w:kern w:val="0"/>
                      <w:sz w:val="21"/>
                      <w:szCs w:val="18"/>
                      <w:lang w:bidi="ar"/>
                    </w:rPr>
                    <w:t>禁止新建化学制浆造纸企业和印染、制革、电镀、酿造等污染严重企业；</w:t>
                  </w:r>
                </w:p>
                <w:p w14:paraId="45630FAC">
                  <w:pPr>
                    <w:widowControl/>
                    <w:spacing w:line="240" w:lineRule="auto"/>
                    <w:ind w:firstLine="0" w:firstLineChars="0"/>
                    <w:jc w:val="center"/>
                    <w:textAlignment w:val="center"/>
                    <w:rPr>
                      <w:rFonts w:cs="宋体"/>
                      <w:b/>
                      <w:bCs/>
                      <w:color w:val="000000"/>
                      <w:kern w:val="0"/>
                      <w:sz w:val="21"/>
                      <w:szCs w:val="18"/>
                      <w:lang w:bidi="ar"/>
                    </w:rPr>
                  </w:pPr>
                  <w:r>
                    <w:rPr>
                      <w:rFonts w:hint="eastAsia" w:cs="宋体"/>
                      <w:color w:val="000000"/>
                      <w:kern w:val="0"/>
                      <w:sz w:val="21"/>
                      <w:szCs w:val="18"/>
                      <w:lang w:bidi="ar"/>
                    </w:rPr>
                    <w:t>禁止引进与主导产业定位不相符的高能耗、高污染项目。</w:t>
                  </w:r>
                </w:p>
              </w:tc>
            </w:tr>
            <w:tr w14:paraId="700E7076">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3" w:hRule="atLeast"/>
                <w:jc w:val="center"/>
              </w:trPr>
              <w:tc>
                <w:tcPr>
                  <w:tcW w:w="387" w:type="pct"/>
                  <w:vMerge w:val="continue"/>
                  <w:tcBorders>
                    <w:tl2br w:val="nil"/>
                    <w:tr2bl w:val="nil"/>
                  </w:tcBorders>
                  <w:noWrap w:val="0"/>
                  <w:vAlign w:val="center"/>
                </w:tcPr>
                <w:p w14:paraId="10EEAB92">
                  <w:pPr>
                    <w:widowControl/>
                    <w:spacing w:line="240" w:lineRule="auto"/>
                    <w:ind w:firstLine="0" w:firstLineChars="0"/>
                    <w:jc w:val="center"/>
                    <w:rPr>
                      <w:rFonts w:cs="宋体"/>
                      <w:color w:val="000000"/>
                      <w:sz w:val="21"/>
                      <w:szCs w:val="18"/>
                    </w:rPr>
                  </w:pPr>
                </w:p>
              </w:tc>
              <w:tc>
                <w:tcPr>
                  <w:tcW w:w="977" w:type="pct"/>
                  <w:gridSpan w:val="3"/>
                  <w:vMerge w:val="continue"/>
                  <w:tcBorders>
                    <w:tl2br w:val="nil"/>
                    <w:tr2bl w:val="nil"/>
                  </w:tcBorders>
                  <w:noWrap w:val="0"/>
                  <w:vAlign w:val="center"/>
                </w:tcPr>
                <w:p w14:paraId="66C1B400">
                  <w:pPr>
                    <w:widowControl/>
                    <w:spacing w:line="240" w:lineRule="auto"/>
                    <w:ind w:firstLine="0" w:firstLineChars="0"/>
                    <w:jc w:val="center"/>
                    <w:rPr>
                      <w:rFonts w:cs="宋体"/>
                      <w:color w:val="000000"/>
                      <w:sz w:val="21"/>
                      <w:szCs w:val="18"/>
                    </w:rPr>
                  </w:pPr>
                </w:p>
              </w:tc>
              <w:tc>
                <w:tcPr>
                  <w:tcW w:w="3635" w:type="pct"/>
                  <w:gridSpan w:val="2"/>
                  <w:tcBorders>
                    <w:tl2br w:val="nil"/>
                    <w:tr2bl w:val="nil"/>
                  </w:tcBorders>
                  <w:noWrap w:val="0"/>
                  <w:vAlign w:val="center"/>
                </w:tcPr>
                <w:p w14:paraId="2DA4AD03">
                  <w:pPr>
                    <w:widowControl/>
                    <w:spacing w:line="240" w:lineRule="auto"/>
                    <w:ind w:firstLine="0" w:firstLineChars="0"/>
                    <w:jc w:val="center"/>
                    <w:textAlignment w:val="center"/>
                    <w:rPr>
                      <w:rFonts w:cs="宋体"/>
                      <w:color w:val="000000"/>
                      <w:kern w:val="0"/>
                      <w:sz w:val="21"/>
                      <w:szCs w:val="18"/>
                      <w:lang w:bidi="ar"/>
                    </w:rPr>
                  </w:pPr>
                  <w:r>
                    <w:rPr>
                      <w:rFonts w:hint="eastAsia" w:cs="宋体"/>
                      <w:b/>
                      <w:bCs/>
                      <w:color w:val="000000"/>
                      <w:kern w:val="0"/>
                      <w:sz w:val="21"/>
                      <w:szCs w:val="18"/>
                      <w:lang w:bidi="ar"/>
                    </w:rPr>
                    <w:t>北区非化工片区</w:t>
                  </w:r>
                  <w:r>
                    <w:rPr>
                      <w:rFonts w:hint="eastAsia" w:cs="宋体"/>
                      <w:color w:val="000000"/>
                      <w:kern w:val="0"/>
                      <w:sz w:val="21"/>
                      <w:szCs w:val="18"/>
                      <w:lang w:bidi="ar"/>
                    </w:rPr>
                    <w:t>：</w:t>
                  </w:r>
                </w:p>
                <w:p w14:paraId="157E9F09">
                  <w:pPr>
                    <w:widowControl/>
                    <w:spacing w:line="240" w:lineRule="auto"/>
                    <w:ind w:firstLine="0" w:firstLineChars="0"/>
                    <w:jc w:val="center"/>
                    <w:textAlignment w:val="center"/>
                    <w:rPr>
                      <w:rFonts w:cs="宋体"/>
                      <w:color w:val="000000"/>
                      <w:kern w:val="0"/>
                      <w:sz w:val="21"/>
                      <w:szCs w:val="18"/>
                      <w:lang w:bidi="ar"/>
                    </w:rPr>
                  </w:pPr>
                  <w:r>
                    <w:rPr>
                      <w:rFonts w:hint="eastAsia" w:cs="宋体"/>
                      <w:color w:val="000000"/>
                      <w:kern w:val="0"/>
                      <w:sz w:val="21"/>
                      <w:szCs w:val="18"/>
                      <w:lang w:bidi="ar"/>
                    </w:rPr>
                    <w:t>禁止新建化学制浆造纸企业和印染、制革、电镀、酿造等污染严重企业。</w:t>
                  </w:r>
                </w:p>
                <w:p w14:paraId="7024D104">
                  <w:pPr>
                    <w:widowControl/>
                    <w:spacing w:line="240" w:lineRule="auto"/>
                    <w:ind w:firstLine="0" w:firstLineChars="0"/>
                    <w:jc w:val="center"/>
                    <w:textAlignment w:val="center"/>
                    <w:rPr>
                      <w:rFonts w:cs="宋体"/>
                      <w:color w:val="000000"/>
                      <w:kern w:val="0"/>
                      <w:sz w:val="21"/>
                      <w:szCs w:val="18"/>
                      <w:lang w:bidi="ar"/>
                    </w:rPr>
                  </w:pPr>
                  <w:r>
                    <w:rPr>
                      <w:rFonts w:hint="eastAsia" w:cs="宋体"/>
                      <w:color w:val="000000"/>
                      <w:kern w:val="0"/>
                      <w:sz w:val="21"/>
                      <w:szCs w:val="18"/>
                      <w:lang w:bidi="ar"/>
                    </w:rPr>
                    <w:t>禁止引进高能耗、高污染项目；</w:t>
                  </w:r>
                </w:p>
                <w:p w14:paraId="5052851E">
                  <w:pPr>
                    <w:widowControl/>
                    <w:spacing w:line="240" w:lineRule="auto"/>
                    <w:ind w:firstLine="0" w:firstLineChars="0"/>
                    <w:jc w:val="center"/>
                    <w:textAlignment w:val="center"/>
                    <w:rPr>
                      <w:rFonts w:cs="宋体"/>
                      <w:color w:val="000000"/>
                      <w:kern w:val="0"/>
                      <w:sz w:val="21"/>
                      <w:szCs w:val="18"/>
                      <w:lang w:bidi="ar"/>
                    </w:rPr>
                  </w:pPr>
                  <w:r>
                    <w:rPr>
                      <w:rFonts w:hint="eastAsia" w:cs="宋体"/>
                      <w:color w:val="000000"/>
                      <w:kern w:val="0"/>
                      <w:sz w:val="21"/>
                      <w:szCs w:val="18"/>
                      <w:lang w:bidi="ar"/>
                    </w:rPr>
                    <w:t>禁止引进排放重金属及有毒有害水污染物的企业。</w:t>
                  </w:r>
                </w:p>
              </w:tc>
            </w:tr>
            <w:tr w14:paraId="247C29D4">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3" w:hRule="atLeast"/>
                <w:jc w:val="center"/>
              </w:trPr>
              <w:tc>
                <w:tcPr>
                  <w:tcW w:w="387" w:type="pct"/>
                  <w:vMerge w:val="restart"/>
                  <w:tcBorders>
                    <w:tl2br w:val="nil"/>
                    <w:tr2bl w:val="nil"/>
                  </w:tcBorders>
                  <w:noWrap w:val="0"/>
                  <w:vAlign w:val="center"/>
                </w:tcPr>
                <w:p w14:paraId="0CE2C6CB">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污染物排放管控</w:t>
                  </w:r>
                </w:p>
              </w:tc>
              <w:tc>
                <w:tcPr>
                  <w:tcW w:w="977" w:type="pct"/>
                  <w:gridSpan w:val="3"/>
                  <w:vMerge w:val="restart"/>
                  <w:tcBorders>
                    <w:tl2br w:val="nil"/>
                    <w:tr2bl w:val="nil"/>
                  </w:tcBorders>
                  <w:noWrap w:val="0"/>
                  <w:vAlign w:val="center"/>
                </w:tcPr>
                <w:p w14:paraId="1F612E83">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规划</w:t>
                  </w:r>
                  <w:r>
                    <w:rPr>
                      <w:rFonts w:hint="eastAsia"/>
                      <w:color w:val="000000"/>
                      <w:sz w:val="21"/>
                      <w:szCs w:val="21"/>
                    </w:rPr>
                    <w:t>远期核算量</w:t>
                  </w:r>
                </w:p>
              </w:tc>
              <w:tc>
                <w:tcPr>
                  <w:tcW w:w="3635" w:type="pct"/>
                  <w:gridSpan w:val="2"/>
                  <w:tcBorders>
                    <w:tl2br w:val="nil"/>
                    <w:tr2bl w:val="nil"/>
                  </w:tcBorders>
                  <w:noWrap w:val="0"/>
                  <w:vAlign w:val="center"/>
                </w:tcPr>
                <w:p w14:paraId="4BE085C9">
                  <w:pPr>
                    <w:widowControl/>
                    <w:spacing w:line="240" w:lineRule="auto"/>
                    <w:ind w:firstLine="0" w:firstLineChars="0"/>
                    <w:jc w:val="center"/>
                    <w:textAlignment w:val="center"/>
                    <w:rPr>
                      <w:rFonts w:cs="宋体"/>
                      <w:color w:val="000000"/>
                      <w:sz w:val="21"/>
                      <w:szCs w:val="18"/>
                    </w:rPr>
                  </w:pPr>
                  <w:r>
                    <w:rPr>
                      <w:bCs/>
                      <w:color w:val="000000"/>
                      <w:sz w:val="21"/>
                      <w:szCs w:val="21"/>
                    </w:rPr>
                    <w:t>水污染物</w:t>
                  </w:r>
                  <w:r>
                    <w:rPr>
                      <w:rFonts w:hint="eastAsia"/>
                      <w:bCs/>
                      <w:color w:val="000000"/>
                      <w:sz w:val="21"/>
                      <w:szCs w:val="21"/>
                    </w:rPr>
                    <w:t>接管量</w:t>
                  </w:r>
                  <w:r>
                    <w:rPr>
                      <w:bCs/>
                      <w:color w:val="000000"/>
                      <w:sz w:val="21"/>
                      <w:szCs w:val="21"/>
                    </w:rPr>
                    <w:t>：COD：</w:t>
                  </w:r>
                  <w:r>
                    <w:rPr>
                      <w:rFonts w:hint="eastAsia"/>
                      <w:color w:val="000000"/>
                      <w:kern w:val="0"/>
                      <w:sz w:val="21"/>
                      <w:szCs w:val="21"/>
                      <w:lang w:bidi="ar"/>
                    </w:rPr>
                    <w:t>2455.879</w:t>
                  </w:r>
                  <w:r>
                    <w:rPr>
                      <w:bCs/>
                      <w:color w:val="000000"/>
                      <w:sz w:val="21"/>
                      <w:szCs w:val="21"/>
                    </w:rPr>
                    <w:t>t/a、NH</w:t>
                  </w:r>
                  <w:r>
                    <w:rPr>
                      <w:bCs/>
                      <w:color w:val="000000"/>
                      <w:sz w:val="21"/>
                      <w:szCs w:val="21"/>
                      <w:vertAlign w:val="subscript"/>
                    </w:rPr>
                    <w:t>3</w:t>
                  </w:r>
                  <w:r>
                    <w:rPr>
                      <w:bCs/>
                      <w:color w:val="000000"/>
                      <w:sz w:val="21"/>
                      <w:szCs w:val="21"/>
                    </w:rPr>
                    <w:t>-N：</w:t>
                  </w:r>
                  <w:r>
                    <w:rPr>
                      <w:rFonts w:hint="eastAsia"/>
                      <w:color w:val="000000"/>
                      <w:kern w:val="0"/>
                      <w:sz w:val="21"/>
                      <w:szCs w:val="21"/>
                      <w:lang w:bidi="ar"/>
                    </w:rPr>
                    <w:t>398.834</w:t>
                  </w:r>
                  <w:r>
                    <w:rPr>
                      <w:bCs/>
                      <w:color w:val="000000"/>
                      <w:sz w:val="21"/>
                      <w:szCs w:val="21"/>
                    </w:rPr>
                    <w:t>t/a；</w:t>
                  </w:r>
                </w:p>
              </w:tc>
            </w:tr>
            <w:tr w14:paraId="197BDFAC">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392" w:hRule="atLeast"/>
                <w:jc w:val="center"/>
              </w:trPr>
              <w:tc>
                <w:tcPr>
                  <w:tcW w:w="387" w:type="pct"/>
                  <w:vMerge w:val="continue"/>
                  <w:tcBorders>
                    <w:tl2br w:val="nil"/>
                    <w:tr2bl w:val="nil"/>
                  </w:tcBorders>
                  <w:noWrap w:val="0"/>
                  <w:vAlign w:val="center"/>
                </w:tcPr>
                <w:p w14:paraId="40F2869E">
                  <w:pPr>
                    <w:widowControl/>
                    <w:spacing w:line="240" w:lineRule="auto"/>
                    <w:ind w:firstLine="0" w:firstLineChars="0"/>
                    <w:jc w:val="center"/>
                    <w:rPr>
                      <w:rFonts w:cs="宋体"/>
                      <w:color w:val="000000"/>
                      <w:sz w:val="21"/>
                      <w:szCs w:val="18"/>
                    </w:rPr>
                  </w:pPr>
                </w:p>
              </w:tc>
              <w:tc>
                <w:tcPr>
                  <w:tcW w:w="977" w:type="pct"/>
                  <w:gridSpan w:val="3"/>
                  <w:vMerge w:val="continue"/>
                  <w:tcBorders>
                    <w:tl2br w:val="nil"/>
                    <w:tr2bl w:val="nil"/>
                  </w:tcBorders>
                  <w:noWrap w:val="0"/>
                  <w:vAlign w:val="center"/>
                </w:tcPr>
                <w:p w14:paraId="711492E5">
                  <w:pPr>
                    <w:widowControl/>
                    <w:spacing w:line="240" w:lineRule="auto"/>
                    <w:ind w:firstLine="0" w:firstLineChars="0"/>
                    <w:jc w:val="center"/>
                    <w:rPr>
                      <w:rFonts w:cs="宋体"/>
                      <w:color w:val="000000"/>
                      <w:sz w:val="21"/>
                      <w:szCs w:val="18"/>
                    </w:rPr>
                  </w:pPr>
                </w:p>
              </w:tc>
              <w:tc>
                <w:tcPr>
                  <w:tcW w:w="3635" w:type="pct"/>
                  <w:gridSpan w:val="2"/>
                  <w:tcBorders>
                    <w:tl2br w:val="nil"/>
                    <w:tr2bl w:val="nil"/>
                  </w:tcBorders>
                  <w:noWrap w:val="0"/>
                  <w:vAlign w:val="center"/>
                </w:tcPr>
                <w:p w14:paraId="3BEA95CA">
                  <w:pPr>
                    <w:widowControl/>
                    <w:spacing w:line="240" w:lineRule="auto"/>
                    <w:ind w:firstLine="0" w:firstLineChars="0"/>
                    <w:jc w:val="center"/>
                    <w:textAlignment w:val="center"/>
                    <w:rPr>
                      <w:bCs/>
                      <w:color w:val="000000"/>
                      <w:sz w:val="21"/>
                      <w:szCs w:val="21"/>
                    </w:rPr>
                  </w:pPr>
                  <w:r>
                    <w:rPr>
                      <w:rFonts w:hint="eastAsia"/>
                      <w:bCs/>
                      <w:color w:val="000000"/>
                      <w:sz w:val="21"/>
                      <w:szCs w:val="21"/>
                    </w:rPr>
                    <w:t>大气污染物核算量</w:t>
                  </w:r>
                  <w:r>
                    <w:rPr>
                      <w:bCs/>
                      <w:color w:val="000000"/>
                      <w:sz w:val="21"/>
                      <w:szCs w:val="21"/>
                    </w:rPr>
                    <w:t>SO</w:t>
                  </w:r>
                  <w:r>
                    <w:rPr>
                      <w:bCs/>
                      <w:color w:val="000000"/>
                      <w:sz w:val="21"/>
                      <w:szCs w:val="21"/>
                      <w:vertAlign w:val="subscript"/>
                    </w:rPr>
                    <w:t>2</w:t>
                  </w:r>
                  <w:r>
                    <w:rPr>
                      <w:rFonts w:hint="eastAsia"/>
                      <w:bCs/>
                      <w:color w:val="000000"/>
                      <w:sz w:val="21"/>
                      <w:szCs w:val="21"/>
                      <w:vertAlign w:val="subscript"/>
                      <w:lang w:eastAsia="zh-CN"/>
                    </w:rPr>
                    <w:t>:</w:t>
                  </w:r>
                  <w:r>
                    <w:rPr>
                      <w:rFonts w:hint="eastAsia"/>
                      <w:color w:val="000000"/>
                      <w:kern w:val="0"/>
                      <w:sz w:val="21"/>
                      <w:szCs w:val="19"/>
                      <w:lang w:bidi="ar"/>
                    </w:rPr>
                    <w:t>434.346</w:t>
                  </w:r>
                  <w:r>
                    <w:rPr>
                      <w:bCs/>
                      <w:color w:val="000000"/>
                      <w:sz w:val="21"/>
                      <w:szCs w:val="21"/>
                    </w:rPr>
                    <w:t>t/a、NOx：</w:t>
                  </w:r>
                  <w:r>
                    <w:rPr>
                      <w:rFonts w:hint="eastAsia"/>
                      <w:color w:val="000000"/>
                      <w:kern w:val="0"/>
                      <w:sz w:val="21"/>
                      <w:szCs w:val="19"/>
                      <w:lang w:bidi="ar"/>
                    </w:rPr>
                    <w:t>1394.378</w:t>
                  </w:r>
                  <w:r>
                    <w:rPr>
                      <w:bCs/>
                      <w:color w:val="000000"/>
                      <w:sz w:val="21"/>
                      <w:szCs w:val="21"/>
                    </w:rPr>
                    <w:t>t/a、烟粉尘：</w:t>
                  </w:r>
                  <w:r>
                    <w:rPr>
                      <w:rFonts w:hint="eastAsia"/>
                      <w:color w:val="000000"/>
                      <w:kern w:val="0"/>
                      <w:sz w:val="21"/>
                      <w:szCs w:val="19"/>
                      <w:lang w:bidi="ar"/>
                    </w:rPr>
                    <w:t>608.592</w:t>
                  </w:r>
                  <w:r>
                    <w:rPr>
                      <w:bCs/>
                      <w:color w:val="000000"/>
                      <w:sz w:val="21"/>
                      <w:szCs w:val="21"/>
                    </w:rPr>
                    <w:t>t/a、VOCs：</w:t>
                  </w:r>
                  <w:r>
                    <w:rPr>
                      <w:rFonts w:hint="eastAsia"/>
                      <w:color w:val="000000"/>
                      <w:kern w:val="0"/>
                      <w:sz w:val="21"/>
                      <w:szCs w:val="19"/>
                      <w:lang w:bidi="ar"/>
                    </w:rPr>
                    <w:t>439.051</w:t>
                  </w:r>
                  <w:r>
                    <w:rPr>
                      <w:bCs/>
                      <w:color w:val="000000"/>
                      <w:sz w:val="21"/>
                      <w:szCs w:val="21"/>
                    </w:rPr>
                    <w:t>t/a；</w:t>
                  </w:r>
                </w:p>
              </w:tc>
            </w:tr>
            <w:tr w14:paraId="6394FE6B">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96" w:hRule="atLeast"/>
                <w:jc w:val="center"/>
              </w:trPr>
              <w:tc>
                <w:tcPr>
                  <w:tcW w:w="387" w:type="pct"/>
                  <w:vMerge w:val="continue"/>
                  <w:tcBorders>
                    <w:tl2br w:val="nil"/>
                    <w:tr2bl w:val="nil"/>
                  </w:tcBorders>
                  <w:noWrap w:val="0"/>
                  <w:vAlign w:val="center"/>
                </w:tcPr>
                <w:p w14:paraId="32503628">
                  <w:pPr>
                    <w:widowControl/>
                    <w:spacing w:line="240" w:lineRule="auto"/>
                    <w:ind w:firstLine="0" w:firstLineChars="0"/>
                    <w:jc w:val="center"/>
                    <w:rPr>
                      <w:rFonts w:cs="宋体"/>
                      <w:color w:val="000000"/>
                      <w:sz w:val="21"/>
                      <w:szCs w:val="18"/>
                    </w:rPr>
                  </w:pPr>
                </w:p>
              </w:tc>
              <w:tc>
                <w:tcPr>
                  <w:tcW w:w="977" w:type="pct"/>
                  <w:gridSpan w:val="3"/>
                  <w:vMerge w:val="continue"/>
                  <w:tcBorders>
                    <w:tl2br w:val="nil"/>
                    <w:tr2bl w:val="nil"/>
                  </w:tcBorders>
                  <w:noWrap w:val="0"/>
                  <w:vAlign w:val="center"/>
                </w:tcPr>
                <w:p w14:paraId="334877B6">
                  <w:pPr>
                    <w:widowControl/>
                    <w:spacing w:line="240" w:lineRule="auto"/>
                    <w:ind w:firstLine="0" w:firstLineChars="0"/>
                    <w:jc w:val="center"/>
                    <w:rPr>
                      <w:rFonts w:cs="宋体"/>
                      <w:color w:val="000000"/>
                      <w:sz w:val="21"/>
                      <w:szCs w:val="18"/>
                    </w:rPr>
                  </w:pPr>
                </w:p>
              </w:tc>
              <w:tc>
                <w:tcPr>
                  <w:tcW w:w="3635" w:type="pct"/>
                  <w:gridSpan w:val="2"/>
                  <w:tcBorders>
                    <w:tl2br w:val="nil"/>
                    <w:tr2bl w:val="nil"/>
                  </w:tcBorders>
                  <w:noWrap w:val="0"/>
                  <w:vAlign w:val="center"/>
                </w:tcPr>
                <w:p w14:paraId="5DACF481">
                  <w:pPr>
                    <w:widowControl/>
                    <w:spacing w:line="240" w:lineRule="auto"/>
                    <w:ind w:firstLine="0" w:firstLineChars="0"/>
                    <w:jc w:val="center"/>
                    <w:textAlignment w:val="center"/>
                    <w:rPr>
                      <w:bCs/>
                      <w:color w:val="000000"/>
                      <w:sz w:val="21"/>
                      <w:szCs w:val="21"/>
                    </w:rPr>
                  </w:pPr>
                  <w:r>
                    <w:rPr>
                      <w:bCs/>
                      <w:color w:val="000000"/>
                      <w:sz w:val="21"/>
                      <w:szCs w:val="21"/>
                    </w:rPr>
                    <w:t>固体废物</w:t>
                  </w:r>
                  <w:r>
                    <w:rPr>
                      <w:rFonts w:hint="eastAsia"/>
                      <w:bCs/>
                      <w:color w:val="000000"/>
                      <w:sz w:val="21"/>
                      <w:szCs w:val="21"/>
                    </w:rPr>
                    <w:t>产生量</w:t>
                  </w:r>
                  <w:r>
                    <w:rPr>
                      <w:bCs/>
                      <w:color w:val="000000"/>
                      <w:sz w:val="21"/>
                      <w:szCs w:val="21"/>
                    </w:rPr>
                    <w:t>：一般工业固废</w:t>
                  </w:r>
                  <w:r>
                    <w:rPr>
                      <w:rFonts w:hint="eastAsia"/>
                      <w:bCs/>
                      <w:color w:val="000000"/>
                      <w:sz w:val="21"/>
                      <w:szCs w:val="21"/>
                    </w:rPr>
                    <w:t>量</w:t>
                  </w:r>
                  <w:r>
                    <w:rPr>
                      <w:rFonts w:hint="eastAsia"/>
                      <w:color w:val="000000"/>
                      <w:sz w:val="21"/>
                      <w:szCs w:val="21"/>
                    </w:rPr>
                    <w:t>1816022.385</w:t>
                  </w:r>
                  <w:r>
                    <w:rPr>
                      <w:bCs/>
                      <w:color w:val="000000"/>
                      <w:sz w:val="21"/>
                      <w:szCs w:val="21"/>
                    </w:rPr>
                    <w:t>t/a、</w:t>
                  </w:r>
                  <w:r>
                    <w:rPr>
                      <w:rFonts w:hint="eastAsia"/>
                      <w:bCs/>
                      <w:color w:val="000000"/>
                      <w:sz w:val="21"/>
                      <w:szCs w:val="21"/>
                    </w:rPr>
                    <w:t>危险固废</w:t>
                  </w:r>
                  <w:r>
                    <w:rPr>
                      <w:bCs/>
                      <w:color w:val="000000"/>
                      <w:sz w:val="21"/>
                      <w:szCs w:val="21"/>
                    </w:rPr>
                    <w:t>量</w:t>
                  </w:r>
                  <w:r>
                    <w:rPr>
                      <w:rFonts w:hint="eastAsia"/>
                      <w:bCs/>
                      <w:color w:val="000000"/>
                      <w:sz w:val="21"/>
                      <w:szCs w:val="21"/>
                    </w:rPr>
                    <w:t>86331.236</w:t>
                  </w:r>
                  <w:r>
                    <w:rPr>
                      <w:bCs/>
                      <w:color w:val="000000"/>
                      <w:sz w:val="21"/>
                      <w:szCs w:val="21"/>
                    </w:rPr>
                    <w:t>t/a。</w:t>
                  </w:r>
                </w:p>
              </w:tc>
            </w:tr>
            <w:tr w14:paraId="7939D977">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3" w:hRule="atLeast"/>
                <w:jc w:val="center"/>
              </w:trPr>
              <w:tc>
                <w:tcPr>
                  <w:tcW w:w="387" w:type="pct"/>
                  <w:vMerge w:val="continue"/>
                  <w:tcBorders>
                    <w:tl2br w:val="nil"/>
                    <w:tr2bl w:val="nil"/>
                  </w:tcBorders>
                  <w:noWrap w:val="0"/>
                  <w:vAlign w:val="center"/>
                </w:tcPr>
                <w:p w14:paraId="4484C112">
                  <w:pPr>
                    <w:widowControl/>
                    <w:spacing w:line="240" w:lineRule="auto"/>
                    <w:ind w:firstLine="0" w:firstLineChars="0"/>
                    <w:jc w:val="center"/>
                    <w:rPr>
                      <w:rFonts w:cs="宋体"/>
                      <w:color w:val="000000"/>
                      <w:sz w:val="21"/>
                      <w:szCs w:val="18"/>
                    </w:rPr>
                  </w:pPr>
                </w:p>
              </w:tc>
              <w:tc>
                <w:tcPr>
                  <w:tcW w:w="977" w:type="pct"/>
                  <w:gridSpan w:val="3"/>
                  <w:tcBorders>
                    <w:tl2br w:val="nil"/>
                    <w:tr2bl w:val="nil"/>
                  </w:tcBorders>
                  <w:noWrap w:val="0"/>
                  <w:vAlign w:val="center"/>
                </w:tcPr>
                <w:p w14:paraId="7F96E8D2">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现有源提标升级改造</w:t>
                  </w:r>
                </w:p>
              </w:tc>
              <w:tc>
                <w:tcPr>
                  <w:tcW w:w="3635" w:type="pct"/>
                  <w:gridSpan w:val="2"/>
                  <w:tcBorders>
                    <w:tl2br w:val="nil"/>
                    <w:tr2bl w:val="nil"/>
                  </w:tcBorders>
                  <w:noWrap w:val="0"/>
                  <w:vAlign w:val="center"/>
                </w:tcPr>
                <w:p w14:paraId="069B7D1F">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燃气锅炉需完成低氮燃烧改造工作，原则上改造后氮氧化物排放浓度不高于50毫克/立方米。</w:t>
                  </w:r>
                </w:p>
              </w:tc>
            </w:tr>
            <w:tr w14:paraId="3548F14B">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3" w:hRule="atLeast"/>
                <w:jc w:val="center"/>
              </w:trPr>
              <w:tc>
                <w:tcPr>
                  <w:tcW w:w="387" w:type="pct"/>
                  <w:vMerge w:val="continue"/>
                  <w:tcBorders>
                    <w:tl2br w:val="nil"/>
                    <w:tr2bl w:val="nil"/>
                  </w:tcBorders>
                  <w:noWrap w:val="0"/>
                  <w:vAlign w:val="center"/>
                </w:tcPr>
                <w:p w14:paraId="2EC9EDB2">
                  <w:pPr>
                    <w:widowControl/>
                    <w:spacing w:line="240" w:lineRule="auto"/>
                    <w:ind w:firstLine="0" w:firstLineChars="0"/>
                    <w:jc w:val="center"/>
                    <w:rPr>
                      <w:rFonts w:cs="宋体"/>
                      <w:color w:val="000000"/>
                      <w:sz w:val="21"/>
                      <w:szCs w:val="18"/>
                    </w:rPr>
                  </w:pPr>
                </w:p>
              </w:tc>
              <w:tc>
                <w:tcPr>
                  <w:tcW w:w="977" w:type="pct"/>
                  <w:gridSpan w:val="3"/>
                  <w:vMerge w:val="restart"/>
                  <w:tcBorders>
                    <w:tl2br w:val="nil"/>
                    <w:tr2bl w:val="nil"/>
                  </w:tcBorders>
                  <w:noWrap w:val="0"/>
                  <w:vAlign w:val="center"/>
                </w:tcPr>
                <w:p w14:paraId="6EC50760">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其他污染物排放管控要求</w:t>
                  </w:r>
                </w:p>
              </w:tc>
              <w:tc>
                <w:tcPr>
                  <w:tcW w:w="3635" w:type="pct"/>
                  <w:gridSpan w:val="2"/>
                  <w:tcBorders>
                    <w:tl2br w:val="nil"/>
                    <w:tr2bl w:val="nil"/>
                  </w:tcBorders>
                  <w:noWrap w:val="0"/>
                  <w:vAlign w:val="center"/>
                </w:tcPr>
                <w:p w14:paraId="6721BD71">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按照《安徽省环保厅关于进一步加强建设项目新增大气主要污染物总量指标管理工作的通知》（皖环发〔</w:t>
                  </w:r>
                  <w:r>
                    <w:rPr>
                      <w:color w:val="000000"/>
                      <w:kern w:val="0"/>
                      <w:sz w:val="21"/>
                      <w:szCs w:val="18"/>
                      <w:lang w:bidi="ar"/>
                    </w:rPr>
                    <w:t>2017</w:t>
                  </w:r>
                  <w:r>
                    <w:rPr>
                      <w:rFonts w:hint="eastAsia" w:cs="宋体"/>
                      <w:color w:val="000000"/>
                      <w:kern w:val="0"/>
                      <w:sz w:val="21"/>
                      <w:szCs w:val="18"/>
                      <w:lang w:bidi="ar"/>
                    </w:rPr>
                    <w:t>〕</w:t>
                  </w:r>
                  <w:r>
                    <w:rPr>
                      <w:color w:val="000000"/>
                      <w:kern w:val="0"/>
                      <w:sz w:val="21"/>
                      <w:szCs w:val="18"/>
                      <w:lang w:bidi="ar"/>
                    </w:rPr>
                    <w:t>19</w:t>
                  </w:r>
                  <w:r>
                    <w:rPr>
                      <w:rFonts w:hint="eastAsia" w:cs="宋体"/>
                      <w:color w:val="000000"/>
                      <w:kern w:val="0"/>
                      <w:sz w:val="21"/>
                      <w:szCs w:val="18"/>
                      <w:lang w:bidi="ar"/>
                    </w:rPr>
                    <w:t>号）中相关要求，区内新增大气污染物排放执行相应替代要求。</w:t>
                  </w:r>
                </w:p>
              </w:tc>
            </w:tr>
            <w:tr w14:paraId="28569CE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3" w:hRule="atLeast"/>
                <w:jc w:val="center"/>
              </w:trPr>
              <w:tc>
                <w:tcPr>
                  <w:tcW w:w="387" w:type="pct"/>
                  <w:vMerge w:val="continue"/>
                  <w:tcBorders>
                    <w:tl2br w:val="nil"/>
                    <w:tr2bl w:val="nil"/>
                  </w:tcBorders>
                  <w:noWrap w:val="0"/>
                  <w:vAlign w:val="center"/>
                </w:tcPr>
                <w:p w14:paraId="3F392512">
                  <w:pPr>
                    <w:widowControl/>
                    <w:spacing w:line="240" w:lineRule="auto"/>
                    <w:ind w:firstLine="0" w:firstLineChars="0"/>
                    <w:jc w:val="center"/>
                    <w:rPr>
                      <w:rFonts w:cs="宋体"/>
                      <w:color w:val="000000"/>
                      <w:sz w:val="21"/>
                      <w:szCs w:val="18"/>
                    </w:rPr>
                  </w:pPr>
                </w:p>
              </w:tc>
              <w:tc>
                <w:tcPr>
                  <w:tcW w:w="977" w:type="pct"/>
                  <w:gridSpan w:val="3"/>
                  <w:vMerge w:val="continue"/>
                  <w:tcBorders>
                    <w:tl2br w:val="nil"/>
                    <w:tr2bl w:val="nil"/>
                  </w:tcBorders>
                  <w:noWrap w:val="0"/>
                  <w:vAlign w:val="center"/>
                </w:tcPr>
                <w:p w14:paraId="3E8F48BE">
                  <w:pPr>
                    <w:widowControl/>
                    <w:spacing w:line="240" w:lineRule="auto"/>
                    <w:ind w:firstLine="0" w:firstLineChars="0"/>
                    <w:jc w:val="center"/>
                    <w:rPr>
                      <w:rFonts w:cs="宋体"/>
                      <w:color w:val="000000"/>
                      <w:sz w:val="21"/>
                      <w:szCs w:val="18"/>
                    </w:rPr>
                  </w:pPr>
                </w:p>
              </w:tc>
              <w:tc>
                <w:tcPr>
                  <w:tcW w:w="3635" w:type="pct"/>
                  <w:gridSpan w:val="2"/>
                  <w:tcBorders>
                    <w:tl2br w:val="nil"/>
                    <w:tr2bl w:val="nil"/>
                  </w:tcBorders>
                  <w:noWrap w:val="0"/>
                  <w:vAlign w:val="center"/>
                </w:tcPr>
                <w:p w14:paraId="3AB71D10">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建成区污水集中收集、处理率达到</w:t>
                  </w:r>
                  <w:r>
                    <w:rPr>
                      <w:color w:val="000000"/>
                      <w:kern w:val="0"/>
                      <w:sz w:val="21"/>
                      <w:szCs w:val="18"/>
                      <w:lang w:bidi="ar"/>
                    </w:rPr>
                    <w:t>100%</w:t>
                  </w:r>
                  <w:r>
                    <w:rPr>
                      <w:rFonts w:hint="eastAsia" w:cs="宋体"/>
                      <w:color w:val="000000"/>
                      <w:kern w:val="0"/>
                      <w:sz w:val="21"/>
                      <w:szCs w:val="18"/>
                      <w:lang w:bidi="ar"/>
                    </w:rPr>
                    <w:t>。</w:t>
                  </w:r>
                </w:p>
              </w:tc>
            </w:tr>
            <w:tr w14:paraId="426D2B6A">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3" w:hRule="atLeast"/>
                <w:jc w:val="center"/>
              </w:trPr>
              <w:tc>
                <w:tcPr>
                  <w:tcW w:w="387" w:type="pct"/>
                  <w:vMerge w:val="restart"/>
                  <w:tcBorders>
                    <w:tl2br w:val="nil"/>
                    <w:tr2bl w:val="nil"/>
                  </w:tcBorders>
                  <w:noWrap w:val="0"/>
                  <w:vAlign w:val="center"/>
                </w:tcPr>
                <w:p w14:paraId="3449B336">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环境风险防控</w:t>
                  </w:r>
                </w:p>
              </w:tc>
              <w:tc>
                <w:tcPr>
                  <w:tcW w:w="977" w:type="pct"/>
                  <w:gridSpan w:val="3"/>
                  <w:vMerge w:val="restart"/>
                  <w:tcBorders>
                    <w:tl2br w:val="nil"/>
                    <w:tr2bl w:val="nil"/>
                  </w:tcBorders>
                  <w:noWrap w:val="0"/>
                  <w:vAlign w:val="center"/>
                </w:tcPr>
                <w:p w14:paraId="441457C4">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环境风险防控要求</w:t>
                  </w:r>
                </w:p>
              </w:tc>
              <w:tc>
                <w:tcPr>
                  <w:tcW w:w="3635" w:type="pct"/>
                  <w:gridSpan w:val="2"/>
                  <w:tcBorders>
                    <w:tl2br w:val="nil"/>
                    <w:tr2bl w:val="nil"/>
                  </w:tcBorders>
                  <w:noWrap w:val="0"/>
                  <w:vAlign w:val="center"/>
                </w:tcPr>
                <w:p w14:paraId="04CD1C8F">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加强环境应急预案编制与备案管理，推进跨部门、跨区域、跨流域监管与应急协调联动机制建设，建立流域突发环境事件监控预警与应急平台，强化环境应急队伍建设和物资储备，提升环境应急协调联动能力，加强危化品道路运输风险管控及运输过程安全监管，严防交通运输次生突发环境事件风险。</w:t>
                  </w:r>
                </w:p>
              </w:tc>
            </w:tr>
            <w:tr w14:paraId="5B6B7B0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3" w:hRule="atLeast"/>
                <w:jc w:val="center"/>
              </w:trPr>
              <w:tc>
                <w:tcPr>
                  <w:tcW w:w="387" w:type="pct"/>
                  <w:vMerge w:val="continue"/>
                  <w:tcBorders>
                    <w:tl2br w:val="nil"/>
                    <w:tr2bl w:val="nil"/>
                  </w:tcBorders>
                  <w:noWrap w:val="0"/>
                  <w:vAlign w:val="center"/>
                </w:tcPr>
                <w:p w14:paraId="1D83ADD9">
                  <w:pPr>
                    <w:widowControl/>
                    <w:spacing w:line="240" w:lineRule="auto"/>
                    <w:ind w:firstLine="0" w:firstLineChars="0"/>
                    <w:jc w:val="center"/>
                    <w:rPr>
                      <w:rFonts w:cs="宋体"/>
                      <w:color w:val="000000"/>
                      <w:sz w:val="21"/>
                      <w:szCs w:val="18"/>
                    </w:rPr>
                  </w:pPr>
                </w:p>
              </w:tc>
              <w:tc>
                <w:tcPr>
                  <w:tcW w:w="977" w:type="pct"/>
                  <w:gridSpan w:val="3"/>
                  <w:vMerge w:val="continue"/>
                  <w:tcBorders>
                    <w:tl2br w:val="nil"/>
                    <w:tr2bl w:val="nil"/>
                  </w:tcBorders>
                  <w:noWrap w:val="0"/>
                  <w:vAlign w:val="center"/>
                </w:tcPr>
                <w:p w14:paraId="7C0F7154">
                  <w:pPr>
                    <w:widowControl/>
                    <w:spacing w:line="240" w:lineRule="auto"/>
                    <w:ind w:firstLine="0" w:firstLineChars="0"/>
                    <w:jc w:val="center"/>
                    <w:rPr>
                      <w:rFonts w:cs="宋体"/>
                      <w:color w:val="000000"/>
                      <w:sz w:val="21"/>
                      <w:szCs w:val="18"/>
                    </w:rPr>
                  </w:pPr>
                </w:p>
              </w:tc>
              <w:tc>
                <w:tcPr>
                  <w:tcW w:w="3635" w:type="pct"/>
                  <w:gridSpan w:val="2"/>
                  <w:tcBorders>
                    <w:tl2br w:val="nil"/>
                    <w:tr2bl w:val="nil"/>
                  </w:tcBorders>
                  <w:noWrap w:val="0"/>
                  <w:vAlign w:val="center"/>
                </w:tcPr>
                <w:p w14:paraId="01052477">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区内部分紧邻规划居住用地等环境敏感目标的工业用地，严格限制涉及使用剧毒化学品的企业进入。</w:t>
                  </w:r>
                </w:p>
              </w:tc>
            </w:tr>
            <w:tr w14:paraId="0F78742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3" w:hRule="atLeast"/>
                <w:jc w:val="center"/>
              </w:trPr>
              <w:tc>
                <w:tcPr>
                  <w:tcW w:w="387" w:type="pct"/>
                  <w:vMerge w:val="continue"/>
                  <w:tcBorders>
                    <w:tl2br w:val="nil"/>
                    <w:tr2bl w:val="nil"/>
                  </w:tcBorders>
                  <w:noWrap w:val="0"/>
                  <w:vAlign w:val="center"/>
                </w:tcPr>
                <w:p w14:paraId="4D02EA32">
                  <w:pPr>
                    <w:widowControl/>
                    <w:spacing w:line="240" w:lineRule="auto"/>
                    <w:ind w:firstLine="0" w:firstLineChars="0"/>
                    <w:jc w:val="center"/>
                    <w:rPr>
                      <w:rFonts w:cs="宋体"/>
                      <w:color w:val="000000"/>
                      <w:sz w:val="21"/>
                      <w:szCs w:val="18"/>
                    </w:rPr>
                  </w:pPr>
                </w:p>
              </w:tc>
              <w:tc>
                <w:tcPr>
                  <w:tcW w:w="977" w:type="pct"/>
                  <w:gridSpan w:val="3"/>
                  <w:vMerge w:val="continue"/>
                  <w:tcBorders>
                    <w:tl2br w:val="nil"/>
                    <w:tr2bl w:val="nil"/>
                  </w:tcBorders>
                  <w:noWrap w:val="0"/>
                  <w:vAlign w:val="center"/>
                </w:tcPr>
                <w:p w14:paraId="204B8E00">
                  <w:pPr>
                    <w:widowControl/>
                    <w:spacing w:line="240" w:lineRule="auto"/>
                    <w:ind w:firstLine="0" w:firstLineChars="0"/>
                    <w:jc w:val="center"/>
                    <w:rPr>
                      <w:rFonts w:cs="宋体"/>
                      <w:color w:val="000000"/>
                      <w:sz w:val="21"/>
                      <w:szCs w:val="18"/>
                    </w:rPr>
                  </w:pPr>
                </w:p>
              </w:tc>
              <w:tc>
                <w:tcPr>
                  <w:tcW w:w="3635" w:type="pct"/>
                  <w:gridSpan w:val="2"/>
                  <w:tcBorders>
                    <w:tl2br w:val="nil"/>
                    <w:tr2bl w:val="nil"/>
                  </w:tcBorders>
                  <w:noWrap w:val="0"/>
                  <w:vAlign w:val="center"/>
                </w:tcPr>
                <w:p w14:paraId="303AEE20">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区内新增或改扩建存</w:t>
                  </w:r>
                  <w:bookmarkStart w:id="3" w:name="_GoBack"/>
                  <w:r>
                    <w:rPr>
                      <w:rFonts w:hint="eastAsia" w:cs="宋体"/>
                      <w:color w:val="000000"/>
                      <w:kern w:val="0"/>
                      <w:sz w:val="21"/>
                      <w:szCs w:val="18"/>
                      <w:lang w:bidi="ar"/>
                    </w:rPr>
                    <w:t>在</w:t>
                  </w:r>
                  <w:bookmarkEnd w:id="3"/>
                  <w:r>
                    <w:rPr>
                      <w:rFonts w:hint="eastAsia" w:cs="宋体"/>
                      <w:color w:val="000000"/>
                      <w:kern w:val="0"/>
                      <w:sz w:val="21"/>
                      <w:szCs w:val="18"/>
                      <w:lang w:bidi="ar"/>
                    </w:rPr>
                    <w:t>环境风险的项目，在建设项目环评阶段须重点开展环境风险评价，与项目周边环境敏感目标之前控制合理的风险控制距离，提出并落实风险防范措施及应急联动要求，编制应急预案，并与开发区应急预案联动，在开发区进行环境风险源、应急设备、物资等的备案。</w:t>
                  </w:r>
                </w:p>
              </w:tc>
            </w:tr>
            <w:tr w14:paraId="0DE84901">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3" w:hRule="atLeast"/>
                <w:jc w:val="center"/>
              </w:trPr>
              <w:tc>
                <w:tcPr>
                  <w:tcW w:w="387" w:type="pct"/>
                  <w:vMerge w:val="restart"/>
                  <w:tcBorders>
                    <w:tl2br w:val="nil"/>
                    <w:tr2bl w:val="nil"/>
                  </w:tcBorders>
                  <w:noWrap w:val="0"/>
                  <w:vAlign w:val="center"/>
                </w:tcPr>
                <w:p w14:paraId="2F41CF37">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资源开发利用效率要求</w:t>
                  </w:r>
                </w:p>
              </w:tc>
              <w:tc>
                <w:tcPr>
                  <w:tcW w:w="977" w:type="pct"/>
                  <w:gridSpan w:val="3"/>
                  <w:tcBorders>
                    <w:tl2br w:val="nil"/>
                    <w:tr2bl w:val="nil"/>
                  </w:tcBorders>
                  <w:noWrap w:val="0"/>
                  <w:vAlign w:val="center"/>
                </w:tcPr>
                <w:p w14:paraId="3C6FA02F">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能源利用总量及效率要求</w:t>
                  </w:r>
                </w:p>
              </w:tc>
              <w:tc>
                <w:tcPr>
                  <w:tcW w:w="3635" w:type="pct"/>
                  <w:gridSpan w:val="2"/>
                  <w:tcBorders>
                    <w:tl2br w:val="nil"/>
                    <w:tr2bl w:val="nil"/>
                  </w:tcBorders>
                  <w:noWrap w:val="0"/>
                  <w:vAlign w:val="center"/>
                </w:tcPr>
                <w:p w14:paraId="0BD27181">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新建高耗能项目单位产品（产值）能耗要达到国内先进水平。高污染燃料禁燃区不得新建、改建、扩建燃用高污染燃料的锅炉、炉窑、炉灶、沥青机组等设施。</w:t>
                  </w:r>
                </w:p>
              </w:tc>
            </w:tr>
            <w:tr w14:paraId="60F34265">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3" w:hRule="atLeast"/>
                <w:jc w:val="center"/>
              </w:trPr>
              <w:tc>
                <w:tcPr>
                  <w:tcW w:w="387" w:type="pct"/>
                  <w:vMerge w:val="continue"/>
                  <w:tcBorders>
                    <w:tl2br w:val="nil"/>
                    <w:tr2bl w:val="nil"/>
                  </w:tcBorders>
                  <w:noWrap w:val="0"/>
                  <w:vAlign w:val="center"/>
                </w:tcPr>
                <w:p w14:paraId="0202B2B6">
                  <w:pPr>
                    <w:widowControl/>
                    <w:spacing w:line="240" w:lineRule="auto"/>
                    <w:ind w:firstLine="0" w:firstLineChars="0"/>
                    <w:jc w:val="center"/>
                    <w:rPr>
                      <w:rFonts w:cs="宋体"/>
                      <w:color w:val="000000"/>
                      <w:sz w:val="21"/>
                      <w:szCs w:val="18"/>
                    </w:rPr>
                  </w:pPr>
                </w:p>
              </w:tc>
              <w:tc>
                <w:tcPr>
                  <w:tcW w:w="977" w:type="pct"/>
                  <w:gridSpan w:val="3"/>
                  <w:tcBorders>
                    <w:tl2br w:val="nil"/>
                    <w:tr2bl w:val="nil"/>
                  </w:tcBorders>
                  <w:noWrap w:val="0"/>
                  <w:vAlign w:val="center"/>
                </w:tcPr>
                <w:p w14:paraId="3CBAF6CD">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eastAsia="zh-CN" w:bidi="ar"/>
                    </w:rPr>
                    <w:t>土地</w:t>
                  </w:r>
                  <w:r>
                    <w:rPr>
                      <w:rFonts w:hint="eastAsia" w:cs="宋体"/>
                      <w:color w:val="000000"/>
                      <w:kern w:val="0"/>
                      <w:sz w:val="21"/>
                      <w:szCs w:val="18"/>
                      <w:lang w:bidi="ar"/>
                    </w:rPr>
                    <w:t>资源利用总量要求</w:t>
                  </w:r>
                </w:p>
              </w:tc>
              <w:tc>
                <w:tcPr>
                  <w:tcW w:w="3635" w:type="pct"/>
                  <w:gridSpan w:val="2"/>
                  <w:tcBorders>
                    <w:tl2br w:val="nil"/>
                    <w:tr2bl w:val="nil"/>
                  </w:tcBorders>
                  <w:noWrap w:val="0"/>
                  <w:vAlign w:val="center"/>
                </w:tcPr>
                <w:p w14:paraId="37F92AB0">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建设用地总量上限1259.34hm</w:t>
                  </w:r>
                  <w:r>
                    <w:rPr>
                      <w:rFonts w:hint="eastAsia" w:cs="宋体"/>
                      <w:color w:val="000000"/>
                      <w:kern w:val="0"/>
                      <w:sz w:val="21"/>
                      <w:szCs w:val="18"/>
                      <w:vertAlign w:val="superscript"/>
                      <w:lang w:bidi="ar"/>
                    </w:rPr>
                    <w:t>2</w:t>
                  </w:r>
                  <w:r>
                    <w:rPr>
                      <w:rFonts w:hint="eastAsia" w:cs="宋体"/>
                      <w:color w:val="000000"/>
                      <w:kern w:val="0"/>
                      <w:sz w:val="21"/>
                      <w:szCs w:val="18"/>
                      <w:lang w:bidi="ar"/>
                    </w:rPr>
                    <w:t>，工业用地总量上限79</w:t>
                  </w:r>
                  <w:r>
                    <w:rPr>
                      <w:rFonts w:cs="宋体"/>
                      <w:color w:val="000000"/>
                      <w:kern w:val="0"/>
                      <w:sz w:val="21"/>
                      <w:szCs w:val="18"/>
                      <w:lang w:bidi="ar"/>
                    </w:rPr>
                    <w:t>4</w:t>
                  </w:r>
                  <w:r>
                    <w:rPr>
                      <w:rFonts w:hint="eastAsia" w:cs="宋体"/>
                      <w:color w:val="000000"/>
                      <w:kern w:val="0"/>
                      <w:sz w:val="21"/>
                      <w:szCs w:val="18"/>
                      <w:lang w:bidi="ar"/>
                    </w:rPr>
                    <w:t>.</w:t>
                  </w:r>
                  <w:r>
                    <w:rPr>
                      <w:rFonts w:cs="宋体"/>
                      <w:color w:val="000000"/>
                      <w:kern w:val="0"/>
                      <w:sz w:val="21"/>
                      <w:szCs w:val="18"/>
                      <w:lang w:bidi="ar"/>
                    </w:rPr>
                    <w:t>38</w:t>
                  </w:r>
                  <w:r>
                    <w:rPr>
                      <w:rFonts w:hint="eastAsia" w:cs="宋体"/>
                      <w:color w:val="000000"/>
                      <w:kern w:val="0"/>
                      <w:sz w:val="21"/>
                      <w:szCs w:val="18"/>
                      <w:lang w:bidi="ar"/>
                    </w:rPr>
                    <w:t>hm</w:t>
                  </w:r>
                  <w:r>
                    <w:rPr>
                      <w:rFonts w:hint="eastAsia" w:cs="宋体"/>
                      <w:color w:val="000000"/>
                      <w:kern w:val="0"/>
                      <w:sz w:val="21"/>
                      <w:szCs w:val="18"/>
                      <w:vertAlign w:val="superscript"/>
                      <w:lang w:bidi="ar"/>
                    </w:rPr>
                    <w:t>2</w:t>
                  </w:r>
                  <w:r>
                    <w:rPr>
                      <w:rFonts w:hint="eastAsia" w:cs="宋体"/>
                      <w:color w:val="000000"/>
                      <w:kern w:val="0"/>
                      <w:sz w:val="21"/>
                      <w:szCs w:val="18"/>
                      <w:lang w:bidi="ar"/>
                    </w:rPr>
                    <w:t>。</w:t>
                  </w:r>
                </w:p>
              </w:tc>
            </w:tr>
            <w:tr w14:paraId="77AD085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7" w:type="dxa"/>
                  <w:bottom w:w="0" w:type="dxa"/>
                  <w:right w:w="17" w:type="dxa"/>
                </w:tblCellMar>
              </w:tblPrEx>
              <w:trPr>
                <w:trHeight w:val="23" w:hRule="atLeast"/>
                <w:jc w:val="center"/>
              </w:trPr>
              <w:tc>
                <w:tcPr>
                  <w:tcW w:w="387" w:type="pct"/>
                  <w:vMerge w:val="continue"/>
                  <w:tcBorders>
                    <w:tl2br w:val="nil"/>
                    <w:tr2bl w:val="nil"/>
                  </w:tcBorders>
                  <w:noWrap w:val="0"/>
                  <w:vAlign w:val="center"/>
                </w:tcPr>
                <w:p w14:paraId="764B8CC5">
                  <w:pPr>
                    <w:widowControl/>
                    <w:spacing w:line="240" w:lineRule="auto"/>
                    <w:ind w:firstLine="0" w:firstLineChars="0"/>
                    <w:jc w:val="center"/>
                    <w:rPr>
                      <w:rFonts w:cs="宋体"/>
                      <w:color w:val="000000"/>
                      <w:sz w:val="21"/>
                      <w:szCs w:val="18"/>
                    </w:rPr>
                  </w:pPr>
                </w:p>
              </w:tc>
              <w:tc>
                <w:tcPr>
                  <w:tcW w:w="977" w:type="pct"/>
                  <w:gridSpan w:val="3"/>
                  <w:tcBorders>
                    <w:tl2br w:val="nil"/>
                    <w:tr2bl w:val="nil"/>
                  </w:tcBorders>
                  <w:noWrap w:val="0"/>
                  <w:vAlign w:val="center"/>
                </w:tcPr>
                <w:p w14:paraId="0E230910">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清洁生产要求</w:t>
                  </w:r>
                </w:p>
              </w:tc>
              <w:tc>
                <w:tcPr>
                  <w:tcW w:w="3635" w:type="pct"/>
                  <w:gridSpan w:val="2"/>
                  <w:tcBorders>
                    <w:tl2br w:val="nil"/>
                    <w:tr2bl w:val="nil"/>
                  </w:tcBorders>
                  <w:noWrap w:val="0"/>
                  <w:vAlign w:val="center"/>
                </w:tcPr>
                <w:p w14:paraId="18C218F2">
                  <w:pPr>
                    <w:widowControl/>
                    <w:spacing w:line="240" w:lineRule="auto"/>
                    <w:ind w:firstLine="0" w:firstLineChars="0"/>
                    <w:jc w:val="center"/>
                    <w:textAlignment w:val="center"/>
                    <w:rPr>
                      <w:rFonts w:cs="宋体"/>
                      <w:color w:val="000000"/>
                      <w:sz w:val="21"/>
                      <w:szCs w:val="18"/>
                    </w:rPr>
                  </w:pPr>
                  <w:r>
                    <w:rPr>
                      <w:rFonts w:hint="eastAsia" w:cs="宋体"/>
                      <w:color w:val="000000"/>
                      <w:kern w:val="0"/>
                      <w:sz w:val="21"/>
                      <w:szCs w:val="18"/>
                      <w:lang w:bidi="ar"/>
                    </w:rPr>
                    <w:t>引进项目的清洁生产水平至少需达到同期国内先进水平，优先引进清洁生产水平达到国际先进水平的项目，禁止引进低于国内先进水平的项目。严格审查入区企业行业类型和生产工艺，要求开发区入驻企业采用先进的生产工艺，在生产、产品和服务中最大限度的做到节能、减污、降耗、增效。</w:t>
                  </w:r>
                </w:p>
              </w:tc>
            </w:tr>
          </w:tbl>
          <w:p w14:paraId="3856A3AE">
            <w:pPr>
              <w:widowControl/>
              <w:spacing w:before="120" w:beforeLines="50"/>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b w:val="0"/>
                <w:bCs w:val="0"/>
                <w:color w:val="000000"/>
                <w:lang w:val="en-US" w:eastAsia="zh-CN"/>
              </w:rPr>
              <w:t>本项目属于</w:t>
            </w:r>
            <w:r>
              <w:rPr>
                <w:rFonts w:hint="eastAsia" w:ascii="Times New Roman" w:hAnsi="Times New Roman" w:eastAsia="宋体" w:cs="Times New Roman"/>
                <w:b w:val="0"/>
                <w:bCs w:val="0"/>
                <w:color w:val="000000"/>
                <w:lang w:val="en-US" w:eastAsia="zh-CN"/>
              </w:rPr>
              <w:t>塑料零件及其他塑料制品制造</w:t>
            </w:r>
            <w:r>
              <w:rPr>
                <w:rFonts w:hint="default" w:ascii="Times New Roman" w:hAnsi="Times New Roman" w:eastAsia="宋体" w:cs="Times New Roman"/>
                <w:b w:val="0"/>
                <w:bCs w:val="0"/>
                <w:color w:val="000000"/>
                <w:lang w:val="en-US" w:eastAsia="zh-CN"/>
              </w:rPr>
              <w:t>，</w:t>
            </w:r>
            <w:r>
              <w:rPr>
                <w:rFonts w:hint="default" w:ascii="Times New Roman" w:hAnsi="Times New Roman" w:eastAsia="宋体" w:cs="Times New Roman"/>
                <w:b w:val="0"/>
                <w:bCs w:val="0"/>
                <w:color w:val="000000"/>
                <w:sz w:val="24"/>
                <w:szCs w:val="24"/>
                <w:lang w:val="en-US" w:eastAsia="zh-CN"/>
              </w:rPr>
              <w:t>属于园区</w:t>
            </w:r>
            <w:r>
              <w:rPr>
                <w:rFonts w:hint="eastAsia" w:cs="Times New Roman"/>
                <w:b w:val="0"/>
                <w:bCs w:val="0"/>
                <w:color w:val="000000"/>
                <w:sz w:val="24"/>
                <w:szCs w:val="24"/>
                <w:lang w:val="en-US" w:eastAsia="zh-CN"/>
              </w:rPr>
              <w:t>（北区）</w:t>
            </w:r>
            <w:r>
              <w:rPr>
                <w:rFonts w:hint="eastAsia" w:ascii="Times New Roman" w:hAnsi="Times New Roman" w:eastAsia="宋体" w:cs="Times New Roman"/>
                <w:b w:val="0"/>
                <w:bCs w:val="0"/>
                <w:color w:val="000000"/>
                <w:sz w:val="24"/>
                <w:szCs w:val="24"/>
                <w:lang w:val="en-US" w:eastAsia="zh-CN"/>
              </w:rPr>
              <w:t>主导产业</w:t>
            </w:r>
            <w:r>
              <w:rPr>
                <w:rFonts w:hint="default" w:ascii="Times New Roman" w:hAnsi="Times New Roman" w:eastAsia="宋体" w:cs="Times New Roman"/>
                <w:color w:val="000000"/>
                <w:kern w:val="0"/>
                <w:sz w:val="24"/>
                <w:szCs w:val="24"/>
                <w:lang w:val="en-US" w:eastAsia="zh-CN" w:bidi="ar-SA"/>
              </w:rPr>
              <w:t>；且</w:t>
            </w:r>
            <w:r>
              <w:rPr>
                <w:rFonts w:hint="default" w:ascii="Times New Roman" w:hAnsi="Times New Roman" w:eastAsia="宋体" w:cs="Times New Roman"/>
                <w:color w:val="000000"/>
                <w:kern w:val="0"/>
                <w:sz w:val="24"/>
                <w:szCs w:val="24"/>
                <w:highlight w:val="none"/>
                <w:lang w:val="en-US" w:eastAsia="zh-CN" w:bidi="ar-SA"/>
              </w:rPr>
              <w:t>对照</w:t>
            </w:r>
            <w:r>
              <w:rPr>
                <w:rFonts w:hint="eastAsia" w:ascii="Times New Roman" w:hAnsi="Times New Roman" w:eastAsia="宋体" w:cs="Times New Roman"/>
                <w:color w:val="000000"/>
                <w:kern w:val="0"/>
                <w:sz w:val="24"/>
                <w:szCs w:val="24"/>
                <w:highlight w:val="none"/>
                <w:lang w:val="en-US" w:eastAsia="zh-CN" w:bidi="ar-SA"/>
              </w:rPr>
              <w:t>《安徽淮南潘集经济开发区（安徽淮南现代煤化工产业园）总体发展规划（2022-2035年）》（</w:t>
            </w:r>
            <w:r>
              <w:rPr>
                <w:rFonts w:hint="eastAsia" w:ascii="Times New Roman" w:hAnsi="Times New Roman" w:eastAsia="宋体" w:cs="Times New Roman"/>
                <w:color w:val="auto"/>
                <w:highlight w:val="none"/>
                <w:lang w:val="en-US" w:eastAsia="zh-CN"/>
              </w:rPr>
              <w:t>土地使用规划图</w:t>
            </w:r>
            <w:r>
              <w:rPr>
                <w:rFonts w:hint="eastAsia" w:ascii="Times New Roman" w:hAnsi="Times New Roman" w:eastAsia="宋体" w:cs="Times New Roman"/>
                <w:color w:val="000000"/>
                <w:kern w:val="0"/>
                <w:sz w:val="24"/>
                <w:szCs w:val="24"/>
                <w:highlight w:val="none"/>
                <w:lang w:val="en-US" w:eastAsia="zh-CN" w:bidi="ar-SA"/>
              </w:rPr>
              <w:t>）</w:t>
            </w:r>
            <w:r>
              <w:rPr>
                <w:rFonts w:hint="default" w:ascii="Times New Roman" w:hAnsi="Times New Roman" w:eastAsia="宋体" w:cs="Times New Roman"/>
                <w:color w:val="000000"/>
                <w:kern w:val="0"/>
                <w:sz w:val="24"/>
                <w:szCs w:val="24"/>
                <w:lang w:val="en-US" w:eastAsia="zh-CN" w:bidi="ar-SA"/>
              </w:rPr>
              <w:t>可知，项目所在地用地性质为工业用地，因此本项目的建设符合规划要求。</w:t>
            </w:r>
          </w:p>
          <w:p w14:paraId="51DA4448">
            <w:pPr>
              <w:widowControl/>
              <w:ind w:firstLine="480" w:firstLineChars="200"/>
              <w:rPr>
                <w:rFonts w:hint="default" w:ascii="Times New Roman" w:hAnsi="Times New Roman" w:cs="Times New Roman"/>
                <w:color w:val="000000"/>
              </w:rPr>
            </w:pPr>
            <w:r>
              <w:rPr>
                <w:rFonts w:hint="default" w:ascii="Times New Roman" w:hAnsi="Times New Roman" w:cs="Times New Roman"/>
                <w:color w:val="000000"/>
              </w:rPr>
              <w:t>本项目与</w:t>
            </w:r>
            <w:r>
              <w:rPr>
                <w:rFonts w:hint="default" w:ascii="Times New Roman" w:hAnsi="Times New Roman" w:cs="Times New Roman"/>
                <w:bCs/>
                <w:color w:val="000000"/>
              </w:rPr>
              <w:t>淮南市</w:t>
            </w:r>
            <w:r>
              <w:rPr>
                <w:rFonts w:hint="eastAsia" w:ascii="Times New Roman" w:hAnsi="Times New Roman" w:cs="Times New Roman"/>
                <w:bCs/>
                <w:color w:val="000000"/>
                <w:lang w:val="en-US" w:eastAsia="zh-CN"/>
              </w:rPr>
              <w:t>生态环境局</w:t>
            </w:r>
            <w:r>
              <w:rPr>
                <w:rFonts w:hint="default" w:ascii="Times New Roman" w:hAnsi="Times New Roman" w:cs="Times New Roman"/>
                <w:color w:val="000000"/>
              </w:rPr>
              <w:t>出具的</w:t>
            </w:r>
            <w:r>
              <w:rPr>
                <w:rFonts w:hint="default" w:ascii="Times New Roman" w:hAnsi="Times New Roman" w:eastAsia="宋体" w:cs="Times New Roman"/>
                <w:b w:val="0"/>
                <w:bCs w:val="0"/>
                <w:color w:val="000000"/>
                <w:kern w:val="0"/>
                <w:sz w:val="24"/>
                <w:szCs w:val="24"/>
                <w:highlight w:val="none"/>
                <w:lang w:val="en-US" w:eastAsia="zh-CN"/>
              </w:rPr>
              <w:t>《关于印发《安徽淮南潘集经济开发区（安徽淮南现代煤化工产业园）总体发展规划（2022-2035年）主导产业变更环境影响报告书》审查意见的函》</w:t>
            </w:r>
            <w:r>
              <w:rPr>
                <w:rFonts w:hint="default" w:ascii="Times New Roman" w:hAnsi="Times New Roman" w:cs="Times New Roman"/>
                <w:b w:val="0"/>
                <w:bCs w:val="0"/>
                <w:color w:val="000000"/>
                <w:kern w:val="0"/>
                <w:sz w:val="24"/>
                <w:szCs w:val="24"/>
                <w:highlight w:val="none"/>
                <w:lang w:val="en-US" w:eastAsia="zh-CN"/>
              </w:rPr>
              <w:t>（</w:t>
            </w:r>
            <w:r>
              <w:rPr>
                <w:rFonts w:hint="default" w:ascii="Times New Roman" w:hAnsi="Times New Roman" w:eastAsia="宋体" w:cs="Times New Roman"/>
                <w:b w:val="0"/>
                <w:bCs w:val="0"/>
                <w:color w:val="000000"/>
                <w:kern w:val="0"/>
                <w:sz w:val="24"/>
                <w:szCs w:val="24"/>
                <w:highlight w:val="none"/>
                <w:lang w:val="en-US" w:eastAsia="zh-CN"/>
              </w:rPr>
              <w:t>淮环</w:t>
            </w:r>
            <w:r>
              <w:rPr>
                <w:rFonts w:hint="eastAsia" w:ascii="Times New Roman" w:hAnsi="Times New Roman" w:eastAsia="宋体" w:cs="Times New Roman"/>
                <w:b w:val="0"/>
                <w:bCs w:val="0"/>
                <w:color w:val="000000"/>
                <w:kern w:val="0"/>
                <w:sz w:val="24"/>
                <w:szCs w:val="24"/>
                <w:highlight w:val="none"/>
                <w:lang w:val="en-US" w:eastAsia="zh-CN"/>
              </w:rPr>
              <w:t>函〔2024〕47</w:t>
            </w:r>
            <w:r>
              <w:rPr>
                <w:rFonts w:hint="default" w:ascii="Times New Roman" w:hAnsi="Times New Roman" w:eastAsia="宋体" w:cs="Times New Roman"/>
                <w:b w:val="0"/>
                <w:bCs w:val="0"/>
                <w:color w:val="000000"/>
                <w:kern w:val="0"/>
                <w:sz w:val="24"/>
                <w:szCs w:val="24"/>
                <w:highlight w:val="none"/>
                <w:lang w:val="en-US" w:eastAsia="zh-CN"/>
              </w:rPr>
              <w:t>号</w:t>
            </w:r>
            <w:r>
              <w:rPr>
                <w:rFonts w:hint="default" w:ascii="Times New Roman" w:hAnsi="Times New Roman" w:cs="Times New Roman"/>
                <w:b w:val="0"/>
                <w:bCs w:val="0"/>
                <w:color w:val="000000"/>
                <w:kern w:val="0"/>
                <w:sz w:val="24"/>
                <w:szCs w:val="24"/>
                <w:highlight w:val="none"/>
                <w:lang w:val="en-US" w:eastAsia="zh-CN"/>
              </w:rPr>
              <w:t>）</w:t>
            </w:r>
            <w:r>
              <w:rPr>
                <w:rFonts w:hint="default" w:ascii="Times New Roman" w:hAnsi="Times New Roman" w:cs="Times New Roman"/>
                <w:color w:val="000000"/>
              </w:rPr>
              <w:t>符合性分析如下：</w:t>
            </w:r>
          </w:p>
          <w:p w14:paraId="33C83E2F">
            <w:pPr>
              <w:pStyle w:val="62"/>
              <w:keepNext w:val="0"/>
              <w:keepLines w:val="0"/>
              <w:pageBreakBefore w:val="0"/>
              <w:widowControl w:val="0"/>
              <w:kinsoku/>
              <w:wordWrap/>
              <w:overflowPunct/>
              <w:topLinePunct w:val="0"/>
              <w:autoSpaceDE w:val="0"/>
              <w:autoSpaceDN w:val="0"/>
              <w:bidi w:val="0"/>
              <w:adjustRightInd/>
              <w:snapToGrid/>
              <w:spacing w:line="360" w:lineRule="auto"/>
              <w:ind w:firstLine="0"/>
              <w:textAlignment w:val="auto"/>
              <w:rPr>
                <w:rFonts w:hint="default" w:ascii="Times New Roman" w:hAnsi="Times New Roman" w:cs="Times New Roman"/>
                <w:color w:val="000000"/>
              </w:rPr>
            </w:pPr>
            <w:r>
              <w:rPr>
                <w:rFonts w:hint="default" w:ascii="Times New Roman" w:hAnsi="Times New Roman" w:cs="Times New Roman"/>
                <w:color w:val="000000"/>
              </w:rPr>
              <w:t>表1-</w:t>
            </w:r>
            <w:r>
              <w:rPr>
                <w:rFonts w:hint="default" w:ascii="Times New Roman" w:hAnsi="Times New Roman" w:cs="Times New Roman"/>
                <w:color w:val="000000"/>
                <w:lang w:val="en-US" w:eastAsia="zh-CN"/>
              </w:rPr>
              <w:t>2</w:t>
            </w:r>
            <w:r>
              <w:rPr>
                <w:rFonts w:hint="eastAsia" w:ascii="Times New Roman" w:hAnsi="Times New Roman" w:cs="Times New Roman"/>
                <w:color w:val="000000"/>
                <w:lang w:eastAsia="zh-CN"/>
              </w:rPr>
              <w:t xml:space="preserve"> </w:t>
            </w:r>
            <w:r>
              <w:rPr>
                <w:rFonts w:hint="eastAsia" w:cs="Times New Roman"/>
                <w:color w:val="000000"/>
                <w:lang w:val="en-US" w:eastAsia="zh-CN"/>
              </w:rPr>
              <w:t xml:space="preserve"> </w:t>
            </w:r>
            <w:r>
              <w:rPr>
                <w:rFonts w:hint="default" w:ascii="Times New Roman" w:hAnsi="Times New Roman" w:cs="Times New Roman"/>
                <w:color w:val="000000"/>
              </w:rPr>
              <w:t>与规划环评审查意见符合性分析</w:t>
            </w:r>
          </w:p>
          <w:tbl>
            <w:tblPr>
              <w:tblStyle w:val="29"/>
              <w:tblW w:w="499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74"/>
              <w:gridCol w:w="3203"/>
              <w:gridCol w:w="3063"/>
              <w:gridCol w:w="880"/>
            </w:tblGrid>
            <w:tr w14:paraId="53D294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31" w:type="pct"/>
                  <w:noWrap w:val="0"/>
                  <w:vAlign w:val="center"/>
                </w:tcPr>
                <w:p w14:paraId="23D5C128">
                  <w:pPr>
                    <w:pStyle w:val="6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Cs w:val="21"/>
                    </w:rPr>
                  </w:pPr>
                  <w:r>
                    <w:rPr>
                      <w:rFonts w:hint="default" w:ascii="Times New Roman" w:hAnsi="Times New Roman" w:cs="Times New Roman"/>
                      <w:b/>
                      <w:bCs/>
                      <w:color w:val="000000"/>
                      <w:szCs w:val="21"/>
                    </w:rPr>
                    <w:t>序号</w:t>
                  </w:r>
                </w:p>
              </w:tc>
              <w:tc>
                <w:tcPr>
                  <w:tcW w:w="2047" w:type="pct"/>
                  <w:noWrap w:val="0"/>
                  <w:vAlign w:val="center"/>
                </w:tcPr>
                <w:p w14:paraId="4D1BAABF">
                  <w:pPr>
                    <w:pStyle w:val="6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Cs w:val="21"/>
                    </w:rPr>
                  </w:pPr>
                  <w:r>
                    <w:rPr>
                      <w:rFonts w:hint="default" w:ascii="Times New Roman" w:hAnsi="Times New Roman" w:cs="Times New Roman"/>
                      <w:b/>
                      <w:bCs/>
                      <w:color w:val="000000"/>
                      <w:szCs w:val="21"/>
                    </w:rPr>
                    <w:t>规划环评审查意见要求</w:t>
                  </w:r>
                </w:p>
              </w:tc>
              <w:tc>
                <w:tcPr>
                  <w:tcW w:w="1958" w:type="pct"/>
                  <w:noWrap w:val="0"/>
                  <w:vAlign w:val="center"/>
                </w:tcPr>
                <w:p w14:paraId="7719EFEE">
                  <w:pPr>
                    <w:pStyle w:val="6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Cs w:val="21"/>
                    </w:rPr>
                  </w:pPr>
                  <w:r>
                    <w:rPr>
                      <w:rFonts w:hint="default" w:ascii="Times New Roman" w:hAnsi="Times New Roman" w:cs="Times New Roman"/>
                      <w:b/>
                      <w:bCs/>
                      <w:color w:val="000000"/>
                      <w:szCs w:val="21"/>
                    </w:rPr>
                    <w:t>本项目情况</w:t>
                  </w:r>
                </w:p>
              </w:tc>
              <w:tc>
                <w:tcPr>
                  <w:tcW w:w="562" w:type="pct"/>
                  <w:noWrap w:val="0"/>
                  <w:vAlign w:val="center"/>
                </w:tcPr>
                <w:p w14:paraId="6C598B47">
                  <w:pPr>
                    <w:pStyle w:val="6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Cs w:val="21"/>
                    </w:rPr>
                  </w:pPr>
                  <w:r>
                    <w:rPr>
                      <w:rFonts w:hint="default" w:ascii="Times New Roman" w:hAnsi="Times New Roman" w:cs="Times New Roman"/>
                      <w:b/>
                      <w:bCs/>
                      <w:color w:val="000000"/>
                      <w:szCs w:val="21"/>
                    </w:rPr>
                    <w:t>符合性</w:t>
                  </w:r>
                </w:p>
              </w:tc>
            </w:tr>
            <w:tr w14:paraId="22963D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31" w:type="pct"/>
                  <w:noWrap w:val="0"/>
                  <w:vAlign w:val="center"/>
                </w:tcPr>
                <w:p w14:paraId="01B5568F">
                  <w:pPr>
                    <w:pStyle w:val="6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2047" w:type="pct"/>
                  <w:noWrap w:val="0"/>
                  <w:vAlign w:val="center"/>
                </w:tcPr>
                <w:p w14:paraId="0B17518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pacing w:val="-2"/>
                      <w:kern w:val="0"/>
                      <w:sz w:val="21"/>
                      <w:szCs w:val="21"/>
                      <w:lang w:val="en-US" w:eastAsia="zh-CN" w:bidi="ar-SA"/>
                    </w:rPr>
                  </w:pPr>
                  <w:r>
                    <w:rPr>
                      <w:rFonts w:hint="default" w:ascii="Times New Roman" w:hAnsi="Times New Roman" w:eastAsia="宋体" w:cs="Times New Roman"/>
                      <w:color w:val="000000"/>
                      <w:spacing w:val="-2"/>
                      <w:kern w:val="0"/>
                      <w:sz w:val="21"/>
                      <w:szCs w:val="21"/>
                      <w:lang w:val="en-US" w:eastAsia="zh-CN"/>
                    </w:rPr>
                    <w:t>开发区应结合环境制约因素、产业定位等，进一步完善产业发展规划，优化功能分区和空间布局，不在城镇开发边界范围内区域应根据《自然资源部关于做好城镇开发边界管理的通知（试行）》（自然资发〔2023〕193号）要求，不得进行开发建设。合理规划不同功能区的环境保护空间，严禁不符合管控要求的各类开发建设活动，规划实施不得降低淮河、泥河等地表水体的环境质量。结合区域环境质量要求，科学合理推进开发建设进度。本次规划化工产业片区用地范围不得突破《安徽省自然资源厅关于核定淮南潘集化工园区四至范围和面积的通知》（皖自然资用函〔2024〕1 号）要求。</w:t>
                  </w:r>
                </w:p>
              </w:tc>
              <w:tc>
                <w:tcPr>
                  <w:tcW w:w="1958" w:type="pct"/>
                  <w:noWrap w:val="0"/>
                  <w:vAlign w:val="center"/>
                </w:tcPr>
                <w:p w14:paraId="3A73027F">
                  <w:pPr>
                    <w:pStyle w:val="6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本项目</w:t>
                  </w:r>
                  <w:r>
                    <w:rPr>
                      <w:rFonts w:hint="default" w:ascii="Times New Roman" w:hAnsi="Times New Roman" w:cs="Times New Roman"/>
                      <w:color w:val="000000"/>
                      <w:szCs w:val="21"/>
                      <w:lang w:val="en-US" w:eastAsia="zh-CN"/>
                    </w:rPr>
                    <w:t>属于塑料零件及其他塑料制品制造，属于园区主导产业</w:t>
                  </w:r>
                  <w:r>
                    <w:rPr>
                      <w:rFonts w:hint="eastAsia" w:ascii="Times New Roman" w:hAnsi="Times New Roman" w:cs="Times New Roman"/>
                      <w:color w:val="000000"/>
                      <w:szCs w:val="21"/>
                      <w:lang w:val="en-US" w:eastAsia="zh-CN"/>
                    </w:rPr>
                    <w:t>；</w:t>
                  </w:r>
                  <w:r>
                    <w:rPr>
                      <w:rFonts w:hint="eastAsia" w:ascii="Times New Roman" w:hAnsi="Times New Roman" w:eastAsia="宋体" w:cs="Times New Roman"/>
                      <w:color w:val="000000"/>
                      <w:szCs w:val="21"/>
                      <w:lang w:val="en-US" w:eastAsia="zh-CN"/>
                    </w:rPr>
                    <w:t>位于</w:t>
                  </w:r>
                  <w:r>
                    <w:rPr>
                      <w:rFonts w:hint="default" w:ascii="Times New Roman" w:hAnsi="Times New Roman" w:eastAsia="宋体" w:cs="Times New Roman"/>
                      <w:color w:val="000000"/>
                      <w:spacing w:val="-2"/>
                      <w:kern w:val="0"/>
                      <w:sz w:val="21"/>
                      <w:szCs w:val="21"/>
                      <w:lang w:val="en-US" w:eastAsia="zh-CN"/>
                    </w:rPr>
                    <w:t>《安徽省自然资源厅关于核定淮南潘集化工园区四至范围和面积的通知》（皖自然资用函〔2024〕1号）</w:t>
                  </w:r>
                  <w:r>
                    <w:rPr>
                      <w:rFonts w:hint="eastAsia" w:ascii="Times New Roman" w:hAnsi="Times New Roman" w:eastAsia="宋体" w:cs="Times New Roman"/>
                      <w:color w:val="000000"/>
                      <w:spacing w:val="-2"/>
                      <w:kern w:val="0"/>
                      <w:sz w:val="21"/>
                      <w:szCs w:val="21"/>
                      <w:lang w:val="en-US" w:eastAsia="zh-CN"/>
                    </w:rPr>
                    <w:t>的用地范围内；</w:t>
                  </w:r>
                </w:p>
              </w:tc>
              <w:tc>
                <w:tcPr>
                  <w:tcW w:w="562" w:type="pct"/>
                  <w:noWrap w:val="0"/>
                  <w:vAlign w:val="center"/>
                </w:tcPr>
                <w:p w14:paraId="763F71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相符</w:t>
                  </w:r>
                </w:p>
              </w:tc>
            </w:tr>
            <w:tr w14:paraId="2ECF1B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31" w:type="pct"/>
                  <w:noWrap w:val="0"/>
                  <w:vAlign w:val="center"/>
                </w:tcPr>
                <w:p w14:paraId="52CCFE66">
                  <w:pPr>
                    <w:pStyle w:val="68"/>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cs="Times New Roman"/>
                      <w:color w:val="000000"/>
                      <w:szCs w:val="21"/>
                      <w:lang w:val="en-US" w:eastAsia="zh-CN"/>
                    </w:rPr>
                    <w:t>2</w:t>
                  </w:r>
                </w:p>
              </w:tc>
              <w:tc>
                <w:tcPr>
                  <w:tcW w:w="2047" w:type="pct"/>
                  <w:noWrap w:val="0"/>
                  <w:vAlign w:val="center"/>
                </w:tcPr>
                <w:p w14:paraId="1820AC9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pacing w:val="-2"/>
                      <w:kern w:val="0"/>
                      <w:sz w:val="21"/>
                      <w:szCs w:val="21"/>
                      <w:lang w:val="en-US" w:eastAsia="zh-CN" w:bidi="ar-SA"/>
                    </w:rPr>
                  </w:pPr>
                  <w:r>
                    <w:rPr>
                      <w:rFonts w:hint="default" w:ascii="Times New Roman" w:hAnsi="Times New Roman" w:eastAsia="宋体" w:cs="Times New Roman"/>
                      <w:color w:val="000000"/>
                      <w:spacing w:val="-2"/>
                      <w:kern w:val="0"/>
                      <w:sz w:val="21"/>
                      <w:szCs w:val="21"/>
                      <w:lang w:val="en-US" w:eastAsia="zh-CN" w:bidi="ar-SA"/>
                    </w:rPr>
                    <w:t>根据开发时序和开发强度，进一步优化区域供水、排水、供气等规划，完善各项环保基础设施建设。结合区域环境质量现状，细化污染防治基础设施建设和运行管理要求，保障受纳水体的水环境功能、下游水环境、生态环境保护目标及相关考核断面水质稳定达标。</w:t>
                  </w:r>
                </w:p>
              </w:tc>
              <w:tc>
                <w:tcPr>
                  <w:tcW w:w="1958" w:type="pct"/>
                  <w:noWrap w:val="0"/>
                  <w:vAlign w:val="center"/>
                </w:tcPr>
                <w:p w14:paraId="40347F91">
                  <w:pPr>
                    <w:pStyle w:val="6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eastAsia" w:cs="Times New Roman"/>
                      <w:color w:val="000000" w:themeColor="text1"/>
                      <w:szCs w:val="21"/>
                      <w:highlight w:val="none"/>
                      <w:lang w:val="en-US" w:eastAsia="zh-CN"/>
                      <w14:textFill>
                        <w14:solidFill>
                          <w14:schemeClr w14:val="tx1"/>
                        </w14:solidFill>
                      </w14:textFill>
                    </w:rPr>
                    <w:t>本项目注塑废气经二级活性炭处理后由DA001达标排放，破碎粉尘经布袋除尘器处理后由DA002达标排放；生活污水、冷却循环排水纳管接入市政污水管网进入淮南市潘集污水处理厂深度处理；危险废物委托有危废资质单位进行处置；项目</w:t>
                  </w:r>
                  <w:r>
                    <w:rPr>
                      <w:rFonts w:hint="default" w:ascii="Times New Roman" w:hAnsi="Times New Roman" w:eastAsia="宋体" w:cs="Times New Roman"/>
                      <w:color w:val="000000" w:themeColor="text1"/>
                      <w:spacing w:val="-2"/>
                      <w:kern w:val="0"/>
                      <w:sz w:val="21"/>
                      <w:szCs w:val="21"/>
                      <w:highlight w:val="none"/>
                      <w14:textFill>
                        <w14:solidFill>
                          <w14:schemeClr w14:val="tx1"/>
                        </w14:solidFill>
                      </w14:textFill>
                    </w:rPr>
                    <w:t>严格实行总量控制</w:t>
                  </w:r>
                  <w:r>
                    <w:rPr>
                      <w:rFonts w:hint="default" w:ascii="Times New Roman" w:hAnsi="Times New Roman" w:eastAsia="宋体" w:cs="Times New Roman"/>
                      <w:color w:val="000000" w:themeColor="text1"/>
                      <w:spacing w:val="-2"/>
                      <w:kern w:val="0"/>
                      <w:sz w:val="21"/>
                      <w:szCs w:val="21"/>
                      <w:highlight w:val="none"/>
                      <w:lang w:eastAsia="zh-CN"/>
                      <w14:textFill>
                        <w14:solidFill>
                          <w14:schemeClr w14:val="tx1"/>
                        </w14:solidFill>
                      </w14:textFill>
                    </w:rPr>
                    <w:t>。</w:t>
                  </w:r>
                </w:p>
              </w:tc>
              <w:tc>
                <w:tcPr>
                  <w:tcW w:w="562" w:type="pct"/>
                  <w:noWrap w:val="0"/>
                  <w:vAlign w:val="center"/>
                </w:tcPr>
                <w:p w14:paraId="030578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相符</w:t>
                  </w:r>
                </w:p>
              </w:tc>
            </w:tr>
            <w:tr w14:paraId="54F692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31" w:type="pct"/>
                  <w:noWrap w:val="0"/>
                  <w:vAlign w:val="center"/>
                </w:tcPr>
                <w:p w14:paraId="339601F4">
                  <w:pPr>
                    <w:pStyle w:val="68"/>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3</w:t>
                  </w:r>
                </w:p>
              </w:tc>
              <w:tc>
                <w:tcPr>
                  <w:tcW w:w="2047" w:type="pct"/>
                  <w:noWrap w:val="0"/>
                  <w:vAlign w:val="center"/>
                </w:tcPr>
                <w:p w14:paraId="7A90D4C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pacing w:val="-2"/>
                      <w:kern w:val="0"/>
                      <w:sz w:val="21"/>
                      <w:szCs w:val="21"/>
                      <w:highlight w:val="none"/>
                      <w:lang w:val="en-US" w:eastAsia="zh-CN" w:bidi="ar-SA"/>
                    </w:rPr>
                  </w:pPr>
                  <w:r>
                    <w:rPr>
                      <w:rFonts w:hint="default" w:ascii="Times New Roman" w:hAnsi="Times New Roman" w:eastAsia="宋体" w:cs="Times New Roman"/>
                      <w:color w:val="000000"/>
                      <w:spacing w:val="-2"/>
                      <w:kern w:val="0"/>
                      <w:sz w:val="21"/>
                      <w:szCs w:val="21"/>
                      <w:highlight w:val="none"/>
                      <w:lang w:val="en-US" w:eastAsia="zh-CN" w:bidi="ar-SA"/>
                    </w:rPr>
                    <w:t>根据国家和区域发展战略，结合区域生态环境质量现状、国土空间规划等，严格落实《报告书》生态环境准入要求。严格执行国家产业政策，坚决遏制“两高一低”项目盲目发展，严禁不符合淮河流域生态环境保护要求的项目入区。</w:t>
                  </w:r>
                </w:p>
              </w:tc>
              <w:tc>
                <w:tcPr>
                  <w:tcW w:w="1958" w:type="pct"/>
                  <w:noWrap w:val="0"/>
                  <w:vAlign w:val="center"/>
                </w:tcPr>
                <w:p w14:paraId="400A51C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rPr>
                    <w:t>对照《产业结构调整指导目录》（</w:t>
                  </w:r>
                  <w:r>
                    <w:rPr>
                      <w:rFonts w:hint="default" w:ascii="Times New Roman" w:hAnsi="Times New Roman" w:cs="Times New Roman"/>
                      <w:color w:val="000000"/>
                      <w:sz w:val="21"/>
                      <w:szCs w:val="21"/>
                      <w:lang w:val="en-US" w:eastAsia="zh-CN"/>
                    </w:rPr>
                    <w:t>2024年本</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本项目不属于目录中鼓励类、限制类和淘汰类的范畴，可视为允许类项目</w:t>
                  </w:r>
                  <w:r>
                    <w:rPr>
                      <w:rFonts w:hint="eastAsia" w:ascii="Times New Roman" w:hAnsi="Times New Roman" w:cs="Times New Roman"/>
                      <w:color w:val="000000"/>
                      <w:sz w:val="21"/>
                      <w:szCs w:val="21"/>
                      <w:lang w:val="en-US" w:eastAsia="zh-CN"/>
                    </w:rPr>
                    <w:t>。本项目不属于</w:t>
                  </w:r>
                  <w:r>
                    <w:rPr>
                      <w:rFonts w:hint="default" w:ascii="Times New Roman" w:hAnsi="Times New Roman" w:eastAsia="宋体" w:cs="Times New Roman"/>
                      <w:color w:val="000000"/>
                      <w:sz w:val="21"/>
                      <w:szCs w:val="21"/>
                      <w:lang w:val="en-US" w:eastAsia="zh-CN"/>
                    </w:rPr>
                    <w:t>“两高一低”项目</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符合淮河流域生态环境保护要求</w:t>
                  </w:r>
                  <w:r>
                    <w:rPr>
                      <w:rFonts w:hint="eastAsia" w:ascii="Times New Roman" w:hAnsi="Times New Roman" w:eastAsia="宋体" w:cs="Times New Roman"/>
                      <w:color w:val="000000"/>
                      <w:sz w:val="21"/>
                      <w:szCs w:val="21"/>
                      <w:lang w:val="en-US" w:eastAsia="zh-CN"/>
                    </w:rPr>
                    <w:t>。</w:t>
                  </w:r>
                </w:p>
              </w:tc>
              <w:tc>
                <w:tcPr>
                  <w:tcW w:w="562" w:type="pct"/>
                  <w:noWrap w:val="0"/>
                  <w:vAlign w:val="center"/>
                </w:tcPr>
                <w:p w14:paraId="7E1968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相符</w:t>
                  </w:r>
                </w:p>
              </w:tc>
            </w:tr>
          </w:tbl>
          <w:p w14:paraId="27FE4895">
            <w:pPr>
              <w:pStyle w:val="12"/>
              <w:spacing w:before="0" w:after="0" w:line="360" w:lineRule="auto"/>
              <w:ind w:right="0" w:firstLine="480" w:firstLineChars="200"/>
              <w:rPr>
                <w:rFonts w:hint="eastAsia" w:ascii="Times New Roman" w:hAnsi="Times New Roman" w:eastAsia="宋体" w:cs="Times New Roman"/>
                <w:color w:val="FF0000"/>
                <w:lang w:val="en-US" w:eastAsia="zh-CN"/>
              </w:rPr>
            </w:pPr>
            <w:r>
              <w:rPr>
                <w:rFonts w:hint="default" w:ascii="Times New Roman" w:hAnsi="Times New Roman" w:cs="Times New Roman"/>
                <w:color w:val="000000" w:themeColor="text1"/>
                <w:sz w:val="24"/>
                <w:szCs w:val="24"/>
                <w14:textFill>
                  <w14:solidFill>
                    <w14:schemeClr w14:val="tx1"/>
                  </w14:solidFill>
                </w14:textFill>
              </w:rPr>
              <w:t>根据上表可知，本项目的建设符合规划</w:t>
            </w:r>
            <w:r>
              <w:rPr>
                <w:rFonts w:hint="default" w:ascii="Times New Roman" w:hAnsi="Times New Roman" w:cs="Times New Roman"/>
                <w:color w:val="000000" w:themeColor="text1"/>
                <w:sz w:val="24"/>
                <w:szCs w:val="24"/>
                <w:lang w:eastAsia="zh-CN"/>
                <w14:textFill>
                  <w14:solidFill>
                    <w14:schemeClr w14:val="tx1"/>
                  </w14:solidFill>
                </w14:textFill>
              </w:rPr>
              <w:t>环评</w:t>
            </w:r>
            <w:r>
              <w:rPr>
                <w:rFonts w:hint="default" w:ascii="Times New Roman" w:hAnsi="Times New Roman" w:cs="Times New Roman"/>
                <w:color w:val="000000" w:themeColor="text1"/>
                <w:sz w:val="24"/>
                <w:szCs w:val="24"/>
                <w14:textFill>
                  <w14:solidFill>
                    <w14:schemeClr w14:val="tx1"/>
                  </w14:solidFill>
                </w14:textFill>
              </w:rPr>
              <w:t>要求。</w:t>
            </w:r>
          </w:p>
        </w:tc>
      </w:tr>
      <w:tr w14:paraId="1ABAFA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90" w:type="pct"/>
            <w:noWrap w:val="0"/>
            <w:vAlign w:val="center"/>
          </w:tcPr>
          <w:p w14:paraId="3AF6FE7C">
            <w:pPr>
              <w:pStyle w:val="61"/>
              <w:ind w:firstLine="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其他符合性分析</w:t>
            </w:r>
          </w:p>
        </w:tc>
        <w:tc>
          <w:tcPr>
            <w:tcW w:w="4009" w:type="pct"/>
            <w:gridSpan w:val="3"/>
            <w:noWrap w:val="0"/>
            <w:vAlign w:val="top"/>
          </w:tcPr>
          <w:p w14:paraId="7B0CFBD9">
            <w:pPr>
              <w:widowControl/>
              <w:spacing w:before="120" w:beforeLines="50"/>
              <w:ind w:firstLine="482" w:firstLineChars="200"/>
              <w:rPr>
                <w:rFonts w:hint="default" w:ascii="Times New Roman" w:hAnsi="Times New Roman" w:cs="Times New Roman"/>
                <w:b/>
                <w:bCs/>
                <w:color w:val="000000"/>
              </w:rPr>
            </w:pPr>
            <w:r>
              <w:rPr>
                <w:rFonts w:hint="default" w:ascii="Times New Roman" w:hAnsi="Times New Roman" w:cs="Times New Roman"/>
                <w:b/>
                <w:bCs/>
                <w:color w:val="000000"/>
              </w:rPr>
              <w:t>1、产业政策符合性分析</w:t>
            </w:r>
          </w:p>
          <w:p w14:paraId="7A1A6274">
            <w:pPr>
              <w:ind w:firstLine="480" w:firstLineChars="200"/>
              <w:rPr>
                <w:rFonts w:hint="default" w:ascii="Times New Roman" w:hAnsi="Times New Roman" w:cs="Times New Roman"/>
                <w:color w:val="000000"/>
                <w:lang w:val="en-US" w:eastAsia="zh-CN"/>
              </w:rPr>
            </w:pPr>
            <w:r>
              <w:rPr>
                <w:rFonts w:hint="default" w:ascii="Times New Roman" w:hAnsi="Times New Roman" w:cs="Times New Roman"/>
                <w:color w:val="000000"/>
              </w:rPr>
              <w:t>本项目行业类别为塑料零件及其他塑料制品制造。对照《产业结构调整指导目录》（</w:t>
            </w:r>
            <w:r>
              <w:rPr>
                <w:rFonts w:hint="default" w:ascii="Times New Roman" w:hAnsi="Times New Roman" w:cs="Times New Roman"/>
                <w:color w:val="000000"/>
                <w:lang w:val="en-US" w:eastAsia="zh-CN"/>
              </w:rPr>
              <w:t>2024年本</w:t>
            </w:r>
            <w:r>
              <w:rPr>
                <w:rFonts w:hint="default" w:ascii="Times New Roman" w:hAnsi="Times New Roman" w:cs="Times New Roman"/>
                <w:color w:val="000000"/>
              </w:rPr>
              <w:t>），</w:t>
            </w:r>
            <w:r>
              <w:rPr>
                <w:rFonts w:hint="default" w:ascii="Times New Roman" w:hAnsi="Times New Roman" w:cs="Times New Roman"/>
                <w:color w:val="000000"/>
                <w:lang w:val="en-US" w:eastAsia="zh-CN"/>
              </w:rPr>
              <w:t>本项目不属于目录中鼓励类、限制类和淘汰类的范畴，可视为允许类项目。</w:t>
            </w:r>
          </w:p>
          <w:p w14:paraId="215EBF54">
            <w:pPr>
              <w:ind w:firstLine="480" w:firstLineChars="200"/>
              <w:rPr>
                <w:rFonts w:hint="default" w:ascii="Times New Roman" w:hAnsi="Times New Roman" w:cs="Times New Roman"/>
                <w:color w:val="000000"/>
              </w:rPr>
            </w:pPr>
            <w:r>
              <w:rPr>
                <w:rFonts w:hint="default" w:ascii="Times New Roman" w:hAnsi="Times New Roman" w:cs="Times New Roman"/>
                <w:color w:val="000000"/>
              </w:rPr>
              <w:t>同时，项目已于202</w:t>
            </w:r>
            <w:r>
              <w:rPr>
                <w:rFonts w:hint="default" w:ascii="Times New Roman" w:hAnsi="Times New Roman" w:cs="Times New Roman"/>
                <w:color w:val="000000"/>
                <w:lang w:val="en-US" w:eastAsia="zh-CN"/>
              </w:rPr>
              <w:t>4</w:t>
            </w:r>
            <w:r>
              <w:rPr>
                <w:rFonts w:hint="default" w:ascii="Times New Roman" w:hAnsi="Times New Roman" w:cs="Times New Roman"/>
                <w:color w:val="000000"/>
              </w:rPr>
              <w:t>年</w:t>
            </w:r>
            <w:r>
              <w:rPr>
                <w:rFonts w:hint="default" w:ascii="Times New Roman" w:hAnsi="Times New Roman" w:cs="Times New Roman"/>
                <w:color w:val="000000"/>
                <w:lang w:val="en-US" w:eastAsia="zh-CN"/>
              </w:rPr>
              <w:t>3</w:t>
            </w:r>
            <w:r>
              <w:rPr>
                <w:rFonts w:hint="default" w:ascii="Times New Roman" w:hAnsi="Times New Roman" w:cs="Times New Roman"/>
                <w:color w:val="000000"/>
              </w:rPr>
              <w:t>月</w:t>
            </w:r>
            <w:r>
              <w:rPr>
                <w:rFonts w:hint="default" w:ascii="Times New Roman" w:hAnsi="Times New Roman" w:cs="Times New Roman"/>
                <w:color w:val="000000"/>
                <w:lang w:val="en-US" w:eastAsia="zh-CN"/>
              </w:rPr>
              <w:t>12</w:t>
            </w:r>
            <w:r>
              <w:rPr>
                <w:rFonts w:hint="default" w:ascii="Times New Roman" w:hAnsi="Times New Roman" w:cs="Times New Roman"/>
                <w:color w:val="000000"/>
              </w:rPr>
              <w:t>日取得</w:t>
            </w:r>
            <w:r>
              <w:rPr>
                <w:rFonts w:hint="eastAsia" w:cs="Times New Roman"/>
                <w:color w:val="000000"/>
                <w:lang w:val="en-US" w:eastAsia="zh-CN"/>
              </w:rPr>
              <w:t>淮</w:t>
            </w:r>
            <w:r>
              <w:rPr>
                <w:rFonts w:hint="default" w:ascii="Times New Roman" w:hAnsi="Times New Roman" w:cs="Times New Roman"/>
                <w:bCs/>
                <w:color w:val="000000"/>
              </w:rPr>
              <w:t>南市潘集区发展和改革委员会备案</w:t>
            </w:r>
            <w:r>
              <w:rPr>
                <w:rFonts w:hint="default" w:ascii="Times New Roman" w:hAnsi="Times New Roman" w:cs="Times New Roman"/>
                <w:color w:val="000000"/>
              </w:rPr>
              <w:t>，项目代码为：</w:t>
            </w:r>
            <w:r>
              <w:rPr>
                <w:rFonts w:hint="default" w:ascii="Times New Roman" w:hAnsi="Times New Roman" w:cs="Times New Roman"/>
                <w:color w:val="000000"/>
                <w:lang w:eastAsia="zh-CN"/>
              </w:rPr>
              <w:t>2403-340406-04-01-983859</w:t>
            </w:r>
            <w:r>
              <w:rPr>
                <w:rFonts w:hint="default" w:ascii="Times New Roman" w:hAnsi="Times New Roman" w:cs="Times New Roman"/>
                <w:color w:val="000000"/>
              </w:rPr>
              <w:t>（见附件</w:t>
            </w:r>
            <w:r>
              <w:rPr>
                <w:rFonts w:hint="default" w:ascii="Times New Roman" w:hAnsi="Times New Roman" w:cs="Times New Roman"/>
                <w:color w:val="000000"/>
                <w:lang w:val="en-US" w:eastAsia="zh-CN"/>
              </w:rPr>
              <w:t>4</w:t>
            </w:r>
            <w:r>
              <w:rPr>
                <w:rFonts w:hint="default" w:ascii="Times New Roman" w:hAnsi="Times New Roman" w:cs="Times New Roman"/>
                <w:color w:val="000000"/>
              </w:rPr>
              <w:t>）。</w:t>
            </w:r>
          </w:p>
          <w:p w14:paraId="64386B5B">
            <w:pPr>
              <w:ind w:firstLine="480" w:firstLineChars="200"/>
              <w:rPr>
                <w:rFonts w:hint="default" w:ascii="Times New Roman" w:hAnsi="Times New Roman" w:cs="Times New Roman"/>
                <w:color w:val="000000"/>
              </w:rPr>
            </w:pPr>
            <w:r>
              <w:rPr>
                <w:rFonts w:hint="default" w:ascii="Times New Roman" w:hAnsi="Times New Roman" w:cs="Times New Roman"/>
                <w:color w:val="000000"/>
              </w:rPr>
              <w:t>因此，本项目的建设符合国家和地方产业政策要求。</w:t>
            </w:r>
          </w:p>
          <w:p w14:paraId="797A6962">
            <w:pPr>
              <w:widowControl/>
              <w:ind w:firstLine="482" w:firstLineChars="200"/>
              <w:rPr>
                <w:rFonts w:hint="default" w:ascii="Times New Roman" w:hAnsi="Times New Roman" w:cs="Times New Roman"/>
                <w:b/>
                <w:bCs/>
                <w:color w:val="000000"/>
              </w:rPr>
            </w:pPr>
            <w:r>
              <w:rPr>
                <w:rFonts w:hint="default" w:ascii="Times New Roman" w:hAnsi="Times New Roman" w:cs="Times New Roman"/>
                <w:b/>
                <w:bCs/>
                <w:color w:val="000000"/>
              </w:rPr>
              <w:t>2、选址合理性分析</w:t>
            </w:r>
          </w:p>
          <w:p w14:paraId="718F62A7">
            <w:pPr>
              <w:widowControl/>
              <w:ind w:firstLine="480" w:firstLineChars="200"/>
              <w:rPr>
                <w:rFonts w:hint="default" w:ascii="Times New Roman" w:hAnsi="Times New Roman" w:cs="Times New Roman"/>
                <w:color w:val="000000"/>
              </w:rPr>
            </w:pPr>
            <w:r>
              <w:rPr>
                <w:rFonts w:hint="default" w:ascii="Times New Roman" w:hAnsi="Times New Roman" w:cs="Times New Roman"/>
                <w:color w:val="000000"/>
              </w:rPr>
              <w:t>（1）规划用地可行性分析</w:t>
            </w:r>
          </w:p>
          <w:p w14:paraId="09373F34">
            <w:pPr>
              <w:widowControl/>
              <w:ind w:firstLine="480" w:firstLineChars="200"/>
              <w:rPr>
                <w:rFonts w:hint="default" w:ascii="Times New Roman" w:hAnsi="Times New Roman" w:cs="Times New Roman"/>
                <w:color w:val="000000"/>
                <w:highlight w:val="none"/>
              </w:rPr>
            </w:pPr>
            <w:r>
              <w:rPr>
                <w:rFonts w:hint="default" w:ascii="Times New Roman" w:hAnsi="Times New Roman" w:cs="Times New Roman"/>
                <w:color w:val="000000"/>
              </w:rPr>
              <w:t>本项目位于</w:t>
            </w:r>
            <w:r>
              <w:rPr>
                <w:rFonts w:hint="default" w:ascii="Times New Roman" w:hAnsi="Times New Roman" w:cs="Times New Roman"/>
                <w:b w:val="0"/>
                <w:bCs/>
                <w:color w:val="000000" w:themeColor="text1"/>
                <w:sz w:val="24"/>
                <w:szCs w:val="24"/>
                <w14:textFill>
                  <w14:solidFill>
                    <w14:schemeClr w14:val="tx1"/>
                  </w14:solidFill>
                </w14:textFill>
              </w:rPr>
              <w:t>安徽省</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淮南</w:t>
            </w:r>
            <w:r>
              <w:rPr>
                <w:rFonts w:hint="default" w:ascii="Times New Roman" w:hAnsi="Times New Roman" w:cs="Times New Roman"/>
                <w:b w:val="0"/>
                <w:bCs/>
                <w:color w:val="000000" w:themeColor="text1"/>
                <w:sz w:val="24"/>
                <w:szCs w:val="24"/>
                <w14:textFill>
                  <w14:solidFill>
                    <w14:schemeClr w14:val="tx1"/>
                  </w14:solidFill>
                </w14:textFill>
              </w:rPr>
              <w:t>市</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潘集经济开发区（北区）</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功能塑料园7#1、2层</w:t>
            </w:r>
            <w:r>
              <w:rPr>
                <w:rFonts w:hint="default" w:ascii="Times New Roman" w:hAnsi="Times New Roman" w:cs="Times New Roman"/>
                <w:color w:val="000000"/>
                <w:lang w:eastAsia="zh-CN"/>
              </w:rPr>
              <w:t>，</w:t>
            </w:r>
            <w:r>
              <w:rPr>
                <w:rFonts w:hint="default" w:ascii="Times New Roman" w:hAnsi="Times New Roman" w:eastAsia="宋体" w:cs="Times New Roman"/>
                <w:color w:val="auto"/>
                <w:highlight w:val="none"/>
              </w:rPr>
              <w:t>对照</w:t>
            </w:r>
            <w:r>
              <w:rPr>
                <w:rFonts w:hint="eastAsia" w:ascii="Times New Roman" w:hAnsi="Times New Roman" w:eastAsia="宋体" w:cs="Times New Roman"/>
                <w:color w:val="auto"/>
                <w:highlight w:val="none"/>
                <w:lang w:val="en-US" w:eastAsia="zh-CN"/>
              </w:rPr>
              <w:t>《安徽淮南潘集经济开发区（安徽淮南现代煤化工产业园）总体发展规划（2022-2035年）》（土地使用规划图）</w:t>
            </w:r>
            <w:r>
              <w:rPr>
                <w:rFonts w:hint="default" w:ascii="Times New Roman" w:hAnsi="Times New Roman" w:cs="Times New Roman"/>
                <w:color w:val="000000"/>
                <w:highlight w:val="none"/>
              </w:rPr>
              <w:t>可知，项目所在地为工业用地。用地性质符合工业园的总体规划要求。</w:t>
            </w:r>
          </w:p>
          <w:p w14:paraId="51B0D85D">
            <w:pPr>
              <w:widowControl/>
              <w:ind w:firstLine="480" w:firstLineChars="200"/>
              <w:rPr>
                <w:rFonts w:hint="default" w:ascii="Times New Roman" w:hAnsi="Times New Roman" w:cs="Times New Roman"/>
                <w:color w:val="000000"/>
              </w:rPr>
            </w:pPr>
            <w:r>
              <w:rPr>
                <w:rFonts w:hint="default" w:ascii="Times New Roman" w:hAnsi="Times New Roman" w:cs="Times New Roman"/>
                <w:color w:val="000000"/>
              </w:rPr>
              <w:t>（2）环境相容性分析</w:t>
            </w:r>
          </w:p>
          <w:p w14:paraId="5EF7FCAF">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000000"/>
              </w:rPr>
            </w:pPr>
            <w:r>
              <w:rPr>
                <w:rFonts w:hint="default" w:ascii="Times New Roman" w:hAnsi="Times New Roman" w:cs="Times New Roman"/>
                <w:color w:val="000000"/>
              </w:rPr>
              <w:t>经现场勘查，</w:t>
            </w:r>
            <w:r>
              <w:rPr>
                <w:rFonts w:hint="default" w:ascii="Times New Roman" w:hAnsi="Times New Roman" w:cs="Times New Roman"/>
                <w:color w:val="000000"/>
                <w:highlight w:val="none"/>
              </w:rPr>
              <w:t>项目</w:t>
            </w:r>
            <w:r>
              <w:rPr>
                <w:rFonts w:hint="default" w:ascii="Times New Roman" w:hAnsi="Times New Roman" w:cs="Times New Roman"/>
                <w:color w:val="000000"/>
                <w:highlight w:val="none"/>
                <w:lang w:val="en-US" w:eastAsia="zh-CN"/>
              </w:rPr>
              <w:t>地东</w:t>
            </w:r>
            <w:r>
              <w:rPr>
                <w:rFonts w:hint="default" w:ascii="Times New Roman" w:hAnsi="Times New Roman" w:cs="Times New Roman"/>
                <w:color w:val="000000"/>
                <w:highlight w:val="none"/>
              </w:rPr>
              <w:t>侧为</w:t>
            </w:r>
            <w:r>
              <w:rPr>
                <w:rFonts w:hint="default" w:ascii="Times New Roman" w:hAnsi="Times New Roman" w:cs="Times New Roman"/>
                <w:color w:val="000000"/>
                <w:highlight w:val="none"/>
                <w:lang w:val="en-US" w:eastAsia="zh-CN"/>
              </w:rPr>
              <w:t>2号厂房</w:t>
            </w:r>
            <w:r>
              <w:rPr>
                <w:rFonts w:hint="eastAsia" w:cs="Times New Roman"/>
                <w:color w:val="000000"/>
                <w:highlight w:val="none"/>
                <w:lang w:val="en-US" w:eastAsia="zh-CN"/>
              </w:rPr>
              <w:t>（松夏（安徽）机电科技有限公司）</w:t>
            </w:r>
            <w:r>
              <w:rPr>
                <w:rFonts w:hint="default" w:ascii="Times New Roman" w:hAnsi="Times New Roman" w:cs="Times New Roman"/>
                <w:color w:val="000000"/>
                <w:highlight w:val="none"/>
              </w:rPr>
              <w:t>，</w:t>
            </w:r>
            <w:r>
              <w:rPr>
                <w:rFonts w:hint="default" w:ascii="Times New Roman" w:hAnsi="Times New Roman" w:cs="Times New Roman"/>
                <w:color w:val="000000" w:themeColor="text1"/>
                <w:highlight w:val="none"/>
                <w14:textFill>
                  <w14:solidFill>
                    <w14:schemeClr w14:val="tx1"/>
                  </w14:solidFill>
                </w14:textFill>
              </w:rPr>
              <w:t>南侧为</w:t>
            </w:r>
            <w:r>
              <w:rPr>
                <w:rFonts w:hint="default" w:ascii="Times New Roman" w:hAnsi="Times New Roman" w:cs="Times New Roman"/>
                <w:color w:val="000000" w:themeColor="text1"/>
                <w:highlight w:val="none"/>
                <w:lang w:val="en-US" w:eastAsia="zh-CN"/>
                <w14:textFill>
                  <w14:solidFill>
                    <w14:schemeClr w14:val="tx1"/>
                  </w14:solidFill>
                </w14:textFill>
              </w:rPr>
              <w:t>空地（工业用地）</w:t>
            </w:r>
            <w:r>
              <w:rPr>
                <w:rFonts w:hint="default" w:ascii="Times New Roman" w:hAnsi="Times New Roman" w:cs="Times New Roman"/>
                <w:color w:val="000000" w:themeColor="text1"/>
                <w:highlight w:val="none"/>
                <w14:textFill>
                  <w14:solidFill>
                    <w14:schemeClr w14:val="tx1"/>
                  </w14:solidFill>
                </w14:textFill>
              </w:rPr>
              <w:t>，西侧</w:t>
            </w:r>
            <w:r>
              <w:rPr>
                <w:rFonts w:hint="default" w:ascii="Times New Roman" w:hAnsi="Times New Roman" w:cs="Times New Roman"/>
                <w:color w:val="000000" w:themeColor="text1"/>
                <w:highlight w:val="none"/>
                <w:lang w:val="en-US" w:eastAsia="zh-CN"/>
                <w14:textFill>
                  <w14:solidFill>
                    <w14:schemeClr w14:val="tx1"/>
                  </w14:solidFill>
                </w14:textFill>
              </w:rPr>
              <w:t>为安徽远业新型环保材料有限公司，北侧为7号厂房</w:t>
            </w:r>
            <w:r>
              <w:rPr>
                <w:rFonts w:hint="eastAsia" w:cs="Times New Roman"/>
                <w:color w:val="000000" w:themeColor="text1"/>
                <w:highlight w:val="none"/>
                <w:lang w:val="en-US" w:eastAsia="zh-CN"/>
                <w14:textFill>
                  <w14:solidFill>
                    <w14:schemeClr w14:val="tx1"/>
                  </w14:solidFill>
                </w14:textFill>
              </w:rPr>
              <w:t>（空厂房）</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highlight w:val="none"/>
              </w:rPr>
              <w:t>周边不存在与本项目相冲突的企业</w:t>
            </w:r>
            <w:r>
              <w:rPr>
                <w:rFonts w:hint="default" w:ascii="Times New Roman" w:hAnsi="Times New Roman" w:cs="Times New Roman"/>
                <w:color w:val="000000"/>
                <w:highlight w:val="none"/>
                <w:lang w:eastAsia="zh-CN"/>
              </w:rPr>
              <w:t>，</w:t>
            </w:r>
            <w:r>
              <w:rPr>
                <w:rFonts w:hint="default" w:ascii="Times New Roman" w:hAnsi="Times New Roman" w:cs="Times New Roman"/>
                <w:color w:val="000000"/>
                <w:highlight w:val="none"/>
              </w:rPr>
              <w:t>无</w:t>
            </w:r>
            <w:r>
              <w:rPr>
                <w:rFonts w:hint="default" w:ascii="Times New Roman" w:hAnsi="Times New Roman" w:cs="Times New Roman"/>
                <w:color w:val="000000"/>
              </w:rPr>
              <w:t>对本项目敏感的企业存在。本项目产生的污染物废气、</w:t>
            </w:r>
            <w:r>
              <w:rPr>
                <w:rFonts w:hint="default" w:ascii="Times New Roman" w:hAnsi="Times New Roman" w:cs="Times New Roman"/>
                <w:color w:val="000000"/>
                <w:lang w:val="en-US" w:eastAsia="zh-CN"/>
              </w:rPr>
              <w:t>废水、</w:t>
            </w:r>
            <w:r>
              <w:rPr>
                <w:rFonts w:hint="default" w:ascii="Times New Roman" w:hAnsi="Times New Roman" w:cs="Times New Roman"/>
                <w:color w:val="000000"/>
              </w:rPr>
              <w:t>生产噪声、固体废物在采取相应的治理措施后，对区域环境影响较小。因此，本项目环境相容性较好。</w:t>
            </w:r>
          </w:p>
          <w:p w14:paraId="73D05697">
            <w:pPr>
              <w:widowControl/>
              <w:ind w:firstLine="480" w:firstLineChars="200"/>
              <w:rPr>
                <w:rFonts w:hint="default" w:ascii="Times New Roman" w:hAnsi="Times New Roman" w:cs="Times New Roman"/>
                <w:color w:val="000000"/>
              </w:rPr>
            </w:pPr>
            <w:r>
              <w:rPr>
                <w:rFonts w:hint="default" w:ascii="Times New Roman" w:hAnsi="Times New Roman" w:cs="Times New Roman"/>
                <w:color w:val="000000"/>
              </w:rPr>
              <w:t>综上所述，本项目选址可行。</w:t>
            </w:r>
          </w:p>
          <w:p w14:paraId="5F4EBF3C">
            <w:pPr>
              <w:widowControl/>
              <w:ind w:firstLine="482" w:firstLineChars="200"/>
              <w:rPr>
                <w:rFonts w:hint="default" w:ascii="Times New Roman" w:hAnsi="Times New Roman" w:cs="Times New Roman"/>
                <w:b/>
                <w:bCs/>
                <w:color w:val="000000"/>
              </w:rPr>
            </w:pPr>
            <w:r>
              <w:rPr>
                <w:rFonts w:hint="default" w:ascii="Times New Roman" w:hAnsi="Times New Roman" w:cs="Times New Roman"/>
                <w:b/>
                <w:bCs/>
                <w:color w:val="000000"/>
              </w:rPr>
              <w:t>3、与</w:t>
            </w:r>
            <w:r>
              <w:rPr>
                <w:rFonts w:hint="default" w:ascii="Times New Roman" w:hAnsi="Times New Roman" w:cs="Times New Roman"/>
                <w:b/>
                <w:bCs/>
                <w:color w:val="000000"/>
                <w:lang w:eastAsia="zh-CN"/>
              </w:rPr>
              <w:t>“</w:t>
            </w:r>
            <w:r>
              <w:rPr>
                <w:rFonts w:hint="default" w:ascii="Times New Roman" w:hAnsi="Times New Roman" w:cs="Times New Roman"/>
                <w:b/>
                <w:bCs/>
                <w:color w:val="000000"/>
              </w:rPr>
              <w:t>三线一单</w:t>
            </w:r>
            <w:r>
              <w:rPr>
                <w:rFonts w:hint="default" w:ascii="Times New Roman" w:hAnsi="Times New Roman" w:cs="Times New Roman"/>
                <w:b/>
                <w:bCs/>
                <w:color w:val="000000"/>
                <w:lang w:eastAsia="zh-CN"/>
              </w:rPr>
              <w:t>”</w:t>
            </w:r>
            <w:r>
              <w:rPr>
                <w:rFonts w:hint="default" w:ascii="Times New Roman" w:hAnsi="Times New Roman" w:cs="Times New Roman"/>
                <w:b/>
                <w:bCs/>
                <w:color w:val="000000"/>
              </w:rPr>
              <w:t>符合性分析</w:t>
            </w:r>
          </w:p>
          <w:p w14:paraId="1D9AC733">
            <w:pPr>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①</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“三线一单"符合性分析</w:t>
            </w:r>
          </w:p>
          <w:p w14:paraId="1DF5DAEB">
            <w:pPr>
              <w:autoSpaceDE w:val="0"/>
              <w:autoSpaceDN w:val="0"/>
              <w:adjustRightInd w:val="0"/>
              <w:snapToGrid w:val="0"/>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表1-</w:t>
            </w:r>
            <w:r>
              <w:rPr>
                <w:rFonts w:hint="eastAsia" w:cs="Times New Roman"/>
                <w:b/>
                <w:bCs/>
                <w:sz w:val="21"/>
                <w:szCs w:val="21"/>
                <w:lang w:val="en-US" w:eastAsia="zh-CN"/>
              </w:rPr>
              <w:t xml:space="preserve">3  </w:t>
            </w:r>
            <w:r>
              <w:rPr>
                <w:rFonts w:hint="default" w:ascii="Times New Roman" w:hAnsi="Times New Roman" w:cs="Times New Roman"/>
                <w:b/>
                <w:bCs/>
                <w:sz w:val="21"/>
                <w:szCs w:val="21"/>
              </w:rPr>
              <w:t>与“三线一单”符合性分析</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364"/>
              <w:gridCol w:w="952"/>
              <w:gridCol w:w="5520"/>
            </w:tblGrid>
            <w:tr w14:paraId="4787BA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71" w:type="pct"/>
                  <w:tcBorders>
                    <w:tl2br w:val="nil"/>
                    <w:tr2bl w:val="nil"/>
                  </w:tcBorders>
                  <w:noWrap w:val="0"/>
                  <w:vAlign w:val="center"/>
                </w:tcPr>
                <w:p w14:paraId="29AD93FC">
                  <w:pPr>
                    <w:pStyle w:val="54"/>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内容</w:t>
                  </w:r>
                </w:p>
              </w:tc>
              <w:tc>
                <w:tcPr>
                  <w:tcW w:w="4128" w:type="pct"/>
                  <w:gridSpan w:val="2"/>
                  <w:tcBorders>
                    <w:tl2br w:val="nil"/>
                    <w:tr2bl w:val="nil"/>
                  </w:tcBorders>
                  <w:noWrap w:val="0"/>
                  <w:vAlign w:val="center"/>
                </w:tcPr>
                <w:p w14:paraId="09B13202">
                  <w:pPr>
                    <w:pStyle w:val="54"/>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符合性分析</w:t>
                  </w:r>
                </w:p>
              </w:tc>
            </w:tr>
            <w:tr w14:paraId="2ACCA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71" w:type="pct"/>
                  <w:tcBorders>
                    <w:tl2br w:val="nil"/>
                    <w:tr2bl w:val="nil"/>
                  </w:tcBorders>
                  <w:noWrap w:val="0"/>
                  <w:vAlign w:val="center"/>
                </w:tcPr>
                <w:p w14:paraId="64B69CB5">
                  <w:pPr>
                    <w:pStyle w:val="54"/>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生态保护红线</w:t>
                  </w:r>
                </w:p>
              </w:tc>
              <w:tc>
                <w:tcPr>
                  <w:tcW w:w="4128" w:type="pct"/>
                  <w:gridSpan w:val="2"/>
                  <w:tcBorders>
                    <w:tl2br w:val="nil"/>
                    <w:tr2bl w:val="nil"/>
                  </w:tcBorders>
                  <w:noWrap w:val="0"/>
                  <w:vAlign w:val="center"/>
                </w:tcPr>
                <w:p w14:paraId="10FD2620">
                  <w:pPr>
                    <w:pStyle w:val="54"/>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本项目位于安徽省淮南市潘集经济开发区（北区）内，项目用地性质为工业用地，</w:t>
                  </w:r>
                  <w:r>
                    <w:rPr>
                      <w:rFonts w:hint="default" w:ascii="Times New Roman" w:hAnsi="Times New Roman" w:eastAsia="宋体" w:cs="Times New Roman"/>
                      <w:color w:val="auto"/>
                      <w:sz w:val="21"/>
                      <w:szCs w:val="21"/>
                      <w:highlight w:val="none"/>
                      <w:lang w:val="en-US" w:eastAsia="zh-CN"/>
                    </w:rPr>
                    <w:t>不在当地饮用水源、风景名胜区、自然保护区等生态保护区内，满足生态保护红线要求。</w:t>
                  </w:r>
                </w:p>
              </w:tc>
            </w:tr>
            <w:tr w14:paraId="0D3FD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71" w:type="pct"/>
                  <w:tcBorders>
                    <w:tl2br w:val="nil"/>
                    <w:tr2bl w:val="nil"/>
                  </w:tcBorders>
                  <w:noWrap w:val="0"/>
                  <w:vAlign w:val="center"/>
                </w:tcPr>
                <w:p w14:paraId="1C3D23B0">
                  <w:pPr>
                    <w:pStyle w:val="54"/>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资源利用上线</w:t>
                  </w:r>
                </w:p>
              </w:tc>
              <w:tc>
                <w:tcPr>
                  <w:tcW w:w="4128" w:type="pct"/>
                  <w:gridSpan w:val="2"/>
                  <w:tcBorders>
                    <w:tl2br w:val="nil"/>
                    <w:tr2bl w:val="nil"/>
                  </w:tcBorders>
                  <w:noWrap w:val="0"/>
                  <w:vAlign w:val="center"/>
                </w:tcPr>
                <w:p w14:paraId="5152B1FC">
                  <w:pPr>
                    <w:pStyle w:val="54"/>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营运过程中消耗一定量的电、水等资源，项目资源消耗量相对区域资源利用总量较少，符合资源利用上线要求。本项目将全过程贯彻清洁生产、循环经济理念，通过采用节水工艺、节电设备、严格执行土地利用规划有关规定。本项目在区域规划划定的资源利用上线内所占比例很小。</w:t>
                  </w:r>
                </w:p>
              </w:tc>
            </w:tr>
            <w:tr w14:paraId="1A520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71" w:type="pct"/>
                  <w:vMerge w:val="restart"/>
                  <w:tcBorders>
                    <w:tl2br w:val="nil"/>
                    <w:tr2bl w:val="nil"/>
                  </w:tcBorders>
                  <w:noWrap w:val="0"/>
                  <w:vAlign w:val="center"/>
                </w:tcPr>
                <w:p w14:paraId="19A5EEDE">
                  <w:pPr>
                    <w:pStyle w:val="54"/>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环境质量底线</w:t>
                  </w:r>
                </w:p>
              </w:tc>
              <w:tc>
                <w:tcPr>
                  <w:tcW w:w="607" w:type="pct"/>
                  <w:tcBorders>
                    <w:tl2br w:val="nil"/>
                    <w:tr2bl w:val="nil"/>
                  </w:tcBorders>
                  <w:noWrap w:val="0"/>
                  <w:vAlign w:val="center"/>
                </w:tcPr>
                <w:p w14:paraId="56ECC2BF">
                  <w:pPr>
                    <w:pStyle w:val="54"/>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大气环境</w:t>
                  </w:r>
                </w:p>
              </w:tc>
              <w:tc>
                <w:tcPr>
                  <w:tcW w:w="3521" w:type="pct"/>
                  <w:tcBorders>
                    <w:tl2br w:val="nil"/>
                    <w:tr2bl w:val="nil"/>
                  </w:tcBorders>
                  <w:noWrap w:val="0"/>
                  <w:vAlign w:val="center"/>
                </w:tcPr>
                <w:p w14:paraId="45B2182C">
                  <w:pPr>
                    <w:pStyle w:val="54"/>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根据《202</w:t>
                  </w:r>
                  <w:r>
                    <w:rPr>
                      <w:rFonts w:hint="eastAsia" w:ascii="Times New Roman" w:hAnsi="Times New Roman" w:eastAsia="宋体" w:cs="Times New Roman"/>
                      <w:color w:val="auto"/>
                      <w:sz w:val="21"/>
                      <w:szCs w:val="21"/>
                      <w:highlight w:val="none"/>
                      <w:vertAlign w:val="baseline"/>
                      <w:lang w:val="en-US" w:eastAsia="zh-CN"/>
                    </w:rPr>
                    <w:t>4</w:t>
                  </w:r>
                  <w:r>
                    <w:rPr>
                      <w:rFonts w:hint="default" w:ascii="Times New Roman" w:hAnsi="Times New Roman" w:eastAsia="宋体" w:cs="Times New Roman"/>
                      <w:color w:val="auto"/>
                      <w:sz w:val="21"/>
                      <w:szCs w:val="21"/>
                      <w:highlight w:val="none"/>
                      <w:vertAlign w:val="baseline"/>
                      <w:lang w:val="en-US" w:eastAsia="zh-CN"/>
                    </w:rPr>
                    <w:t>年淮南市</w:t>
                  </w:r>
                  <w:r>
                    <w:rPr>
                      <w:rFonts w:hint="eastAsia" w:ascii="Times New Roman" w:hAnsi="Times New Roman" w:eastAsia="宋体" w:cs="Times New Roman"/>
                      <w:color w:val="auto"/>
                      <w:sz w:val="21"/>
                      <w:szCs w:val="21"/>
                      <w:highlight w:val="none"/>
                      <w:vertAlign w:val="baseline"/>
                      <w:lang w:val="en-US" w:eastAsia="zh-CN"/>
                    </w:rPr>
                    <w:t>生态</w:t>
                  </w:r>
                  <w:r>
                    <w:rPr>
                      <w:rFonts w:hint="default" w:ascii="Times New Roman" w:hAnsi="Times New Roman" w:eastAsia="宋体" w:cs="Times New Roman"/>
                      <w:color w:val="auto"/>
                      <w:sz w:val="21"/>
                      <w:szCs w:val="21"/>
                      <w:highlight w:val="none"/>
                      <w:vertAlign w:val="baseline"/>
                      <w:lang w:val="en-US" w:eastAsia="zh-CN"/>
                    </w:rPr>
                    <w:t>环境质量状况公报》</w:t>
                  </w:r>
                  <w:r>
                    <w:rPr>
                      <w:rFonts w:hint="eastAsia" w:ascii="Times New Roman" w:hAnsi="Times New Roman" w:eastAsia="宋体" w:cs="Times New Roman"/>
                      <w:color w:val="auto"/>
                      <w:sz w:val="21"/>
                      <w:szCs w:val="21"/>
                      <w:highlight w:val="none"/>
                      <w:vertAlign w:val="baseline"/>
                      <w:lang w:val="en-US" w:eastAsia="zh-CN"/>
                    </w:rPr>
                    <w:t>可知</w:t>
                  </w:r>
                  <w:r>
                    <w:rPr>
                      <w:rFonts w:hint="default" w:ascii="Times New Roman" w:hAnsi="Times New Roman" w:eastAsia="宋体" w:cs="Times New Roman"/>
                      <w:color w:val="auto"/>
                      <w:sz w:val="21"/>
                      <w:szCs w:val="21"/>
                      <w:highlight w:val="none"/>
                      <w:vertAlign w:val="baseline"/>
                      <w:lang w:val="en-US" w:eastAsia="zh-CN"/>
                    </w:rPr>
                    <w:t>，项目所在地为不达标区，</w:t>
                  </w:r>
                  <w:r>
                    <w:rPr>
                      <w:rFonts w:hint="eastAsia" w:ascii="Times New Roman" w:hAnsi="Times New Roman" w:eastAsia="宋体" w:cs="Times New Roman"/>
                      <w:color w:val="auto"/>
                      <w:sz w:val="21"/>
                      <w:szCs w:val="21"/>
                      <w:highlight w:val="none"/>
                      <w:vertAlign w:val="baseline"/>
                      <w:lang w:val="en-US" w:eastAsia="zh-CN"/>
                    </w:rPr>
                    <w:t>PM</w:t>
                  </w:r>
                  <w:r>
                    <w:rPr>
                      <w:rFonts w:hint="eastAsia" w:ascii="Times New Roman" w:hAnsi="Times New Roman" w:eastAsia="宋体" w:cs="Times New Roman"/>
                      <w:color w:val="auto"/>
                      <w:sz w:val="21"/>
                      <w:szCs w:val="21"/>
                      <w:highlight w:val="none"/>
                      <w:vertAlign w:val="subscript"/>
                      <w:lang w:val="en-US" w:eastAsia="zh-CN"/>
                    </w:rPr>
                    <w:t>2.5</w:t>
                  </w:r>
                  <w:r>
                    <w:rPr>
                      <w:rFonts w:hint="eastAsia" w:ascii="Times New Roman" w:hAnsi="Times New Roman" w:eastAsia="宋体" w:cs="Times New Roman"/>
                      <w:color w:val="auto"/>
                      <w:sz w:val="21"/>
                      <w:szCs w:val="21"/>
                      <w:highlight w:val="none"/>
                      <w:vertAlign w:val="baseline"/>
                      <w:lang w:val="en-US" w:eastAsia="zh-CN"/>
                    </w:rPr>
                    <w:t>超标，本项目颗粒物排放量很少，</w:t>
                  </w:r>
                  <w:r>
                    <w:rPr>
                      <w:rFonts w:ascii="Times New Roman" w:hAnsi="Times New Roman" w:eastAsia="宋体"/>
                      <w:color w:val="auto"/>
                      <w:szCs w:val="21"/>
                      <w:highlight w:val="none"/>
                    </w:rPr>
                    <w:t>淮南市人民政府发布了《淮南市大气环境质量限期达标规划》（淮府办秘〔2022〕10号），规划将大幅减少主要大气污染物排放总量，协同减少温室气体排放。</w:t>
                  </w:r>
                </w:p>
              </w:tc>
            </w:tr>
            <w:tr w14:paraId="3CFF9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71" w:type="pct"/>
                  <w:vMerge w:val="continue"/>
                  <w:tcBorders>
                    <w:tl2br w:val="nil"/>
                    <w:tr2bl w:val="nil"/>
                  </w:tcBorders>
                  <w:noWrap w:val="0"/>
                  <w:vAlign w:val="center"/>
                </w:tcPr>
                <w:p w14:paraId="0C692ADE">
                  <w:pPr>
                    <w:pStyle w:val="54"/>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07" w:type="pct"/>
                  <w:tcBorders>
                    <w:tl2br w:val="nil"/>
                    <w:tr2bl w:val="nil"/>
                  </w:tcBorders>
                  <w:noWrap w:val="0"/>
                  <w:vAlign w:val="center"/>
                </w:tcPr>
                <w:p w14:paraId="233BCD88">
                  <w:pPr>
                    <w:pStyle w:val="54"/>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水环境</w:t>
                  </w:r>
                </w:p>
              </w:tc>
              <w:tc>
                <w:tcPr>
                  <w:tcW w:w="3521" w:type="pct"/>
                  <w:tcBorders>
                    <w:tl2br w:val="nil"/>
                    <w:tr2bl w:val="nil"/>
                  </w:tcBorders>
                  <w:noWrap w:val="0"/>
                  <w:vAlign w:val="center"/>
                </w:tcPr>
                <w:p w14:paraId="163FD754">
                  <w:pPr>
                    <w:pStyle w:val="54"/>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根据《</w:t>
                  </w:r>
                  <w:r>
                    <w:rPr>
                      <w:rFonts w:hint="eastAsia" w:ascii="Times New Roman" w:hAnsi="Times New Roman" w:eastAsia="宋体" w:cs="Times New Roman"/>
                      <w:color w:val="auto"/>
                      <w:sz w:val="21"/>
                      <w:szCs w:val="21"/>
                      <w:highlight w:val="none"/>
                      <w:vertAlign w:val="baseline"/>
                      <w:lang w:val="en-US" w:eastAsia="zh-CN"/>
                    </w:rPr>
                    <w:t>2024年淮南市生态环境质量状况公报</w:t>
                  </w:r>
                  <w:r>
                    <w:rPr>
                      <w:rFonts w:hint="default" w:ascii="Times New Roman" w:hAnsi="Times New Roman" w:eastAsia="宋体" w:cs="Times New Roman"/>
                      <w:color w:val="auto"/>
                      <w:sz w:val="21"/>
                      <w:szCs w:val="21"/>
                      <w:highlight w:val="none"/>
                      <w:vertAlign w:val="baseline"/>
                      <w:lang w:val="en-US" w:eastAsia="zh-CN"/>
                    </w:rPr>
                    <w:t>》，本项目所在地表水</w:t>
                  </w:r>
                  <w:r>
                    <w:rPr>
                      <w:rFonts w:hint="eastAsia" w:ascii="Times New Roman" w:hAnsi="Times New Roman" w:eastAsia="宋体" w:cs="Times New Roman"/>
                      <w:color w:val="auto"/>
                      <w:sz w:val="21"/>
                      <w:szCs w:val="21"/>
                      <w:highlight w:val="none"/>
                      <w:vertAlign w:val="baseline"/>
                      <w:lang w:val="en-US" w:eastAsia="zh-CN"/>
                    </w:rPr>
                    <w:t>泥河</w:t>
                  </w:r>
                  <w:r>
                    <w:rPr>
                      <w:rFonts w:hint="default" w:ascii="Times New Roman" w:hAnsi="Times New Roman" w:eastAsia="宋体" w:cs="Times New Roman"/>
                      <w:color w:val="auto"/>
                      <w:sz w:val="21"/>
                      <w:szCs w:val="21"/>
                      <w:highlight w:val="none"/>
                      <w:vertAlign w:val="baseline"/>
                      <w:lang w:val="en-US" w:eastAsia="zh-CN"/>
                    </w:rPr>
                    <w:t>水质满足《地表水环境质量标准》（GB3838-2002）中Ⅲ类标准</w:t>
                  </w:r>
                  <w:r>
                    <w:rPr>
                      <w:rFonts w:hint="eastAsia"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i w:val="0"/>
                      <w:iCs w:val="0"/>
                      <w:color w:val="auto"/>
                      <w:kern w:val="2"/>
                      <w:sz w:val="21"/>
                      <w:szCs w:val="21"/>
                      <w:u w:val="none"/>
                      <w:lang w:val="en-US" w:eastAsia="zh-CN" w:bidi="ar-SA"/>
                    </w:rPr>
                    <w:t>生活污水经化粪池收集后与冷却循环水排水、水帘循环水排水一起由市政污水管网排入淮南市潘集污水处理厂</w:t>
                  </w:r>
                  <w:r>
                    <w:rPr>
                      <w:rFonts w:hint="eastAsia" w:ascii="Times New Roman" w:hAnsi="Times New Roman" w:eastAsia="宋体"/>
                      <w:color w:val="auto"/>
                      <w:szCs w:val="21"/>
                      <w:lang w:eastAsia="zh-CN"/>
                    </w:rPr>
                    <w:t>。</w:t>
                  </w:r>
                </w:p>
              </w:tc>
            </w:tr>
            <w:tr w14:paraId="2C0EE7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71" w:type="pct"/>
                  <w:vMerge w:val="continue"/>
                  <w:tcBorders>
                    <w:tl2br w:val="nil"/>
                    <w:tr2bl w:val="nil"/>
                  </w:tcBorders>
                  <w:noWrap w:val="0"/>
                  <w:vAlign w:val="center"/>
                </w:tcPr>
                <w:p w14:paraId="05A3FE57">
                  <w:pPr>
                    <w:pStyle w:val="54"/>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07" w:type="pct"/>
                  <w:tcBorders>
                    <w:tl2br w:val="nil"/>
                    <w:tr2bl w:val="nil"/>
                  </w:tcBorders>
                  <w:noWrap w:val="0"/>
                  <w:vAlign w:val="center"/>
                </w:tcPr>
                <w:p w14:paraId="32743298">
                  <w:pPr>
                    <w:pStyle w:val="54"/>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土壤环境</w:t>
                  </w:r>
                </w:p>
              </w:tc>
              <w:tc>
                <w:tcPr>
                  <w:tcW w:w="3521" w:type="pct"/>
                  <w:tcBorders>
                    <w:tl2br w:val="nil"/>
                    <w:tr2bl w:val="nil"/>
                  </w:tcBorders>
                  <w:noWrap w:val="0"/>
                  <w:vAlign w:val="center"/>
                </w:tcPr>
                <w:p w14:paraId="649AB4F5">
                  <w:pPr>
                    <w:pStyle w:val="54"/>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olor w:val="auto"/>
                      <w:highlight w:val="none"/>
                      <w:vertAlign w:val="baseline"/>
                      <w:lang w:val="en-US" w:eastAsia="zh-CN"/>
                    </w:rPr>
                    <w:t>项目厂区采取分区防渗措施，设重点防渗区、一般防渗区，防止对土壤环境的污染。</w:t>
                  </w:r>
                </w:p>
              </w:tc>
            </w:tr>
            <w:tr w14:paraId="197C7C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71" w:type="pct"/>
                  <w:tcBorders>
                    <w:tl2br w:val="nil"/>
                    <w:tr2bl w:val="nil"/>
                  </w:tcBorders>
                  <w:noWrap w:val="0"/>
                  <w:vAlign w:val="center"/>
                </w:tcPr>
                <w:p w14:paraId="0B537C79">
                  <w:pPr>
                    <w:pStyle w:val="54"/>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生态环境准入清单</w:t>
                  </w:r>
                </w:p>
              </w:tc>
              <w:tc>
                <w:tcPr>
                  <w:tcW w:w="4128" w:type="pct"/>
                  <w:gridSpan w:val="2"/>
                  <w:tcBorders>
                    <w:tl2br w:val="nil"/>
                    <w:tr2bl w:val="nil"/>
                  </w:tcBorders>
                  <w:noWrap w:val="0"/>
                  <w:vAlign w:val="center"/>
                </w:tcPr>
                <w:p w14:paraId="0922BB25">
                  <w:pPr>
                    <w:pStyle w:val="54"/>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pacing w:val="-2"/>
                      <w:kern w:val="0"/>
                      <w:sz w:val="21"/>
                      <w:szCs w:val="21"/>
                      <w:lang w:val="en-US" w:eastAsia="zh-CN"/>
                    </w:rPr>
                    <w:t>对照</w:t>
                  </w:r>
                  <w:r>
                    <w:rPr>
                      <w:rFonts w:hint="default" w:ascii="Times New Roman" w:hAnsi="Times New Roman" w:eastAsia="宋体" w:cs="Times New Roman"/>
                      <w:color w:val="auto"/>
                      <w:spacing w:val="-2"/>
                      <w:kern w:val="0"/>
                      <w:sz w:val="21"/>
                      <w:szCs w:val="21"/>
                    </w:rPr>
                    <w:t>《产业结构调整指导目录》（20</w:t>
                  </w:r>
                  <w:r>
                    <w:rPr>
                      <w:rFonts w:hint="default" w:ascii="Times New Roman" w:hAnsi="Times New Roman" w:eastAsia="宋体" w:cs="Times New Roman"/>
                      <w:color w:val="auto"/>
                      <w:spacing w:val="-2"/>
                      <w:kern w:val="0"/>
                      <w:sz w:val="21"/>
                      <w:szCs w:val="21"/>
                      <w:lang w:val="en-US" w:eastAsia="zh-CN"/>
                    </w:rPr>
                    <w:t>24</w:t>
                  </w:r>
                  <w:r>
                    <w:rPr>
                      <w:rFonts w:hint="default" w:ascii="Times New Roman" w:hAnsi="Times New Roman" w:eastAsia="宋体" w:cs="Times New Roman"/>
                      <w:color w:val="auto"/>
                      <w:spacing w:val="-2"/>
                      <w:kern w:val="0"/>
                      <w:sz w:val="21"/>
                      <w:szCs w:val="21"/>
                    </w:rPr>
                    <w:t>年</w:t>
                  </w:r>
                  <w:r>
                    <w:rPr>
                      <w:rFonts w:hint="default" w:ascii="Times New Roman" w:hAnsi="Times New Roman" w:eastAsia="宋体" w:cs="Times New Roman"/>
                      <w:color w:val="auto"/>
                      <w:spacing w:val="-2"/>
                      <w:kern w:val="0"/>
                      <w:sz w:val="21"/>
                      <w:szCs w:val="21"/>
                      <w:lang w:val="en-US" w:eastAsia="zh-CN"/>
                    </w:rPr>
                    <w:t>本</w:t>
                  </w:r>
                  <w:r>
                    <w:rPr>
                      <w:rFonts w:hint="default" w:ascii="Times New Roman" w:hAnsi="Times New Roman" w:eastAsia="宋体" w:cs="Times New Roman"/>
                      <w:color w:val="auto"/>
                      <w:spacing w:val="-2"/>
                      <w:kern w:val="0"/>
                      <w:sz w:val="21"/>
                      <w:szCs w:val="21"/>
                    </w:rPr>
                    <w:t>）</w:t>
                  </w:r>
                  <w:r>
                    <w:rPr>
                      <w:rFonts w:hint="default" w:ascii="Times New Roman" w:hAnsi="Times New Roman" w:eastAsia="宋体" w:cs="Times New Roman"/>
                      <w:color w:val="auto"/>
                      <w:spacing w:val="-2"/>
                      <w:kern w:val="0"/>
                      <w:sz w:val="21"/>
                      <w:szCs w:val="21"/>
                      <w:lang w:eastAsia="zh-CN"/>
                    </w:rPr>
                    <w:t>，</w:t>
                  </w:r>
                  <w:r>
                    <w:rPr>
                      <w:rFonts w:hint="default" w:ascii="Times New Roman" w:hAnsi="Times New Roman" w:eastAsia="宋体" w:cs="Times New Roman"/>
                      <w:color w:val="auto"/>
                      <w:spacing w:val="-2"/>
                      <w:kern w:val="0"/>
                      <w:sz w:val="21"/>
                      <w:szCs w:val="21"/>
                      <w:lang w:val="en-US" w:eastAsia="zh-CN"/>
                    </w:rPr>
                    <w:t>本项目不属于淘汰类、限制类，</w:t>
                  </w:r>
                  <w:r>
                    <w:rPr>
                      <w:rFonts w:hint="default" w:ascii="Times New Roman" w:hAnsi="Times New Roman" w:eastAsia="宋体" w:cs="Times New Roman"/>
                      <w:color w:val="auto"/>
                      <w:szCs w:val="21"/>
                      <w:lang w:val="en-US" w:eastAsia="zh-CN"/>
                    </w:rPr>
                    <w:t>视为允许类。</w:t>
                  </w:r>
                  <w:r>
                    <w:rPr>
                      <w:rFonts w:hint="eastAsia" w:ascii="Times New Roman" w:hAnsi="Times New Roman" w:eastAsia="宋体" w:cs="Times New Roman"/>
                      <w:color w:val="auto"/>
                      <w:szCs w:val="21"/>
                      <w:lang w:val="en-US" w:eastAsia="zh-CN"/>
                    </w:rPr>
                    <w:t>本项目亦不属于园区入区工业项目中的禁止进入、控制进入、严格控制类。</w:t>
                  </w:r>
                </w:p>
              </w:tc>
            </w:tr>
          </w:tbl>
          <w:p w14:paraId="1B9FA0D3">
            <w:pPr>
              <w:shd w:val="clear"/>
              <w:bidi w:val="0"/>
              <w:ind w:left="0" w:leftChars="0"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②与</w:t>
            </w:r>
            <w:r>
              <w:rPr>
                <w:rFonts w:hint="default" w:ascii="Times New Roman" w:hAnsi="Times New Roman" w:cs="Times New Roman"/>
                <w:color w:val="000000" w:themeColor="text1"/>
                <w:highlight w:val="none"/>
                <w:lang w:val="en-US" w:eastAsia="zh-CN"/>
                <w14:textFill>
                  <w14:solidFill>
                    <w14:schemeClr w14:val="tx1"/>
                  </w14:solidFill>
                </w14:textFill>
              </w:rPr>
              <w:t>淮南市</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“三线一单”</w:t>
            </w:r>
            <w:r>
              <w:rPr>
                <w:rFonts w:hint="default" w:ascii="Times New Roman" w:hAnsi="Times New Roman" w:cs="Times New Roman"/>
                <w:color w:val="000000" w:themeColor="text1"/>
                <w:highlight w:val="none"/>
                <w:lang w:val="en-US" w:eastAsia="zh-CN"/>
                <w14:textFill>
                  <w14:solidFill>
                    <w14:schemeClr w14:val="tx1"/>
                  </w14:solidFill>
                </w14:textFill>
              </w:rPr>
              <w:t>分区管控</w:t>
            </w:r>
            <w:r>
              <w:rPr>
                <w:rFonts w:hint="default" w:ascii="Times New Roman" w:hAnsi="Times New Roman" w:eastAsia="宋体" w:cs="Times New Roman"/>
                <w:color w:val="000000" w:themeColor="text1"/>
                <w:highlight w:val="none"/>
                <w:lang w:val="en-US" w:eastAsia="zh-CN"/>
                <w14:textFill>
                  <w14:solidFill>
                    <w14:schemeClr w14:val="tx1"/>
                  </w14:solidFill>
                </w14:textFill>
              </w:rPr>
              <w:t>相符性分析</w:t>
            </w:r>
          </w:p>
          <w:p w14:paraId="06D47A3A">
            <w:pPr>
              <w:widowControl/>
              <w:ind w:firstLine="480" w:firstLineChars="200"/>
              <w:rPr>
                <w:rFonts w:hint="default" w:ascii="Times New Roman" w:hAnsi="Times New Roman" w:eastAsia="宋体" w:cs="Times New Roman"/>
                <w:b w:val="0"/>
                <w:bCs w:val="0"/>
                <w:color w:val="000000"/>
                <w:lang w:val="en-US" w:eastAsia="zh-CN"/>
              </w:rPr>
            </w:pPr>
            <w:r>
              <w:rPr>
                <w:rFonts w:hint="default" w:ascii="Times New Roman" w:hAnsi="Times New Roman" w:eastAsia="宋体" w:cs="Times New Roman"/>
                <w:b w:val="0"/>
                <w:bCs w:val="0"/>
                <w:color w:val="000000"/>
                <w:lang w:val="en-US" w:eastAsia="zh-CN"/>
              </w:rPr>
              <w:t>根据项目选址经纬度坐标，通过安徽省“三线一单”公众服务平台得到本项目生态环境分区管控要求。</w:t>
            </w:r>
          </w:p>
          <w:p w14:paraId="400559A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default" w:ascii="Times New Roman" w:hAnsi="Times New Roman" w:cs="Times New Roman"/>
                <w:b/>
                <w:bCs/>
                <w:color w:val="auto"/>
                <w:sz w:val="21"/>
                <w:szCs w:val="21"/>
                <w:lang w:val="en-US" w:eastAsia="zh-CN"/>
              </w:rPr>
              <w:t>-</w:t>
            </w:r>
            <w:r>
              <w:rPr>
                <w:rFonts w:hint="eastAsia" w:cs="Times New Roman"/>
                <w:b/>
                <w:bCs/>
                <w:color w:val="auto"/>
                <w:sz w:val="21"/>
                <w:szCs w:val="21"/>
                <w:lang w:val="en-US" w:eastAsia="zh-CN"/>
              </w:rPr>
              <w:t xml:space="preserve">4  </w:t>
            </w:r>
            <w:r>
              <w:rPr>
                <w:rFonts w:hint="default" w:ascii="Times New Roman" w:hAnsi="Times New Roman" w:eastAsia="宋体" w:cs="Times New Roman"/>
                <w:b/>
                <w:bCs/>
                <w:color w:val="auto"/>
                <w:sz w:val="21"/>
                <w:szCs w:val="21"/>
                <w:lang w:val="en-US" w:eastAsia="zh-CN"/>
              </w:rPr>
              <w:t>项目涉及环境管控单元情况表</w:t>
            </w:r>
          </w:p>
          <w:tbl>
            <w:tblPr>
              <w:tblStyle w:val="30"/>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1280"/>
              <w:gridCol w:w="2529"/>
              <w:gridCol w:w="1759"/>
            </w:tblGrid>
            <w:tr w14:paraId="0F43A2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1447" w:type="pct"/>
                  <w:tcBorders>
                    <w:tl2br w:val="nil"/>
                    <w:tr2bl w:val="nil"/>
                  </w:tcBorders>
                  <w:noWrap w:val="0"/>
                  <w:vAlign w:val="center"/>
                </w:tcPr>
                <w:p w14:paraId="12E33FC2">
                  <w:pPr>
                    <w:pStyle w:val="27"/>
                    <w:keepNext w:val="0"/>
                    <w:keepLines w:val="0"/>
                    <w:pageBreakBefore w:val="0"/>
                    <w:widowControl/>
                    <w:kinsoku/>
                    <w:wordWrap/>
                    <w:overflowPunct/>
                    <w:topLinePunct w:val="0"/>
                    <w:autoSpaceDE/>
                    <w:autoSpaceDN/>
                    <w:bidi w:val="0"/>
                    <w:adjustRightInd/>
                    <w:snapToGrid w:val="0"/>
                    <w:spacing w:before="0" w:after="0"/>
                    <w:ind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行政区</w:t>
                  </w:r>
                </w:p>
              </w:tc>
              <w:tc>
                <w:tcPr>
                  <w:tcW w:w="817" w:type="pct"/>
                  <w:tcBorders>
                    <w:tl2br w:val="nil"/>
                    <w:tr2bl w:val="nil"/>
                  </w:tcBorders>
                  <w:noWrap w:val="0"/>
                  <w:vAlign w:val="center"/>
                </w:tcPr>
                <w:p w14:paraId="0DED82AF">
                  <w:pPr>
                    <w:pStyle w:val="27"/>
                    <w:keepNext w:val="0"/>
                    <w:keepLines w:val="0"/>
                    <w:pageBreakBefore w:val="0"/>
                    <w:widowControl/>
                    <w:kinsoku/>
                    <w:wordWrap/>
                    <w:overflowPunct/>
                    <w:topLinePunct w:val="0"/>
                    <w:autoSpaceDE/>
                    <w:autoSpaceDN/>
                    <w:bidi w:val="0"/>
                    <w:adjustRightInd/>
                    <w:snapToGrid w:val="0"/>
                    <w:spacing w:before="0" w:after="0"/>
                    <w:ind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管控单元</w:t>
                  </w:r>
                </w:p>
              </w:tc>
              <w:tc>
                <w:tcPr>
                  <w:tcW w:w="1614" w:type="pct"/>
                  <w:tcBorders>
                    <w:tl2br w:val="nil"/>
                    <w:tr2bl w:val="nil"/>
                  </w:tcBorders>
                  <w:noWrap w:val="0"/>
                  <w:vAlign w:val="center"/>
                </w:tcPr>
                <w:p w14:paraId="3C37D055">
                  <w:pPr>
                    <w:pStyle w:val="27"/>
                    <w:keepNext w:val="0"/>
                    <w:keepLines w:val="0"/>
                    <w:pageBreakBefore w:val="0"/>
                    <w:widowControl/>
                    <w:kinsoku/>
                    <w:wordWrap/>
                    <w:overflowPunct/>
                    <w:topLinePunct w:val="0"/>
                    <w:autoSpaceDE/>
                    <w:autoSpaceDN/>
                    <w:bidi w:val="0"/>
                    <w:adjustRightInd/>
                    <w:snapToGrid w:val="0"/>
                    <w:spacing w:before="0" w:after="0"/>
                    <w:ind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管控单元细类</w:t>
                  </w:r>
                </w:p>
              </w:tc>
              <w:tc>
                <w:tcPr>
                  <w:tcW w:w="1120" w:type="pct"/>
                  <w:tcBorders>
                    <w:tl2br w:val="nil"/>
                    <w:tr2bl w:val="nil"/>
                  </w:tcBorders>
                  <w:noWrap w:val="0"/>
                  <w:vAlign w:val="center"/>
                </w:tcPr>
                <w:p w14:paraId="2FB04B30">
                  <w:pPr>
                    <w:pStyle w:val="27"/>
                    <w:keepNext w:val="0"/>
                    <w:keepLines w:val="0"/>
                    <w:pageBreakBefore w:val="0"/>
                    <w:widowControl/>
                    <w:kinsoku/>
                    <w:wordWrap/>
                    <w:overflowPunct/>
                    <w:topLinePunct w:val="0"/>
                    <w:autoSpaceDE/>
                    <w:autoSpaceDN/>
                    <w:bidi w:val="0"/>
                    <w:adjustRightInd/>
                    <w:snapToGrid w:val="0"/>
                    <w:spacing w:before="0" w:after="0"/>
                    <w:ind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编码</w:t>
                  </w:r>
                </w:p>
              </w:tc>
            </w:tr>
            <w:tr w14:paraId="3E428A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7" w:type="pct"/>
                  <w:tcBorders>
                    <w:tl2br w:val="nil"/>
                    <w:tr2bl w:val="nil"/>
                  </w:tcBorders>
                  <w:noWrap w:val="0"/>
                  <w:vAlign w:val="center"/>
                </w:tcPr>
                <w:p w14:paraId="0CB7C05B">
                  <w:pPr>
                    <w:pStyle w:val="27"/>
                    <w:keepNext w:val="0"/>
                    <w:keepLines w:val="0"/>
                    <w:pageBreakBefore w:val="0"/>
                    <w:widowControl/>
                    <w:kinsoku/>
                    <w:wordWrap/>
                    <w:overflowPunct/>
                    <w:topLinePunct w:val="0"/>
                    <w:autoSpaceDE/>
                    <w:autoSpaceDN/>
                    <w:bidi w:val="0"/>
                    <w:adjustRightInd/>
                    <w:snapToGrid w:val="0"/>
                    <w:spacing w:before="0" w:after="0"/>
                    <w:ind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安徽省</w:t>
                  </w:r>
                  <w:r>
                    <w:rPr>
                      <w:rFonts w:hint="default" w:ascii="Times New Roman" w:hAnsi="Times New Roman" w:cs="Times New Roman"/>
                      <w:color w:val="auto"/>
                      <w:sz w:val="21"/>
                      <w:szCs w:val="21"/>
                      <w:highlight w:val="none"/>
                      <w:vertAlign w:val="baseline"/>
                      <w:lang w:val="en-US" w:eastAsia="zh-CN"/>
                    </w:rPr>
                    <w:t>淮南市潘集区</w:t>
                  </w:r>
                </w:p>
              </w:tc>
              <w:tc>
                <w:tcPr>
                  <w:tcW w:w="817" w:type="pct"/>
                  <w:tcBorders>
                    <w:tl2br w:val="nil"/>
                    <w:tr2bl w:val="nil"/>
                  </w:tcBorders>
                  <w:noWrap w:val="0"/>
                  <w:vAlign w:val="center"/>
                </w:tcPr>
                <w:p w14:paraId="10F200A1">
                  <w:pPr>
                    <w:pStyle w:val="27"/>
                    <w:keepNext w:val="0"/>
                    <w:keepLines w:val="0"/>
                    <w:pageBreakBefore w:val="0"/>
                    <w:widowControl/>
                    <w:kinsoku/>
                    <w:wordWrap/>
                    <w:overflowPunct/>
                    <w:topLinePunct w:val="0"/>
                    <w:autoSpaceDE/>
                    <w:autoSpaceDN/>
                    <w:bidi w:val="0"/>
                    <w:adjustRightInd/>
                    <w:snapToGrid w:val="0"/>
                    <w:spacing w:before="0" w:after="0"/>
                    <w:ind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重点管控单元</w:t>
                  </w:r>
                </w:p>
              </w:tc>
              <w:tc>
                <w:tcPr>
                  <w:tcW w:w="1614" w:type="pct"/>
                  <w:tcBorders>
                    <w:tl2br w:val="nil"/>
                    <w:tr2bl w:val="nil"/>
                  </w:tcBorders>
                  <w:noWrap w:val="0"/>
                  <w:vAlign w:val="center"/>
                </w:tcPr>
                <w:p w14:paraId="7B78BDF9">
                  <w:pPr>
                    <w:pStyle w:val="27"/>
                    <w:keepNext w:val="0"/>
                    <w:keepLines w:val="0"/>
                    <w:pageBreakBefore w:val="0"/>
                    <w:widowControl/>
                    <w:kinsoku/>
                    <w:wordWrap/>
                    <w:overflowPunct/>
                    <w:topLinePunct w:val="0"/>
                    <w:autoSpaceDE/>
                    <w:autoSpaceDN/>
                    <w:bidi w:val="0"/>
                    <w:adjustRightInd/>
                    <w:snapToGrid w:val="0"/>
                    <w:spacing w:before="0" w:after="0"/>
                    <w:ind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i w:val="0"/>
                      <w:iCs w:val="0"/>
                      <w:caps w:val="0"/>
                      <w:color w:val="auto"/>
                      <w:spacing w:val="0"/>
                      <w:sz w:val="21"/>
                      <w:szCs w:val="21"/>
                      <w:shd w:val="clear" w:color="auto" w:fill="FFFFFF"/>
                      <w:lang w:val="en-US" w:eastAsia="zh-CN"/>
                    </w:rPr>
                    <w:t>水重点/大气</w:t>
                  </w:r>
                  <w:r>
                    <w:rPr>
                      <w:rFonts w:hint="default" w:ascii="Times New Roman" w:hAnsi="Times New Roman" w:eastAsia="宋体" w:cs="Times New Roman"/>
                      <w:i w:val="0"/>
                      <w:iCs w:val="0"/>
                      <w:caps w:val="0"/>
                      <w:color w:val="auto"/>
                      <w:spacing w:val="0"/>
                      <w:sz w:val="21"/>
                      <w:szCs w:val="21"/>
                      <w:shd w:val="clear" w:color="auto" w:fill="FFFFFF"/>
                    </w:rPr>
                    <w:t>重点/</w:t>
                  </w:r>
                  <w:r>
                    <w:rPr>
                      <w:rFonts w:hint="default" w:ascii="Times New Roman" w:hAnsi="Times New Roman" w:cs="Times New Roman"/>
                      <w:i w:val="0"/>
                      <w:iCs w:val="0"/>
                      <w:caps w:val="0"/>
                      <w:color w:val="auto"/>
                      <w:spacing w:val="0"/>
                      <w:sz w:val="21"/>
                      <w:szCs w:val="21"/>
                      <w:shd w:val="clear" w:color="auto" w:fill="FFFFFF"/>
                      <w:lang w:val="en-US" w:eastAsia="zh-CN"/>
                    </w:rPr>
                    <w:t>土</w:t>
                  </w:r>
                  <w:r>
                    <w:rPr>
                      <w:rFonts w:hint="default" w:ascii="Times New Roman" w:hAnsi="Times New Roman" w:eastAsia="宋体" w:cs="Times New Roman"/>
                      <w:i w:val="0"/>
                      <w:iCs w:val="0"/>
                      <w:caps w:val="0"/>
                      <w:color w:val="auto"/>
                      <w:spacing w:val="0"/>
                      <w:sz w:val="21"/>
                      <w:szCs w:val="21"/>
                      <w:shd w:val="clear" w:color="auto" w:fill="FFFFFF"/>
                    </w:rPr>
                    <w:t>重点</w:t>
                  </w:r>
                </w:p>
              </w:tc>
              <w:tc>
                <w:tcPr>
                  <w:tcW w:w="1120" w:type="pct"/>
                  <w:tcBorders>
                    <w:tl2br w:val="nil"/>
                    <w:tr2bl w:val="nil"/>
                  </w:tcBorders>
                  <w:noWrap w:val="0"/>
                  <w:vAlign w:val="center"/>
                </w:tcPr>
                <w:p w14:paraId="5C6EB711">
                  <w:pPr>
                    <w:pStyle w:val="27"/>
                    <w:keepNext w:val="0"/>
                    <w:keepLines w:val="0"/>
                    <w:pageBreakBefore w:val="0"/>
                    <w:widowControl/>
                    <w:kinsoku/>
                    <w:wordWrap/>
                    <w:overflowPunct/>
                    <w:topLinePunct w:val="0"/>
                    <w:autoSpaceDE/>
                    <w:autoSpaceDN/>
                    <w:bidi w:val="0"/>
                    <w:adjustRightInd/>
                    <w:snapToGrid w:val="0"/>
                    <w:spacing w:before="0" w:after="0"/>
                    <w:ind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ZH34040620192</w:t>
                  </w:r>
                </w:p>
              </w:tc>
            </w:tr>
            <w:tr w14:paraId="705A28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l2br w:val="nil"/>
                    <w:tr2bl w:val="nil"/>
                  </w:tcBorders>
                  <w:noWrap w:val="0"/>
                  <w:vAlign w:val="center"/>
                </w:tcPr>
                <w:p w14:paraId="300A2311">
                  <w:pPr>
                    <w:pStyle w:val="27"/>
                    <w:keepNext w:val="0"/>
                    <w:keepLines w:val="0"/>
                    <w:pageBreakBefore w:val="0"/>
                    <w:widowControl/>
                    <w:kinsoku/>
                    <w:wordWrap/>
                    <w:overflowPunct/>
                    <w:topLinePunct w:val="0"/>
                    <w:autoSpaceDE/>
                    <w:autoSpaceDN/>
                    <w:bidi w:val="0"/>
                    <w:adjustRightInd/>
                    <w:snapToGrid w:val="0"/>
                    <w:spacing w:before="0" w:after="0"/>
                    <w:ind w:right="0" w:firstLine="0" w:firstLineChars="0"/>
                    <w:jc w:val="center"/>
                    <w:textAlignment w:val="auto"/>
                    <w:rPr>
                      <w:rFonts w:hint="default" w:ascii="Times New Roman" w:hAnsi="Times New Roman" w:cs="Times New Roman"/>
                      <w:b/>
                      <w:bCs/>
                    </w:rPr>
                  </w:pPr>
                  <w:r>
                    <w:rPr>
                      <w:rFonts w:hint="default" w:ascii="Times New Roman" w:hAnsi="Times New Roman" w:cs="Times New Roman"/>
                      <w:sz w:val="21"/>
                    </w:rPr>
                    <mc:AlternateContent>
                      <mc:Choice Requires="wps">
                        <w:drawing>
                          <wp:anchor distT="0" distB="0" distL="114300" distR="114300" simplePos="0" relativeHeight="251662336" behindDoc="0" locked="0" layoutInCell="1" allowOverlap="1">
                            <wp:simplePos x="0" y="0"/>
                            <wp:positionH relativeFrom="column">
                              <wp:posOffset>1036320</wp:posOffset>
                            </wp:positionH>
                            <wp:positionV relativeFrom="paragraph">
                              <wp:posOffset>895350</wp:posOffset>
                            </wp:positionV>
                            <wp:extent cx="752475" cy="295275"/>
                            <wp:effectExtent l="6350" t="6350" r="155575" b="365125"/>
                            <wp:wrapNone/>
                            <wp:docPr id="6" name="矩形标注 6"/>
                            <wp:cNvGraphicFramePr/>
                            <a:graphic xmlns:a="http://schemas.openxmlformats.org/drawingml/2006/main">
                              <a:graphicData uri="http://schemas.microsoft.com/office/word/2010/wordprocessingShape">
                                <wps:wsp>
                                  <wps:cNvSpPr/>
                                  <wps:spPr>
                                    <a:xfrm>
                                      <a:off x="3280410" y="5783580"/>
                                      <a:ext cx="752475" cy="295275"/>
                                    </a:xfrm>
                                    <a:prstGeom prst="wedgeRectCallout">
                                      <a:avLst>
                                        <a:gd name="adj1" fmla="val 67383"/>
                                        <a:gd name="adj2" fmla="val 167419"/>
                                      </a:avLst>
                                    </a:prstGeom>
                                    <a:solidFill>
                                      <a:schemeClr val="bg1"/>
                                    </a:solid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C8120B9">
                                        <w:pPr>
                                          <w:jc w:val="center"/>
                                          <w:rPr>
                                            <w:rFonts w:hint="eastAsia" w:eastAsia="宋体"/>
                                            <w:color w:val="FF0000"/>
                                            <w:sz w:val="22"/>
                                            <w:szCs w:val="22"/>
                                            <w:lang w:val="en-US" w:eastAsia="zh-CN"/>
                                          </w:rPr>
                                        </w:pPr>
                                        <w:r>
                                          <w:rPr>
                                            <w:rFonts w:hint="eastAsia"/>
                                            <w:color w:val="FF0000"/>
                                            <w:sz w:val="22"/>
                                            <w:szCs w:val="22"/>
                                            <w:lang w:val="en-US" w:eastAsia="zh-CN"/>
                                          </w:rPr>
                                          <w:t>项目地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81.6pt;margin-top:70.5pt;height:23.25pt;width:59.25pt;z-index:251662336;v-text-anchor:middle;mso-width-relative:page;mso-height-relative:page;" fillcolor="#FFFFFF [3212]" filled="t" stroked="t" coordsize="21600,21600" o:gfxdata="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9gU7D9oAAAALAQAADwAAAAAAAAABACAAAAAiAAAAZHJz&#10;L2Rvd25yZXYueG1sUEsBAhQAFAAAAAgAh07iQPOHGlatAgAAVwUAAA4AAAAAAAAAAQAgAAAAKQEA&#10;AGRycy9lMm9Eb2MueG1sUEsFBgAAAAAGAAYAWQEAAEgGAAAAAA==&#10;" adj="25355,46963">
                            <v:fill on="t" focussize="0,0"/>
                            <v:stroke weight="1pt" color="#000000 [3213]" joinstyle="round"/>
                            <v:imagedata o:title=""/>
                            <o:lock v:ext="edit" aspectratio="f"/>
                            <v:textbox>
                              <w:txbxContent>
                                <w:p w14:paraId="1C8120B9">
                                  <w:pPr>
                                    <w:jc w:val="center"/>
                                    <w:rPr>
                                      <w:rFonts w:hint="eastAsia" w:eastAsia="宋体"/>
                                      <w:color w:val="FF0000"/>
                                      <w:sz w:val="22"/>
                                      <w:szCs w:val="22"/>
                                      <w:lang w:val="en-US" w:eastAsia="zh-CN"/>
                                    </w:rPr>
                                  </w:pPr>
                                  <w:r>
                                    <w:rPr>
                                      <w:rFonts w:hint="eastAsia"/>
                                      <w:color w:val="FF0000"/>
                                      <w:sz w:val="22"/>
                                      <w:szCs w:val="22"/>
                                      <w:lang w:val="en-US" w:eastAsia="zh-CN"/>
                                    </w:rPr>
                                    <w:t>项目地</w:t>
                                  </w:r>
                                </w:p>
                              </w:txbxContent>
                            </v:textbox>
                          </v:shape>
                        </w:pict>
                      </mc:Fallback>
                    </mc:AlternateContent>
                  </w:r>
                  <w:r>
                    <w:rPr>
                      <w:rFonts w:hint="default" w:ascii="Times New Roman" w:hAnsi="Times New Roman" w:cs="Times New Roman"/>
                    </w:rPr>
                    <w:drawing>
                      <wp:inline distT="0" distB="0" distL="114300" distR="114300">
                        <wp:extent cx="4828540" cy="2600325"/>
                        <wp:effectExtent l="0" t="0" r="10160" b="9525"/>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12"/>
                                <a:stretch>
                                  <a:fillRect/>
                                </a:stretch>
                              </pic:blipFill>
                              <pic:spPr>
                                <a:xfrm>
                                  <a:off x="0" y="0"/>
                                  <a:ext cx="4828540" cy="2600325"/>
                                </a:xfrm>
                                <a:prstGeom prst="rect">
                                  <a:avLst/>
                                </a:prstGeom>
                                <a:noFill/>
                                <a:ln>
                                  <a:noFill/>
                                </a:ln>
                              </pic:spPr>
                            </pic:pic>
                          </a:graphicData>
                        </a:graphic>
                      </wp:inline>
                    </w:drawing>
                  </w:r>
                </w:p>
                <w:p w14:paraId="79B1C5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b/>
                      <w:bCs/>
                      <w:color w:val="000000" w:themeColor="text1"/>
                      <w:sz w:val="21"/>
                      <w:szCs w:val="21"/>
                      <w14:textFill>
                        <w14:solidFill>
                          <w14:schemeClr w14:val="tx1"/>
                        </w14:solidFill>
                      </w14:textFill>
                    </w:rPr>
                    <w:t>图</w:t>
                  </w:r>
                  <w:r>
                    <w:rPr>
                      <w:rFonts w:hint="default" w:ascii="Times New Roman" w:hAnsi="Times New Roman" w:cs="Times New Roman"/>
                      <w:b/>
                      <w:bCs/>
                      <w:color w:val="000000" w:themeColor="text1"/>
                      <w:sz w:val="21"/>
                      <w:szCs w:val="21"/>
                      <w:lang w:val="en-US" w:eastAsia="zh-CN"/>
                      <w14:textFill>
                        <w14:solidFill>
                          <w14:schemeClr w14:val="tx1"/>
                        </w14:solidFill>
                      </w14:textFill>
                    </w:rPr>
                    <w:t>1-</w:t>
                  </w:r>
                  <w:r>
                    <w:rPr>
                      <w:rFonts w:hint="eastAsia" w:cs="Times New Roman"/>
                      <w:b/>
                      <w:bCs/>
                      <w:color w:val="000000" w:themeColor="text1"/>
                      <w:sz w:val="21"/>
                      <w:szCs w:val="21"/>
                      <w:lang w:val="en-US" w:eastAsia="zh-CN"/>
                      <w14:textFill>
                        <w14:solidFill>
                          <w14:schemeClr w14:val="tx1"/>
                        </w14:solidFill>
                      </w14:textFill>
                    </w:rPr>
                    <w:t xml:space="preserve">1 </w:t>
                  </w:r>
                  <w:r>
                    <w:rPr>
                      <w:rFonts w:hint="default" w:ascii="Times New Roman" w:hAnsi="Times New Roman" w:cs="Times New Roman"/>
                      <w:b/>
                      <w:bCs/>
                      <w:color w:val="000000" w:themeColor="text1"/>
                      <w:sz w:val="21"/>
                      <w:szCs w:val="21"/>
                      <w14:textFill>
                        <w14:solidFill>
                          <w14:schemeClr w14:val="tx1"/>
                        </w14:solidFill>
                      </w14:textFill>
                    </w:rPr>
                    <w:t>生态环境分区管控点位分析图</w:t>
                  </w:r>
                </w:p>
              </w:tc>
            </w:tr>
          </w:tbl>
          <w:p w14:paraId="320E0BFF">
            <w:pPr>
              <w:pStyle w:val="58"/>
              <w:rPr>
                <w:rFonts w:hint="default"/>
                <w:lang w:val="en-US" w:eastAsia="zh-CN"/>
              </w:rPr>
            </w:pPr>
          </w:p>
          <w:p w14:paraId="1BE6D34C">
            <w:pPr>
              <w:pStyle w:val="57"/>
              <w:keepNext/>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与环境分区管控要求的符合性分析如下：</w:t>
            </w:r>
          </w:p>
          <w:p w14:paraId="471681DF">
            <w:pPr>
              <w:pStyle w:val="57"/>
              <w:shd w:val="clear"/>
              <w:bidi w:val="0"/>
              <w:spacing w:line="240" w:lineRule="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表1-</w:t>
            </w:r>
            <w:r>
              <w:rPr>
                <w:rFonts w:hint="eastAsia" w:cs="Times New Roman"/>
                <w:color w:val="000000" w:themeColor="text1"/>
                <w:highlight w:val="none"/>
                <w:lang w:val="en-US" w:eastAsia="zh-CN"/>
                <w14:textFill>
                  <w14:solidFill>
                    <w14:schemeClr w14:val="tx1"/>
                  </w14:solidFill>
                </w14:textFill>
              </w:rPr>
              <w:t xml:space="preserve">5  </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与环境分区管控要求的符合性分析</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72"/>
              <w:gridCol w:w="787"/>
              <w:gridCol w:w="3934"/>
              <w:gridCol w:w="2540"/>
            </w:tblGrid>
            <w:tr w14:paraId="524AF6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67" w:type="pct"/>
                  <w:gridSpan w:val="2"/>
                  <w:tcBorders>
                    <w:tl2br w:val="nil"/>
                    <w:tr2bl w:val="nil"/>
                  </w:tcBorders>
                  <w:vAlign w:val="center"/>
                </w:tcPr>
                <w:p w14:paraId="0CDAE997">
                  <w:pPr>
                    <w:pStyle w:val="54"/>
                    <w:shd w:val="clear"/>
                    <w:bidi w:val="0"/>
                    <w:spacing w:line="240" w:lineRule="auto"/>
                    <w:jc w:val="center"/>
                    <w:rPr>
                      <w:rFonts w:hint="default" w:ascii="Times New Roman" w:hAnsi="Times New Roman" w:eastAsia="宋体" w:cs="Times New Roman"/>
                      <w:b/>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vertAlign w:val="baseline"/>
                      <w:lang w:val="en-US" w:eastAsia="zh-CN"/>
                      <w14:textFill>
                        <w14:solidFill>
                          <w14:schemeClr w14:val="tx1"/>
                        </w14:solidFill>
                      </w14:textFill>
                    </w:rPr>
                    <w:t>管控单元分类</w:t>
                  </w:r>
                </w:p>
              </w:tc>
              <w:tc>
                <w:tcPr>
                  <w:tcW w:w="2510" w:type="pct"/>
                  <w:tcBorders>
                    <w:tl2br w:val="nil"/>
                    <w:tr2bl w:val="nil"/>
                  </w:tcBorders>
                  <w:vAlign w:val="center"/>
                </w:tcPr>
                <w:p w14:paraId="3EB5A1FD">
                  <w:pPr>
                    <w:pStyle w:val="54"/>
                    <w:shd w:val="clear"/>
                    <w:bidi w:val="0"/>
                    <w:spacing w:line="240" w:lineRule="auto"/>
                    <w:jc w:val="center"/>
                    <w:rPr>
                      <w:rFonts w:hint="default" w:ascii="Times New Roman" w:hAnsi="Times New Roman" w:eastAsia="宋体" w:cs="Times New Roman"/>
                      <w:b/>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vertAlign w:val="baseline"/>
                      <w:lang w:val="en-US" w:eastAsia="zh-CN"/>
                      <w14:textFill>
                        <w14:solidFill>
                          <w14:schemeClr w14:val="tx1"/>
                        </w14:solidFill>
                      </w14:textFill>
                    </w:rPr>
                    <w:t>环境管控要求</w:t>
                  </w:r>
                </w:p>
              </w:tc>
              <w:tc>
                <w:tcPr>
                  <w:tcW w:w="1621" w:type="pct"/>
                  <w:tcBorders>
                    <w:tl2br w:val="nil"/>
                    <w:tr2bl w:val="nil"/>
                  </w:tcBorders>
                  <w:vAlign w:val="center"/>
                </w:tcPr>
                <w:p w14:paraId="3DB74EA3">
                  <w:pPr>
                    <w:pStyle w:val="54"/>
                    <w:shd w:val="clear"/>
                    <w:bidi w:val="0"/>
                    <w:spacing w:line="240" w:lineRule="auto"/>
                    <w:jc w:val="center"/>
                    <w:rPr>
                      <w:rFonts w:hint="default" w:ascii="Times New Roman" w:hAnsi="Times New Roman" w:eastAsia="宋体" w:cs="Times New Roman"/>
                      <w:b/>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vertAlign w:val="baseline"/>
                      <w:lang w:val="en-US" w:eastAsia="zh-CN"/>
                      <w14:textFill>
                        <w14:solidFill>
                          <w14:schemeClr w14:val="tx1"/>
                        </w14:solidFill>
                      </w14:textFill>
                    </w:rPr>
                    <w:t>符合性分析</w:t>
                  </w:r>
                </w:p>
              </w:tc>
            </w:tr>
            <w:tr w14:paraId="30F10F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65" w:type="pct"/>
                  <w:tcBorders>
                    <w:tl2br w:val="nil"/>
                    <w:tr2bl w:val="nil"/>
                  </w:tcBorders>
                  <w:vAlign w:val="center"/>
                </w:tcPr>
                <w:p w14:paraId="0098AB6F">
                  <w:pPr>
                    <w:pStyle w:val="54"/>
                    <w:shd w:val="clear"/>
                    <w:bidi w:val="0"/>
                    <w:spacing w:line="240" w:lineRule="auto"/>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水环境</w:t>
                  </w:r>
                </w:p>
              </w:tc>
              <w:tc>
                <w:tcPr>
                  <w:tcW w:w="502" w:type="pct"/>
                  <w:tcBorders>
                    <w:tl2br w:val="nil"/>
                    <w:tr2bl w:val="nil"/>
                  </w:tcBorders>
                  <w:vAlign w:val="center"/>
                </w:tcPr>
                <w:p w14:paraId="69C5B996">
                  <w:pPr>
                    <w:pStyle w:val="54"/>
                    <w:shd w:val="clear"/>
                    <w:bidi w:val="0"/>
                    <w:spacing w:line="240" w:lineRule="auto"/>
                    <w:jc w:val="center"/>
                    <w:rPr>
                      <w:rFonts w:hint="default" w:ascii="Times New Roman" w:hAnsi="Times New Roman" w:eastAsia="宋体" w:cs="Times New Roman"/>
                      <w:b/>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t>重点管控区</w:t>
                  </w:r>
                </w:p>
              </w:tc>
              <w:tc>
                <w:tcPr>
                  <w:tcW w:w="2510" w:type="pct"/>
                  <w:tcBorders>
                    <w:tl2br w:val="nil"/>
                    <w:tr2bl w:val="nil"/>
                  </w:tcBorders>
                  <w:vAlign w:val="center"/>
                </w:tcPr>
                <w:p w14:paraId="67226810">
                  <w:pPr>
                    <w:pStyle w:val="54"/>
                    <w:shd w:val="clear"/>
                    <w:bidi w:val="0"/>
                    <w:spacing w:line="240" w:lineRule="auto"/>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szCs w:val="21"/>
                    </w:rPr>
                    <w:t>依据《中华人民共和国水污染防治法》《水污染防治行动计划》《安徽省水污染防治工作方案》及《淮南市水污染防治工作方案》对重点管控区实施管控；依据《安徽省淮河流域水污染防治条例》对淮河流域实施管控；依据开发区规划、规划环评及审查意见相关要求对开发区实施管控；落实《“十三五”生态环境保护规划》《安徽省“十三五”环境保护规划》《安徽省“十三五”节能减排实施方案》等要求，新建、改建和扩建项目水污染物实施“等量替代”</w:t>
                  </w:r>
                </w:p>
              </w:tc>
              <w:tc>
                <w:tcPr>
                  <w:tcW w:w="1621" w:type="pct"/>
                  <w:tcBorders>
                    <w:tl2br w:val="nil"/>
                    <w:tr2bl w:val="nil"/>
                  </w:tcBorders>
                  <w:vAlign w:val="center"/>
                </w:tcPr>
                <w:p w14:paraId="6E04ADD5">
                  <w:pPr>
                    <w:pStyle w:val="54"/>
                    <w:shd w:val="clear"/>
                    <w:bidi w:val="0"/>
                    <w:spacing w:line="240" w:lineRule="auto"/>
                    <w:jc w:val="center"/>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eastAsia"/>
                      <w:szCs w:val="21"/>
                      <w:lang w:val="en-US" w:eastAsia="zh-CN"/>
                    </w:rPr>
                    <w:t>本项目废水水质简单，</w:t>
                  </w:r>
                  <w:r>
                    <w:rPr>
                      <w:szCs w:val="21"/>
                    </w:rPr>
                    <w:t>生活污水</w:t>
                  </w:r>
                  <w:r>
                    <w:rPr>
                      <w:rFonts w:hint="eastAsia"/>
                      <w:szCs w:val="21"/>
                      <w:lang w:eastAsia="zh-CN"/>
                    </w:rPr>
                    <w:t>、</w:t>
                  </w:r>
                  <w:r>
                    <w:rPr>
                      <w:szCs w:val="21"/>
                    </w:rPr>
                    <w:t>冷却循环水排水</w:t>
                  </w:r>
                  <w:r>
                    <w:rPr>
                      <w:rFonts w:hint="eastAsia"/>
                      <w:szCs w:val="21"/>
                      <w:lang w:val="en-US" w:eastAsia="zh-CN"/>
                    </w:rPr>
                    <w:t>纳管接入市政</w:t>
                  </w:r>
                  <w:r>
                    <w:rPr>
                      <w:szCs w:val="21"/>
                    </w:rPr>
                    <w:t>区污水管网，进入</w:t>
                  </w:r>
                  <w:r>
                    <w:rPr>
                      <w:rFonts w:hint="eastAsia"/>
                      <w:szCs w:val="21"/>
                      <w:lang w:eastAsia="zh-CN"/>
                    </w:rPr>
                    <w:t>淮南市潘集污水处理厂</w:t>
                  </w:r>
                  <w:r>
                    <w:rPr>
                      <w:szCs w:val="21"/>
                    </w:rPr>
                    <w:t>处理</w:t>
                  </w:r>
                  <w:r>
                    <w:rPr>
                      <w:rFonts w:hint="eastAsia"/>
                      <w:szCs w:val="21"/>
                      <w:lang w:eastAsia="zh-CN"/>
                    </w:rPr>
                    <w:t>，</w:t>
                  </w:r>
                  <w:r>
                    <w:rPr>
                      <w:rFonts w:hint="eastAsia"/>
                      <w:color w:val="000000" w:themeColor="text1"/>
                      <w:szCs w:val="21"/>
                      <w:lang w:eastAsia="zh-CN"/>
                      <w14:textFill>
                        <w14:solidFill>
                          <w14:schemeClr w14:val="tx1"/>
                        </w14:solidFill>
                      </w14:textFill>
                    </w:rPr>
                    <w:t>废水污染物排放总量计入淮南市潘集污水处理厂总量指标内，</w:t>
                  </w:r>
                  <w:r>
                    <w:rPr>
                      <w:rFonts w:hint="eastAsia"/>
                      <w:color w:val="000000" w:themeColor="text1"/>
                      <w:szCs w:val="21"/>
                      <w:lang w:val="en-US" w:eastAsia="zh-CN"/>
                      <w14:textFill>
                        <w14:solidFill>
                          <w14:schemeClr w14:val="tx1"/>
                        </w14:solidFill>
                      </w14:textFill>
                    </w:rPr>
                    <w:t>无需进行</w:t>
                  </w:r>
                  <w:r>
                    <w:rPr>
                      <w:color w:val="000000" w:themeColor="text1"/>
                      <w:szCs w:val="21"/>
                      <w14:textFill>
                        <w14:solidFill>
                          <w14:schemeClr w14:val="tx1"/>
                        </w14:solidFill>
                      </w14:textFill>
                    </w:rPr>
                    <w:t>“等量替代”</w:t>
                  </w:r>
                  <w:r>
                    <w:rPr>
                      <w:rFonts w:hint="eastAsia"/>
                      <w:color w:val="000000" w:themeColor="text1"/>
                      <w:szCs w:val="21"/>
                      <w:lang w:eastAsia="zh-CN"/>
                      <w14:textFill>
                        <w14:solidFill>
                          <w14:schemeClr w14:val="tx1"/>
                        </w14:solidFill>
                      </w14:textFill>
                    </w:rPr>
                    <w:t>。</w:t>
                  </w:r>
                </w:p>
              </w:tc>
            </w:tr>
            <w:tr w14:paraId="44C9A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65" w:type="pct"/>
                  <w:tcBorders>
                    <w:tl2br w:val="nil"/>
                    <w:tr2bl w:val="nil"/>
                  </w:tcBorders>
                  <w:vAlign w:val="center"/>
                </w:tcPr>
                <w:p w14:paraId="4450A7D1">
                  <w:pPr>
                    <w:pStyle w:val="54"/>
                    <w:shd w:val="clear"/>
                    <w:bidi w:val="0"/>
                    <w:spacing w:line="240" w:lineRule="auto"/>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t>大气环境</w:t>
                  </w:r>
                </w:p>
              </w:tc>
              <w:tc>
                <w:tcPr>
                  <w:tcW w:w="502" w:type="pct"/>
                  <w:tcBorders>
                    <w:tl2br w:val="nil"/>
                    <w:tr2bl w:val="nil"/>
                  </w:tcBorders>
                  <w:vAlign w:val="center"/>
                </w:tcPr>
                <w:p w14:paraId="79E500D3">
                  <w:pPr>
                    <w:pStyle w:val="54"/>
                    <w:shd w:val="clear"/>
                    <w:bidi w:val="0"/>
                    <w:spacing w:line="240" w:lineRule="auto"/>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t>重点管控区</w:t>
                  </w:r>
                </w:p>
              </w:tc>
              <w:tc>
                <w:tcPr>
                  <w:tcW w:w="2510" w:type="pct"/>
                  <w:tcBorders>
                    <w:tl2br w:val="nil"/>
                    <w:tr2bl w:val="nil"/>
                  </w:tcBorders>
                  <w:vAlign w:val="center"/>
                </w:tcPr>
                <w:p w14:paraId="5D6E9462">
                  <w:pPr>
                    <w:pStyle w:val="54"/>
                    <w:shd w:val="clear"/>
                    <w:bidi w:val="0"/>
                    <w:spacing w:line="240" w:lineRule="auto"/>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szCs w:val="21"/>
                    </w:rPr>
                    <w:t>落实《安徽省大气污染防治条例》《“十三五”生态环境保护规划》《安徽省“十三五”环境保护规划》《打赢蓝天保卫战三年行动计划》《安徽省打赢蓝天保卫战三年行动计划实施方案》《淮南市大气污染防治条例》《重点行业挥发性有机物综合治理方案》等要求，严格目标实施计划，加强环境监管，促进生态环境质量好转。上年度PM</w:t>
                  </w:r>
                  <w:r>
                    <w:rPr>
                      <w:szCs w:val="21"/>
                      <w:vertAlign w:val="subscript"/>
                    </w:rPr>
                    <w:t>2.5</w:t>
                  </w:r>
                  <w:r>
                    <w:rPr>
                      <w:szCs w:val="21"/>
                    </w:rPr>
                    <w:t>不达标城市新建、改建和扩建项目大气污染物实施“倍量替代”，执行特别排放标准的行业实施提标升级改造。</w:t>
                  </w:r>
                </w:p>
              </w:tc>
              <w:tc>
                <w:tcPr>
                  <w:tcW w:w="1621" w:type="pct"/>
                  <w:tcBorders>
                    <w:tl2br w:val="nil"/>
                    <w:tr2bl w:val="nil"/>
                  </w:tcBorders>
                  <w:vAlign w:val="center"/>
                </w:tcPr>
                <w:p w14:paraId="42FCB9D5">
                  <w:pPr>
                    <w:pStyle w:val="54"/>
                    <w:shd w:val="clear"/>
                    <w:bidi w:val="0"/>
                    <w:spacing w:line="240" w:lineRule="auto"/>
                    <w:jc w:val="center"/>
                    <w:rPr>
                      <w:rFonts w:hint="default" w:ascii="Times New Roman" w:hAnsi="Times New Roman" w:eastAsia="宋体" w:cs="Times New Roman"/>
                      <w:color w:val="000000" w:themeColor="text1"/>
                      <w:highlight w:val="yellow"/>
                      <w:vertAlign w:val="baseline"/>
                      <w:lang w:val="en-US" w:eastAsia="zh-CN"/>
                      <w14:textFill>
                        <w14:solidFill>
                          <w14:schemeClr w14:val="tx1"/>
                        </w14:solidFill>
                      </w14:textFill>
                    </w:rPr>
                  </w:pPr>
                  <w:r>
                    <w:rPr>
                      <w:rFonts w:hint="default" w:ascii="Times New Roman" w:hAnsi="Times New Roman" w:eastAsia="宋体" w:cs="Times New Roman"/>
                      <w:color w:val="auto"/>
                      <w:sz w:val="21"/>
                      <w:szCs w:val="21"/>
                      <w:highlight w:val="none"/>
                      <w:vertAlign w:val="baseline"/>
                      <w:lang w:val="en-US" w:eastAsia="zh-CN"/>
                    </w:rPr>
                    <w:t>根据《202</w:t>
                  </w:r>
                  <w:r>
                    <w:rPr>
                      <w:rFonts w:hint="eastAsia" w:ascii="Times New Roman" w:hAnsi="Times New Roman" w:eastAsia="宋体" w:cs="Times New Roman"/>
                      <w:color w:val="auto"/>
                      <w:sz w:val="21"/>
                      <w:szCs w:val="21"/>
                      <w:highlight w:val="none"/>
                      <w:vertAlign w:val="baseline"/>
                      <w:lang w:val="en-US" w:eastAsia="zh-CN"/>
                    </w:rPr>
                    <w:t>4</w:t>
                  </w:r>
                  <w:r>
                    <w:rPr>
                      <w:rFonts w:hint="default" w:ascii="Times New Roman" w:hAnsi="Times New Roman" w:eastAsia="宋体" w:cs="Times New Roman"/>
                      <w:color w:val="auto"/>
                      <w:sz w:val="21"/>
                      <w:szCs w:val="21"/>
                      <w:highlight w:val="none"/>
                      <w:vertAlign w:val="baseline"/>
                      <w:lang w:val="en-US" w:eastAsia="zh-CN"/>
                    </w:rPr>
                    <w:t>年淮南市</w:t>
                  </w:r>
                  <w:r>
                    <w:rPr>
                      <w:rFonts w:hint="eastAsia" w:ascii="Times New Roman" w:hAnsi="Times New Roman" w:eastAsia="宋体" w:cs="Times New Roman"/>
                      <w:color w:val="auto"/>
                      <w:sz w:val="21"/>
                      <w:szCs w:val="21"/>
                      <w:highlight w:val="none"/>
                      <w:vertAlign w:val="baseline"/>
                      <w:lang w:val="en-US" w:eastAsia="zh-CN"/>
                    </w:rPr>
                    <w:t>生态</w:t>
                  </w:r>
                  <w:r>
                    <w:rPr>
                      <w:rFonts w:hint="default" w:ascii="Times New Roman" w:hAnsi="Times New Roman" w:eastAsia="宋体" w:cs="Times New Roman"/>
                      <w:color w:val="auto"/>
                      <w:sz w:val="21"/>
                      <w:szCs w:val="21"/>
                      <w:highlight w:val="none"/>
                      <w:vertAlign w:val="baseline"/>
                      <w:lang w:val="en-US" w:eastAsia="zh-CN"/>
                    </w:rPr>
                    <w:t>环境质量状况公报》</w:t>
                  </w:r>
                  <w:r>
                    <w:rPr>
                      <w:rFonts w:hint="eastAsia" w:ascii="Times New Roman" w:hAnsi="Times New Roman" w:eastAsia="宋体" w:cs="Times New Roman"/>
                      <w:color w:val="auto"/>
                      <w:sz w:val="21"/>
                      <w:szCs w:val="21"/>
                      <w:highlight w:val="none"/>
                      <w:vertAlign w:val="baseline"/>
                      <w:lang w:val="en-US" w:eastAsia="zh-CN"/>
                    </w:rPr>
                    <w:t>可知</w:t>
                  </w:r>
                  <w:r>
                    <w:rPr>
                      <w:rFonts w:hint="default" w:ascii="Times New Roman" w:hAnsi="Times New Roman" w:eastAsia="宋体" w:cs="Times New Roman"/>
                      <w:color w:val="auto"/>
                      <w:sz w:val="21"/>
                      <w:szCs w:val="21"/>
                      <w:highlight w:val="none"/>
                      <w:vertAlign w:val="baseline"/>
                      <w:lang w:val="en-US" w:eastAsia="zh-CN"/>
                    </w:rPr>
                    <w:t>，项目所在地为不达标区，</w:t>
                  </w:r>
                  <w:r>
                    <w:rPr>
                      <w:rFonts w:hint="eastAsia" w:ascii="Times New Roman" w:hAnsi="Times New Roman" w:eastAsia="宋体" w:cs="Times New Roman"/>
                      <w:color w:val="auto"/>
                      <w:sz w:val="21"/>
                      <w:szCs w:val="21"/>
                      <w:highlight w:val="none"/>
                      <w:vertAlign w:val="baseline"/>
                      <w:lang w:val="en-US" w:eastAsia="zh-CN"/>
                    </w:rPr>
                    <w:t>PM</w:t>
                  </w:r>
                  <w:r>
                    <w:rPr>
                      <w:rFonts w:hint="eastAsia" w:ascii="Times New Roman" w:hAnsi="Times New Roman" w:eastAsia="宋体" w:cs="Times New Roman"/>
                      <w:color w:val="auto"/>
                      <w:sz w:val="21"/>
                      <w:szCs w:val="21"/>
                      <w:highlight w:val="none"/>
                      <w:vertAlign w:val="subscript"/>
                      <w:lang w:val="en-US" w:eastAsia="zh-CN"/>
                    </w:rPr>
                    <w:t>2.5</w:t>
                  </w:r>
                  <w:r>
                    <w:rPr>
                      <w:rFonts w:hint="eastAsia" w:ascii="Times New Roman" w:hAnsi="Times New Roman" w:eastAsia="宋体" w:cs="Times New Roman"/>
                      <w:color w:val="auto"/>
                      <w:sz w:val="21"/>
                      <w:szCs w:val="21"/>
                      <w:highlight w:val="none"/>
                      <w:vertAlign w:val="baseline"/>
                      <w:lang w:val="en-US" w:eastAsia="zh-CN"/>
                    </w:rPr>
                    <w:t>超标</w:t>
                  </w:r>
                  <w:r>
                    <w:rPr>
                      <w:rFonts w:hint="default" w:ascii="Times New Roman" w:hAnsi="Times New Roman" w:eastAsia="宋体"/>
                      <w:color w:val="auto"/>
                      <w:highlight w:val="none"/>
                      <w:vertAlign w:val="baseline"/>
                      <w:lang w:val="en-US" w:eastAsia="zh-CN"/>
                    </w:rPr>
                    <w:t>，本项目按照要求申请总量，执行倍量替代。</w:t>
                  </w:r>
                </w:p>
              </w:tc>
            </w:tr>
            <w:tr w14:paraId="7F1573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65" w:type="pct"/>
                  <w:tcBorders>
                    <w:tl2br w:val="nil"/>
                    <w:tr2bl w:val="nil"/>
                  </w:tcBorders>
                  <w:vAlign w:val="center"/>
                </w:tcPr>
                <w:p w14:paraId="260E32CB">
                  <w:pPr>
                    <w:pStyle w:val="54"/>
                    <w:keepNext w:val="0"/>
                    <w:keepLines w:val="0"/>
                    <w:pageBreakBefore w:val="0"/>
                    <w:widowControl w:val="0"/>
                    <w:shd w:val="clear"/>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土</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环境</w:t>
                  </w:r>
                </w:p>
              </w:tc>
              <w:tc>
                <w:tcPr>
                  <w:tcW w:w="502" w:type="pct"/>
                  <w:tcBorders>
                    <w:tl2br w:val="nil"/>
                    <w:tr2bl w:val="nil"/>
                  </w:tcBorders>
                  <w:vAlign w:val="center"/>
                </w:tcPr>
                <w:p w14:paraId="4DC0FB94">
                  <w:pPr>
                    <w:pStyle w:val="54"/>
                    <w:keepNext w:val="0"/>
                    <w:keepLines w:val="0"/>
                    <w:pageBreakBefore w:val="0"/>
                    <w:widowControl w:val="0"/>
                    <w:shd w:val="clear"/>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重点管控区</w:t>
                  </w:r>
                </w:p>
              </w:tc>
              <w:tc>
                <w:tcPr>
                  <w:tcW w:w="2510" w:type="pct"/>
                  <w:tcBorders>
                    <w:tl2br w:val="nil"/>
                    <w:tr2bl w:val="nil"/>
                  </w:tcBorders>
                  <w:vAlign w:val="center"/>
                </w:tcPr>
                <w:p w14:paraId="53D290E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ascii="Times New Roman" w:hAnsi="Times New Roman" w:eastAsia="宋体" w:cs="Times New Roman"/>
                      <w:sz w:val="21"/>
                      <w:szCs w:val="21"/>
                    </w:rPr>
                    <w:t>重点防控区：落实《安徽省</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en-US" w:eastAsia="zh-CN" w:bidi="ar-SA"/>
                    </w:rPr>
                    <w:t>十三五</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sz w:val="21"/>
                      <w:szCs w:val="21"/>
                    </w:rPr>
                    <w:t>环境保护规划》《安徽省</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en-US" w:eastAsia="zh-CN" w:bidi="ar-SA"/>
                    </w:rPr>
                    <w:t>十三五</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sz w:val="21"/>
                      <w:szCs w:val="21"/>
                    </w:rPr>
                    <w:t>重金属污染综合防治规划》《安徽省</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en-US" w:eastAsia="zh-CN" w:bidi="ar-SA"/>
                    </w:rPr>
                    <w:t>十三五</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sz w:val="21"/>
                      <w:szCs w:val="21"/>
                    </w:rPr>
                    <w:t>危险废物污染防治规划》《安徽省土壤污染防治工作方案》等要求，防止土壤污染风险。</w:t>
                  </w:r>
                </w:p>
              </w:tc>
              <w:tc>
                <w:tcPr>
                  <w:tcW w:w="1621" w:type="pct"/>
                  <w:tcBorders>
                    <w:tl2br w:val="nil"/>
                    <w:tr2bl w:val="nil"/>
                  </w:tcBorders>
                  <w:vAlign w:val="center"/>
                </w:tcPr>
                <w:p w14:paraId="19B2D1DF">
                  <w:pPr>
                    <w:pStyle w:val="54"/>
                    <w:keepNext w:val="0"/>
                    <w:keepLines w:val="0"/>
                    <w:pageBreakBefore w:val="0"/>
                    <w:widowControl w:val="0"/>
                    <w:shd w:val="clear"/>
                    <w:kinsoku/>
                    <w:wordWrap/>
                    <w:overflowPunct/>
                    <w:topLinePunct w:val="0"/>
                    <w:bidi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olor w:val="000000" w:themeColor="text1"/>
                      <w:highlight w:val="none"/>
                      <w:vertAlign w:val="baseline"/>
                      <w:lang w:val="en-US" w:eastAsia="zh-CN"/>
                      <w14:textFill>
                        <w14:solidFill>
                          <w14:schemeClr w14:val="tx1"/>
                        </w14:solidFill>
                      </w14:textFill>
                    </w:rPr>
                    <w:t>项目厂区采取分区防渗措施，设重点防渗区、一般防渗区，防止对土壤环境的污染。</w:t>
                  </w:r>
                </w:p>
              </w:tc>
            </w:tr>
          </w:tbl>
          <w:p w14:paraId="245AEEBC">
            <w:pPr>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综上所述，本项目满足</w:t>
            </w:r>
            <w:r>
              <w:rPr>
                <w:rFonts w:hint="default" w:ascii="Times New Roman" w:hAnsi="Times New Roman" w:cs="Times New Roman"/>
                <w:color w:val="000000" w:themeColor="text1"/>
                <w:highlight w:val="none"/>
                <w:lang w:val="en-US" w:eastAsia="zh-CN"/>
                <w14:textFill>
                  <w14:solidFill>
                    <w14:schemeClr w14:val="tx1"/>
                  </w14:solidFill>
                </w14:textFill>
              </w:rPr>
              <w:t>淮南市</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“三线一单”要求。</w:t>
            </w:r>
          </w:p>
          <w:p w14:paraId="75DA384C">
            <w:pPr>
              <w:widowControl/>
              <w:ind w:firstLine="482" w:firstLineChars="200"/>
              <w:rPr>
                <w:rFonts w:hint="default" w:ascii="Times New Roman" w:hAnsi="Times New Roman" w:cs="Times New Roman"/>
                <w:b/>
                <w:bCs/>
                <w:color w:val="000000"/>
              </w:rPr>
            </w:pPr>
            <w:r>
              <w:rPr>
                <w:rFonts w:hint="default" w:ascii="Times New Roman" w:hAnsi="Times New Roman" w:cs="Times New Roman"/>
                <w:b/>
                <w:bCs/>
                <w:color w:val="000000"/>
              </w:rPr>
              <w:t>4、与相关生态环境保护法律法规政策、生态环境保护规划的符合性分析</w:t>
            </w:r>
          </w:p>
          <w:p w14:paraId="3A9FDA67">
            <w:pPr>
              <w:spacing w:before="120" w:beforeLines="50"/>
              <w:ind w:firstLine="480" w:firstLineChars="200"/>
              <w:rPr>
                <w:rFonts w:hint="default" w:ascii="Times New Roman" w:hAnsi="Times New Roman" w:cs="Times New Roman"/>
                <w:color w:val="000000"/>
              </w:rPr>
            </w:pPr>
            <w:r>
              <w:rPr>
                <w:rFonts w:hint="default" w:ascii="Times New Roman" w:hAnsi="Times New Roman" w:cs="Times New Roman"/>
                <w:color w:val="000000"/>
              </w:rPr>
              <w:t>（1）与《挥发性有机物无组织排放控制标准》（GB37822-2019）相符性分析</w:t>
            </w:r>
          </w:p>
          <w:p w14:paraId="640C59E5">
            <w:pPr>
              <w:spacing w:line="240" w:lineRule="auto"/>
              <w:ind w:left="48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表1-</w:t>
            </w:r>
            <w:r>
              <w:rPr>
                <w:rFonts w:hint="eastAsia" w:cs="Times New Roman"/>
                <w:b/>
                <w:bCs/>
                <w:color w:val="000000"/>
                <w:sz w:val="21"/>
                <w:szCs w:val="21"/>
                <w:lang w:val="en-US" w:eastAsia="zh-CN"/>
              </w:rPr>
              <w:t xml:space="preserve">6  </w:t>
            </w:r>
            <w:r>
              <w:rPr>
                <w:rFonts w:hint="default" w:ascii="Times New Roman" w:hAnsi="Times New Roman" w:cs="Times New Roman"/>
                <w:b/>
                <w:bCs/>
                <w:color w:val="000000"/>
                <w:sz w:val="21"/>
                <w:szCs w:val="21"/>
              </w:rPr>
              <w:t>与《挥发性有机物无组织排放控制标准》相符性分析一览表</w:t>
            </w:r>
          </w:p>
          <w:tbl>
            <w:tblPr>
              <w:tblStyle w:val="29"/>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4181"/>
              <w:gridCol w:w="2052"/>
              <w:gridCol w:w="914"/>
            </w:tblGrid>
            <w:tr w14:paraId="08F61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pct"/>
                  <w:noWrap w:val="0"/>
                  <w:vAlign w:val="center"/>
                </w:tcPr>
                <w:p w14:paraId="6E9DCF78">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b/>
                      <w:bCs/>
                      <w:color w:val="000000"/>
                      <w:sz w:val="21"/>
                      <w:szCs w:val="21"/>
                    </w:rPr>
                    <w:t>序号</w:t>
                  </w:r>
                </w:p>
              </w:tc>
              <w:tc>
                <w:tcPr>
                  <w:tcW w:w="2669" w:type="pct"/>
                  <w:noWrap w:val="0"/>
                  <w:vAlign w:val="center"/>
                </w:tcPr>
                <w:p w14:paraId="53D4CD0B">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相关内容要求</w:t>
                  </w:r>
                </w:p>
              </w:tc>
              <w:tc>
                <w:tcPr>
                  <w:tcW w:w="1310" w:type="pct"/>
                  <w:noWrap w:val="0"/>
                  <w:vAlign w:val="center"/>
                </w:tcPr>
                <w:p w14:paraId="24934C7F">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本项目情况</w:t>
                  </w:r>
                </w:p>
              </w:tc>
              <w:tc>
                <w:tcPr>
                  <w:tcW w:w="583" w:type="pct"/>
                  <w:noWrap w:val="0"/>
                  <w:vAlign w:val="center"/>
                </w:tcPr>
                <w:p w14:paraId="76C84DBB">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符合性</w:t>
                  </w:r>
                </w:p>
              </w:tc>
            </w:tr>
            <w:tr w14:paraId="43B9CC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pct"/>
                  <w:noWrap w:val="0"/>
                  <w:vAlign w:val="center"/>
                </w:tcPr>
                <w:p w14:paraId="27978AB4">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2669" w:type="pct"/>
                  <w:noWrap w:val="0"/>
                  <w:vAlign w:val="center"/>
                </w:tcPr>
                <w:p w14:paraId="60EE006D">
                  <w:pPr>
                    <w:spacing w:line="240" w:lineRule="auto"/>
                    <w:jc w:val="left"/>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VOCs物料储存无组织排放控制要求：</w:t>
                  </w:r>
                </w:p>
                <w:p w14:paraId="1754FB12">
                  <w:pPr>
                    <w:spacing w:line="240" w:lineRule="auto"/>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1、VOCs物料应储存于密闭的容器、包装袋、储罐、储库、料仓中。</w:t>
                  </w:r>
                </w:p>
                <w:p w14:paraId="0EABFBC6">
                  <w:pPr>
                    <w:spacing w:line="240" w:lineRule="auto"/>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2、盛装VOCs物料的容器或包装袋应存放于室内，或存放于设置有雨棚、遮阳和防渗设施的专用场地。盛装VOCs物料的容器或包装袋在非取用状态时应加盖、封口，保持密闭。</w:t>
                  </w:r>
                </w:p>
              </w:tc>
              <w:tc>
                <w:tcPr>
                  <w:tcW w:w="1310" w:type="pct"/>
                  <w:noWrap w:val="0"/>
                  <w:vAlign w:val="center"/>
                </w:tcPr>
                <w:p w14:paraId="4D11118D">
                  <w:pPr>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本项目塑料粒子仅在加热环节会产生</w:t>
                  </w:r>
                  <w:r>
                    <w:rPr>
                      <w:rFonts w:hint="default" w:ascii="Times New Roman" w:hAnsi="Times New Roman" w:cs="Times New Roman"/>
                      <w:color w:val="000000"/>
                      <w:sz w:val="21"/>
                      <w:szCs w:val="21"/>
                    </w:rPr>
                    <w:t>VOCs</w:t>
                  </w:r>
                  <w:r>
                    <w:rPr>
                      <w:rFonts w:hint="default" w:ascii="Times New Roman" w:hAnsi="Times New Roman" w:cs="Times New Roman"/>
                      <w:color w:val="000000"/>
                      <w:sz w:val="21"/>
                      <w:szCs w:val="21"/>
                      <w:lang w:eastAsia="zh-CN"/>
                    </w:rPr>
                    <w:t>。</w:t>
                  </w:r>
                </w:p>
              </w:tc>
              <w:tc>
                <w:tcPr>
                  <w:tcW w:w="583" w:type="pct"/>
                  <w:noWrap w:val="0"/>
                  <w:vAlign w:val="center"/>
                </w:tcPr>
                <w:p w14:paraId="7316616E">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相符</w:t>
                  </w:r>
                </w:p>
              </w:tc>
            </w:tr>
            <w:tr w14:paraId="66A681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pct"/>
                  <w:noWrap w:val="0"/>
                  <w:vAlign w:val="center"/>
                </w:tcPr>
                <w:p w14:paraId="39FCB397">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2669" w:type="pct"/>
                  <w:noWrap w:val="0"/>
                  <w:vAlign w:val="center"/>
                </w:tcPr>
                <w:p w14:paraId="6DE5FAD8">
                  <w:pPr>
                    <w:spacing w:line="240" w:lineRule="auto"/>
                    <w:jc w:val="left"/>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VOCs物料转移和输送无组织排放控制要求：</w:t>
                  </w:r>
                </w:p>
                <w:p w14:paraId="032AFD63">
                  <w:pPr>
                    <w:spacing w:line="240" w:lineRule="auto"/>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1、液态VOCs物料应采用密闭管道输送。采用非管道输送方式转移液态VOCs物料时，应采用密闭容器、罐车。</w:t>
                  </w:r>
                </w:p>
              </w:tc>
              <w:tc>
                <w:tcPr>
                  <w:tcW w:w="1310" w:type="pct"/>
                  <w:noWrap w:val="0"/>
                  <w:vAlign w:val="center"/>
                </w:tcPr>
                <w:p w14:paraId="075B6094">
                  <w:pPr>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本项目</w:t>
                  </w:r>
                  <w:r>
                    <w:rPr>
                      <w:rFonts w:hint="default" w:ascii="Times New Roman" w:hAnsi="Times New Roman" w:cs="Times New Roman"/>
                      <w:sz w:val="21"/>
                      <w:szCs w:val="21"/>
                    </w:rPr>
                    <w:t>不涉及液态VOCs物料的输送。</w:t>
                  </w:r>
                </w:p>
              </w:tc>
              <w:tc>
                <w:tcPr>
                  <w:tcW w:w="583" w:type="pct"/>
                  <w:noWrap w:val="0"/>
                  <w:vAlign w:val="center"/>
                </w:tcPr>
                <w:p w14:paraId="0FBF0A22">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相符</w:t>
                  </w:r>
                </w:p>
              </w:tc>
            </w:tr>
            <w:tr w14:paraId="6FCE3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pct"/>
                  <w:noWrap w:val="0"/>
                  <w:vAlign w:val="center"/>
                </w:tcPr>
                <w:p w14:paraId="57B12840">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2669" w:type="pct"/>
                  <w:noWrap w:val="0"/>
                  <w:vAlign w:val="center"/>
                </w:tcPr>
                <w:p w14:paraId="574B32B0">
                  <w:pPr>
                    <w:spacing w:line="240" w:lineRule="auto"/>
                    <w:jc w:val="left"/>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工艺过程VOCs无组织排放控制要求：</w:t>
                  </w:r>
                </w:p>
                <w:p w14:paraId="527DD0CE">
                  <w:pPr>
                    <w:spacing w:line="240" w:lineRule="auto"/>
                    <w:jc w:val="left"/>
                    <w:rPr>
                      <w:rFonts w:hint="default" w:ascii="Times New Roman" w:hAnsi="Times New Roman" w:cs="Times New Roman"/>
                      <w:b/>
                      <w:bCs/>
                      <w:color w:val="000000"/>
                      <w:sz w:val="21"/>
                      <w:szCs w:val="21"/>
                    </w:rPr>
                  </w:pPr>
                  <w:r>
                    <w:rPr>
                      <w:rFonts w:hint="default" w:ascii="Times New Roman" w:hAnsi="Times New Roman" w:cs="Times New Roman"/>
                      <w:color w:val="000000"/>
                      <w:sz w:val="21"/>
                      <w:szCs w:val="21"/>
                    </w:rPr>
                    <w:t>1、VOCs质量占比大于等于10%的含VOCs产品，其使用过程应采用密闭设备或在密闭空间内操作，废气应排至VOCs废气收集处理系统；无法密闭的，应采取局部气体收集措施，废气应排至VOCs废气收集处理系统。</w:t>
                  </w:r>
                </w:p>
                <w:p w14:paraId="1EE541A3">
                  <w:pPr>
                    <w:spacing w:line="240" w:lineRule="auto"/>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2、企业应建立台账，记录含VOCs原辅材料和含VOCs产品的名称、使用量、回收量、废弃量、去向以及VOCs含量等信息。台账保存期限不少于3年。</w:t>
                  </w:r>
                </w:p>
              </w:tc>
              <w:tc>
                <w:tcPr>
                  <w:tcW w:w="1310" w:type="pct"/>
                  <w:noWrap w:val="0"/>
                  <w:vAlign w:val="center"/>
                </w:tcPr>
                <w:p w14:paraId="48368BAB">
                  <w:pPr>
                    <w:spacing w:line="240" w:lineRule="auto"/>
                    <w:jc w:val="center"/>
                    <w:rPr>
                      <w:rFonts w:hint="default" w:ascii="Times New Roman" w:hAnsi="Times New Roman" w:cs="Times New Roman"/>
                      <w:color w:val="000000"/>
                      <w:sz w:val="21"/>
                      <w:szCs w:val="21"/>
                      <w:lang w:val="en-US"/>
                    </w:rPr>
                  </w:pPr>
                  <w:r>
                    <w:rPr>
                      <w:rFonts w:hint="default" w:ascii="Times New Roman" w:hAnsi="Times New Roman" w:cs="Times New Roman"/>
                      <w:color w:val="000000"/>
                      <w:sz w:val="21"/>
                      <w:szCs w:val="21"/>
                      <w:lang w:val="en-US" w:eastAsia="zh-CN"/>
                    </w:rPr>
                    <w:t>本项目塑料粒子仅在加热环节会产生</w:t>
                  </w:r>
                  <w:r>
                    <w:rPr>
                      <w:rFonts w:hint="default" w:ascii="Times New Roman" w:hAnsi="Times New Roman" w:cs="Times New Roman"/>
                      <w:color w:val="000000"/>
                      <w:sz w:val="21"/>
                      <w:szCs w:val="21"/>
                    </w:rPr>
                    <w:t>VOCs</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lang w:val="en-US" w:eastAsia="zh-CN"/>
                    </w:rPr>
                    <w:t>项目对注塑机</w:t>
                  </w:r>
                  <w:r>
                    <w:rPr>
                      <w:rFonts w:hint="eastAsia" w:cs="Times New Roman"/>
                      <w:color w:val="000000"/>
                      <w:sz w:val="21"/>
                      <w:szCs w:val="21"/>
                      <w:lang w:val="en-US" w:eastAsia="zh-CN"/>
                    </w:rPr>
                    <w:t>设置密闭操作间</w:t>
                  </w:r>
                  <w:r>
                    <w:rPr>
                      <w:rFonts w:hint="default" w:ascii="Times New Roman" w:hAnsi="Times New Roman" w:cs="Times New Roman"/>
                      <w:color w:val="000000"/>
                      <w:sz w:val="21"/>
                      <w:szCs w:val="21"/>
                      <w:lang w:val="en-US" w:eastAsia="zh-CN"/>
                    </w:rPr>
                    <w:t>。</w:t>
                  </w:r>
                </w:p>
              </w:tc>
              <w:tc>
                <w:tcPr>
                  <w:tcW w:w="583" w:type="pct"/>
                  <w:noWrap w:val="0"/>
                  <w:vAlign w:val="center"/>
                </w:tcPr>
                <w:p w14:paraId="19B85CA7">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相符</w:t>
                  </w:r>
                </w:p>
              </w:tc>
            </w:tr>
            <w:tr w14:paraId="53BF85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pct"/>
                  <w:noWrap w:val="0"/>
                  <w:vAlign w:val="center"/>
                </w:tcPr>
                <w:p w14:paraId="3B511374">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w:t>
                  </w:r>
                </w:p>
              </w:tc>
              <w:tc>
                <w:tcPr>
                  <w:tcW w:w="2669" w:type="pct"/>
                  <w:noWrap w:val="0"/>
                  <w:vAlign w:val="center"/>
                </w:tcPr>
                <w:p w14:paraId="3E5A2B50">
                  <w:pPr>
                    <w:spacing w:line="240" w:lineRule="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VOCs收集处理系统要求：</w:t>
                  </w:r>
                </w:p>
                <w:p w14:paraId="03513B97">
                  <w:pPr>
                    <w:numPr>
                      <w:ilvl w:val="0"/>
                      <w:numId w:val="3"/>
                    </w:numPr>
                    <w:spacing w:line="24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p w14:paraId="065A0F39">
                  <w:pPr>
                    <w:numPr>
                      <w:ilvl w:val="0"/>
                      <w:numId w:val="3"/>
                    </w:numPr>
                    <w:spacing w:line="24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废气收集系统使用集气罩的，控制风速不应低于0.3m/s（测量点应选取在距集气罩开口面最远处的VOCs无组织排放位置）。</w:t>
                  </w:r>
                </w:p>
                <w:p w14:paraId="6B47261E">
                  <w:pPr>
                    <w:numPr>
                      <w:ilvl w:val="0"/>
                      <w:numId w:val="3"/>
                    </w:numPr>
                    <w:spacing w:line="24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废气收集系统的输送管道应密闭。 </w:t>
                  </w:r>
                </w:p>
                <w:p w14:paraId="78206696">
                  <w:pPr>
                    <w:numPr>
                      <w:ilvl w:val="0"/>
                      <w:numId w:val="3"/>
                    </w:numPr>
                    <w:spacing w:line="24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收集的废气中NMHC初始排放速率≥2kg/h时，应配置VOCs处理设施，处理设施的处理效率不低于80%。</w:t>
                  </w:r>
                </w:p>
                <w:p w14:paraId="42E2182C">
                  <w:pPr>
                    <w:numPr>
                      <w:ilvl w:val="0"/>
                      <w:numId w:val="3"/>
                    </w:numPr>
                    <w:spacing w:line="24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排气筒的高度不低于15m。</w:t>
                  </w:r>
                </w:p>
                <w:p w14:paraId="159ABB2D">
                  <w:pPr>
                    <w:numPr>
                      <w:ilvl w:val="0"/>
                      <w:numId w:val="3"/>
                    </w:numPr>
                    <w:spacing w:line="24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企业应建立台账，记录废气收集系统、VOCs处理设施的主要运行和维护信息运行时间、废气处理量、操作温度、停留时间、吸附剂的更换周期及更换。</w:t>
                  </w:r>
                </w:p>
              </w:tc>
              <w:tc>
                <w:tcPr>
                  <w:tcW w:w="1310" w:type="pct"/>
                  <w:noWrap w:val="0"/>
                  <w:vAlign w:val="center"/>
                </w:tcPr>
                <w:p w14:paraId="2890E28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val="en-US" w:eastAsia="zh-CN"/>
                      <w14:textFill>
                        <w14:solidFill>
                          <w14:schemeClr w14:val="tx1"/>
                        </w14:solidFill>
                      </w14:textFill>
                    </w:rPr>
                    <w:t>项目</w:t>
                  </w:r>
                  <w:r>
                    <w:rPr>
                      <w:rFonts w:hint="default" w:ascii="Times New Roman" w:hAnsi="Times New Roman" w:cs="Times New Roman"/>
                      <w:color w:val="000000" w:themeColor="text1"/>
                      <w:sz w:val="21"/>
                      <w:szCs w:val="21"/>
                      <w14:textFill>
                        <w14:solidFill>
                          <w14:schemeClr w14:val="tx1"/>
                        </w14:solidFill>
                      </w14:textFill>
                    </w:rPr>
                    <w:t>废气收集处理系统发生故障或检修时</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立即停止生产工作</w:t>
                  </w:r>
                  <w:r>
                    <w:rPr>
                      <w:rFonts w:hint="eastAsia" w:cs="Times New Roman"/>
                      <w:color w:val="000000" w:themeColor="text1"/>
                      <w:sz w:val="21"/>
                      <w:szCs w:val="21"/>
                      <w:lang w:val="en-US" w:eastAsia="zh-CN"/>
                      <w14:textFill>
                        <w14:solidFill>
                          <w14:schemeClr w14:val="tx1"/>
                        </w14:solidFill>
                      </w14:textFill>
                    </w:rPr>
                    <w:t>。</w:t>
                  </w:r>
                </w:p>
                <w:p w14:paraId="35E3022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2.项目对注塑机设置密闭操作间，废气经密闭管道收集后进入二级活性炭装置，处理效率为90%。</w:t>
                  </w:r>
                  <w:r>
                    <w:rPr>
                      <w:rFonts w:hint="eastAsia"/>
                      <w:color w:val="000000" w:themeColor="text1"/>
                      <w:sz w:val="21"/>
                      <w:szCs w:val="21"/>
                      <w:lang w:val="en-US" w:eastAsia="zh-CN"/>
                      <w14:textFill>
                        <w14:solidFill>
                          <w14:schemeClr w14:val="tx1"/>
                        </w14:solidFill>
                      </w14:textFill>
                    </w:rPr>
                    <w:t>3.项目设置一根20m高排气筒。4.要求建立台账，</w:t>
                  </w:r>
                  <w:r>
                    <w:rPr>
                      <w:rFonts w:hint="default" w:ascii="Times New Roman" w:hAnsi="Times New Roman" w:cs="Times New Roman"/>
                      <w:color w:val="000000" w:themeColor="text1"/>
                      <w:sz w:val="21"/>
                      <w:szCs w:val="21"/>
                      <w14:textFill>
                        <w14:solidFill>
                          <w14:schemeClr w14:val="tx1"/>
                        </w14:solidFill>
                      </w14:textFill>
                    </w:rPr>
                    <w:t>记录废气收集系统、VOCs处理设施的主要运行和维护信息运行时间、废气处理量、操作温度、停留时间、吸附剂的更换周期及更换。</w:t>
                  </w:r>
                </w:p>
              </w:tc>
              <w:tc>
                <w:tcPr>
                  <w:tcW w:w="583" w:type="pct"/>
                  <w:noWrap w:val="0"/>
                  <w:vAlign w:val="center"/>
                </w:tcPr>
                <w:p w14:paraId="7B72500B">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相符</w:t>
                  </w:r>
                </w:p>
              </w:tc>
            </w:tr>
          </w:tbl>
          <w:p w14:paraId="321C6DBB">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000000"/>
                <w:lang w:val="en-US" w:eastAsia="zh-CN"/>
              </w:rPr>
            </w:pPr>
            <w:r>
              <w:rPr>
                <w:rFonts w:hint="eastAsia" w:cs="Times New Roman"/>
                <w:color w:val="000000"/>
                <w:lang w:val="en-US" w:eastAsia="zh-CN"/>
              </w:rPr>
              <w:t>（2）</w:t>
            </w:r>
            <w:r>
              <w:rPr>
                <w:rFonts w:hint="default" w:ascii="Times New Roman" w:hAnsi="Times New Roman" w:cs="Times New Roman"/>
                <w:color w:val="000000"/>
                <w:lang w:val="en-US" w:eastAsia="zh-CN"/>
              </w:rPr>
              <w:t>与</w:t>
            </w:r>
            <w:r>
              <w:rPr>
                <w:rFonts w:hint="default" w:ascii="Times New Roman" w:hAnsi="Times New Roman" w:cs="Times New Roman"/>
                <w:color w:val="000000"/>
                <w:sz w:val="24"/>
                <w:szCs w:val="24"/>
                <w:lang w:val="en-US" w:eastAsia="zh-CN"/>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安徽省淮河流域水污染防治条例</w:t>
            </w:r>
            <w:r>
              <w:rPr>
                <w:rFonts w:hint="default" w:ascii="Times New Roman" w:hAnsi="Times New Roman" w:cs="Times New Roman"/>
                <w:color w:val="000000"/>
                <w:sz w:val="24"/>
                <w:szCs w:val="24"/>
                <w:lang w:val="en-US" w:eastAsia="zh-CN"/>
              </w:rPr>
              <w:t>》</w:t>
            </w:r>
            <w:r>
              <w:rPr>
                <w:rFonts w:hint="default" w:ascii="Times New Roman" w:hAnsi="Times New Roman" w:cs="Times New Roman"/>
                <w:color w:val="000000"/>
                <w:lang w:val="en-US" w:eastAsia="zh-CN"/>
              </w:rPr>
              <w:t>相符性分析</w:t>
            </w:r>
          </w:p>
          <w:p w14:paraId="7E87B9BA">
            <w:pPr>
              <w:pStyle w:val="15"/>
              <w:keepNext w:val="0"/>
              <w:keepLines w:val="0"/>
              <w:pageBreakBefore w:val="0"/>
              <w:widowControl/>
              <w:numPr>
                <w:ilvl w:val="0"/>
                <w:numId w:val="0"/>
              </w:numPr>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表1-</w:t>
            </w:r>
            <w:r>
              <w:rPr>
                <w:rFonts w:hint="eastAsia" w:cs="Times New Roman"/>
                <w:b/>
                <w:color w:val="auto"/>
                <w:kern w:val="0"/>
                <w:sz w:val="21"/>
                <w:szCs w:val="21"/>
                <w:highlight w:val="none"/>
                <w:lang w:val="en-US" w:eastAsia="zh-CN" w:bidi="ar-SA"/>
              </w:rPr>
              <w:t xml:space="preserve">7  </w:t>
            </w:r>
            <w:r>
              <w:rPr>
                <w:rFonts w:hint="default" w:ascii="Times New Roman" w:hAnsi="Times New Roman" w:eastAsia="宋体" w:cs="Times New Roman"/>
                <w:b/>
                <w:color w:val="auto"/>
                <w:kern w:val="0"/>
                <w:sz w:val="21"/>
                <w:szCs w:val="21"/>
                <w:highlight w:val="none"/>
                <w:lang w:val="en-US" w:eastAsia="zh-CN" w:bidi="ar-SA"/>
              </w:rPr>
              <w:t>《安徽省淮河流域水污染防治条例》相符性分析</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861"/>
              <w:gridCol w:w="3194"/>
              <w:gridCol w:w="2112"/>
              <w:gridCol w:w="955"/>
            </w:tblGrid>
            <w:tr w14:paraId="0AC32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pct"/>
                  <w:tcBorders>
                    <w:tl2br w:val="nil"/>
                    <w:tr2bl w:val="nil"/>
                  </w:tcBorders>
                  <w:noWrap w:val="0"/>
                  <w:vAlign w:val="center"/>
                </w:tcPr>
                <w:p w14:paraId="0623938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color w:val="auto"/>
                      <w:kern w:val="0"/>
                      <w:sz w:val="21"/>
                      <w:szCs w:val="21"/>
                      <w:highlight w:val="none"/>
                      <w:lang w:eastAsia="zh-CN"/>
                    </w:rPr>
                  </w:pPr>
                  <w:r>
                    <w:rPr>
                      <w:rFonts w:hint="default" w:ascii="Times New Roman" w:hAnsi="Times New Roman" w:cs="Times New Roman"/>
                      <w:b/>
                      <w:color w:val="auto"/>
                      <w:kern w:val="0"/>
                      <w:sz w:val="21"/>
                      <w:szCs w:val="21"/>
                      <w:highlight w:val="none"/>
                      <w:lang w:val="en-US" w:eastAsia="zh-CN"/>
                    </w:rPr>
                    <w:t>序号</w:t>
                  </w:r>
                </w:p>
              </w:tc>
              <w:tc>
                <w:tcPr>
                  <w:tcW w:w="2586" w:type="pct"/>
                  <w:gridSpan w:val="2"/>
                  <w:tcBorders>
                    <w:tl2br w:val="nil"/>
                    <w:tr2bl w:val="nil"/>
                  </w:tcBorders>
                  <w:noWrap w:val="0"/>
                  <w:vAlign w:val="center"/>
                </w:tcPr>
                <w:p w14:paraId="35D312D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rPr>
                    <w:t>相关要求</w:t>
                  </w:r>
                </w:p>
              </w:tc>
              <w:tc>
                <w:tcPr>
                  <w:tcW w:w="1347" w:type="pct"/>
                  <w:tcBorders>
                    <w:tl2br w:val="nil"/>
                    <w:tr2bl w:val="nil"/>
                  </w:tcBorders>
                  <w:noWrap w:val="0"/>
                  <w:vAlign w:val="center"/>
                </w:tcPr>
                <w:p w14:paraId="51C9A90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本项目情况</w:t>
                  </w:r>
                </w:p>
              </w:tc>
              <w:tc>
                <w:tcPr>
                  <w:tcW w:w="609" w:type="pct"/>
                  <w:tcBorders>
                    <w:tl2br w:val="nil"/>
                    <w:tr2bl w:val="nil"/>
                  </w:tcBorders>
                  <w:noWrap w:val="0"/>
                  <w:vAlign w:val="center"/>
                </w:tcPr>
                <w:p w14:paraId="77F79E5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bCs/>
                      <w:color w:val="000000"/>
                      <w:sz w:val="21"/>
                      <w:szCs w:val="21"/>
                    </w:rPr>
                    <w:t>符合性</w:t>
                  </w:r>
                </w:p>
              </w:tc>
            </w:tr>
            <w:tr w14:paraId="3A058A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pct"/>
                  <w:tcBorders>
                    <w:tl2br w:val="nil"/>
                    <w:tr2bl w:val="nil"/>
                  </w:tcBorders>
                  <w:noWrap w:val="0"/>
                  <w:vAlign w:val="center"/>
                </w:tcPr>
                <w:p w14:paraId="1033A42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1</w:t>
                  </w:r>
                </w:p>
              </w:tc>
              <w:tc>
                <w:tcPr>
                  <w:tcW w:w="549" w:type="pct"/>
                  <w:tcBorders>
                    <w:tl2br w:val="nil"/>
                    <w:tr2bl w:val="nil"/>
                  </w:tcBorders>
                  <w:noWrap w:val="0"/>
                  <w:vAlign w:val="center"/>
                </w:tcPr>
                <w:p w14:paraId="43D136B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color w:val="auto"/>
                      <w:kern w:val="0"/>
                      <w:sz w:val="21"/>
                      <w:szCs w:val="21"/>
                      <w:highlight w:val="none"/>
                    </w:rPr>
                  </w:pPr>
                  <w:r>
                    <w:rPr>
                      <w:rFonts w:hint="default" w:ascii="Times New Roman" w:hAnsi="Times New Roman" w:cs="Times New Roman"/>
                      <w:b w:val="0"/>
                      <w:bCs/>
                      <w:color w:val="auto"/>
                      <w:kern w:val="0"/>
                      <w:sz w:val="21"/>
                      <w:szCs w:val="21"/>
                      <w:highlight w:val="none"/>
                    </w:rPr>
                    <w:t>第十三条</w:t>
                  </w:r>
                </w:p>
              </w:tc>
              <w:tc>
                <w:tcPr>
                  <w:tcW w:w="2037" w:type="pct"/>
                  <w:tcBorders>
                    <w:tl2br w:val="nil"/>
                    <w:tr2bl w:val="nil"/>
                  </w:tcBorders>
                  <w:noWrap w:val="0"/>
                  <w:vAlign w:val="center"/>
                </w:tcPr>
                <w:p w14:paraId="6144034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kern w:val="0"/>
                      <w:sz w:val="21"/>
                      <w:szCs w:val="21"/>
                      <w:highlight w:val="none"/>
                      <w:lang w:eastAsia="zh-CN"/>
                    </w:rPr>
                  </w:pPr>
                  <w:r>
                    <w:rPr>
                      <w:rFonts w:hint="default" w:ascii="Times New Roman" w:hAnsi="Times New Roman" w:cs="Times New Roman"/>
                      <w:b w:val="0"/>
                      <w:bCs/>
                      <w:color w:val="auto"/>
                      <w:kern w:val="0"/>
                      <w:sz w:val="21"/>
                      <w:szCs w:val="21"/>
                      <w:highlight w:val="none"/>
                    </w:rPr>
                    <w:t>严格限制在淮河流域新建印染、制革、化工、电镀、酿造等大中型项目或者其他污染严重的项目；建设该类项目的，应当事前征得省人民政府生态环境行政主管部门的同意，并按照规定办理有关手续</w:t>
                  </w:r>
                  <w:r>
                    <w:rPr>
                      <w:rFonts w:hint="default" w:ascii="Times New Roman" w:hAnsi="Times New Roman" w:cs="Times New Roman"/>
                      <w:b w:val="0"/>
                      <w:bCs/>
                      <w:color w:val="auto"/>
                      <w:kern w:val="0"/>
                      <w:sz w:val="21"/>
                      <w:szCs w:val="21"/>
                      <w:highlight w:val="none"/>
                      <w:lang w:eastAsia="zh-CN"/>
                    </w:rPr>
                    <w:t>。</w:t>
                  </w:r>
                </w:p>
              </w:tc>
              <w:tc>
                <w:tcPr>
                  <w:tcW w:w="1347" w:type="pct"/>
                  <w:tcBorders>
                    <w:tl2br w:val="nil"/>
                    <w:tr2bl w:val="nil"/>
                  </w:tcBorders>
                  <w:noWrap w:val="0"/>
                  <w:vAlign w:val="center"/>
                </w:tcPr>
                <w:p w14:paraId="07EE29E4">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本项目属于塑料零件及其他塑料制品制造项目，不属于印染、制革、化工、电镀、酿造等大中型项目或者其他污染严重的项目。</w:t>
                  </w:r>
                </w:p>
              </w:tc>
              <w:tc>
                <w:tcPr>
                  <w:tcW w:w="609" w:type="pct"/>
                  <w:tcBorders>
                    <w:tl2br w:val="nil"/>
                    <w:tr2bl w:val="nil"/>
                  </w:tcBorders>
                  <w:noWrap w:val="0"/>
                  <w:vAlign w:val="center"/>
                </w:tcPr>
                <w:p w14:paraId="5679095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color w:val="000000"/>
                      <w:sz w:val="21"/>
                      <w:szCs w:val="21"/>
                    </w:rPr>
                  </w:pPr>
                  <w:r>
                    <w:rPr>
                      <w:rFonts w:hint="default" w:ascii="Times New Roman" w:hAnsi="Times New Roman" w:eastAsia="宋体" w:cs="Times New Roman"/>
                      <w:sz w:val="21"/>
                      <w:szCs w:val="21"/>
                    </w:rPr>
                    <w:t>相符</w:t>
                  </w:r>
                </w:p>
              </w:tc>
            </w:tr>
            <w:tr w14:paraId="684CD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pct"/>
                  <w:vMerge w:val="restart"/>
                  <w:tcBorders>
                    <w:tl2br w:val="nil"/>
                    <w:tr2bl w:val="nil"/>
                  </w:tcBorders>
                  <w:noWrap w:val="0"/>
                  <w:vAlign w:val="center"/>
                </w:tcPr>
                <w:p w14:paraId="2F46E32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2</w:t>
                  </w:r>
                </w:p>
              </w:tc>
              <w:tc>
                <w:tcPr>
                  <w:tcW w:w="549" w:type="pct"/>
                  <w:vMerge w:val="restart"/>
                  <w:tcBorders>
                    <w:tl2br w:val="nil"/>
                    <w:tr2bl w:val="nil"/>
                  </w:tcBorders>
                  <w:noWrap w:val="0"/>
                  <w:vAlign w:val="center"/>
                </w:tcPr>
                <w:p w14:paraId="1F924B2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color w:val="auto"/>
                      <w:kern w:val="0"/>
                      <w:sz w:val="21"/>
                      <w:szCs w:val="21"/>
                      <w:highlight w:val="none"/>
                    </w:rPr>
                  </w:pPr>
                  <w:r>
                    <w:rPr>
                      <w:rFonts w:hint="default" w:ascii="Times New Roman" w:hAnsi="Times New Roman" w:cs="Times New Roman"/>
                      <w:b w:val="0"/>
                      <w:bCs/>
                      <w:color w:val="auto"/>
                      <w:kern w:val="0"/>
                      <w:sz w:val="21"/>
                      <w:szCs w:val="21"/>
                      <w:highlight w:val="none"/>
                    </w:rPr>
                    <w:t>第十四条</w:t>
                  </w:r>
                </w:p>
              </w:tc>
              <w:tc>
                <w:tcPr>
                  <w:tcW w:w="2037" w:type="pct"/>
                  <w:tcBorders>
                    <w:tl2br w:val="nil"/>
                    <w:tr2bl w:val="nil"/>
                  </w:tcBorders>
                  <w:noWrap w:val="0"/>
                  <w:vAlign w:val="center"/>
                </w:tcPr>
                <w:p w14:paraId="1ADD93E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color w:val="auto"/>
                      <w:kern w:val="0"/>
                      <w:sz w:val="21"/>
                      <w:szCs w:val="21"/>
                      <w:highlight w:val="none"/>
                    </w:rPr>
                  </w:pPr>
                  <w:r>
                    <w:rPr>
                      <w:rFonts w:hint="default" w:ascii="Times New Roman" w:hAnsi="Times New Roman" w:cs="Times New Roman"/>
                      <w:b w:val="0"/>
                      <w:bCs/>
                      <w:color w:val="auto"/>
                      <w:kern w:val="0"/>
                      <w:sz w:val="21"/>
                      <w:szCs w:val="21"/>
                      <w:highlight w:val="none"/>
                    </w:rPr>
                    <w:t>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p>
              </w:tc>
              <w:tc>
                <w:tcPr>
                  <w:tcW w:w="1347" w:type="pct"/>
                  <w:tcBorders>
                    <w:tl2br w:val="nil"/>
                    <w:tr2bl w:val="nil"/>
                  </w:tcBorders>
                  <w:noWrap w:val="0"/>
                  <w:vAlign w:val="center"/>
                </w:tcPr>
                <w:p w14:paraId="7A66787C">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本项目的水污染防治设施与主体工程同时设计、同时施工、同时投入使用。</w:t>
                  </w:r>
                </w:p>
              </w:tc>
              <w:tc>
                <w:tcPr>
                  <w:tcW w:w="609" w:type="pct"/>
                  <w:tcBorders>
                    <w:tl2br w:val="nil"/>
                    <w:tr2bl w:val="nil"/>
                  </w:tcBorders>
                  <w:noWrap w:val="0"/>
                  <w:vAlign w:val="center"/>
                </w:tcPr>
                <w:p w14:paraId="252C3FD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color w:val="000000"/>
                      <w:sz w:val="21"/>
                      <w:szCs w:val="21"/>
                    </w:rPr>
                  </w:pPr>
                  <w:r>
                    <w:rPr>
                      <w:rFonts w:hint="default" w:ascii="Times New Roman" w:hAnsi="Times New Roman" w:eastAsia="宋体" w:cs="Times New Roman"/>
                      <w:sz w:val="21"/>
                      <w:szCs w:val="21"/>
                    </w:rPr>
                    <w:t>相符</w:t>
                  </w:r>
                </w:p>
              </w:tc>
            </w:tr>
            <w:tr w14:paraId="54C60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pct"/>
                  <w:vMerge w:val="continue"/>
                  <w:tcBorders>
                    <w:tl2br w:val="nil"/>
                    <w:tr2bl w:val="nil"/>
                  </w:tcBorders>
                  <w:noWrap w:val="0"/>
                  <w:vAlign w:val="center"/>
                </w:tcPr>
                <w:p w14:paraId="212C908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color w:val="auto"/>
                      <w:kern w:val="0"/>
                      <w:sz w:val="21"/>
                      <w:szCs w:val="21"/>
                      <w:highlight w:val="none"/>
                      <w:lang w:val="en-US" w:eastAsia="zh-CN"/>
                    </w:rPr>
                  </w:pPr>
                </w:p>
              </w:tc>
              <w:tc>
                <w:tcPr>
                  <w:tcW w:w="549" w:type="pct"/>
                  <w:vMerge w:val="continue"/>
                  <w:tcBorders>
                    <w:tl2br w:val="nil"/>
                    <w:tr2bl w:val="nil"/>
                  </w:tcBorders>
                  <w:noWrap w:val="0"/>
                  <w:vAlign w:val="center"/>
                </w:tcPr>
                <w:p w14:paraId="5755FB3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color w:val="auto"/>
                      <w:kern w:val="0"/>
                      <w:sz w:val="21"/>
                      <w:szCs w:val="21"/>
                      <w:highlight w:val="none"/>
                    </w:rPr>
                  </w:pPr>
                </w:p>
              </w:tc>
              <w:tc>
                <w:tcPr>
                  <w:tcW w:w="2037" w:type="pct"/>
                  <w:tcBorders>
                    <w:tl2br w:val="nil"/>
                    <w:tr2bl w:val="nil"/>
                  </w:tcBorders>
                  <w:noWrap w:val="0"/>
                  <w:vAlign w:val="center"/>
                </w:tcPr>
                <w:p w14:paraId="0985450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color w:val="auto"/>
                      <w:kern w:val="0"/>
                      <w:sz w:val="21"/>
                      <w:szCs w:val="21"/>
                      <w:highlight w:val="none"/>
                    </w:rPr>
                  </w:pPr>
                  <w:r>
                    <w:rPr>
                      <w:rFonts w:hint="default" w:ascii="Times New Roman" w:hAnsi="Times New Roman" w:cs="Times New Roman"/>
                      <w:b w:val="0"/>
                      <w:bCs/>
                      <w:color w:val="auto"/>
                      <w:kern w:val="0"/>
                      <w:sz w:val="21"/>
                      <w:szCs w:val="21"/>
                      <w:highlight w:val="none"/>
                    </w:rPr>
                    <w:t>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p>
              </w:tc>
              <w:tc>
                <w:tcPr>
                  <w:tcW w:w="1347" w:type="pct"/>
                  <w:tcBorders>
                    <w:tl2br w:val="nil"/>
                    <w:tr2bl w:val="nil"/>
                  </w:tcBorders>
                  <w:noWrap w:val="0"/>
                  <w:vAlign w:val="center"/>
                </w:tcPr>
                <w:p w14:paraId="3F748465">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本项目选址位于安徽省淮南市潘集经济开发区（北区）功能塑料园7#1、2层，符合用地和产业规划，评价范围内不涉及饮用水水源地和对环境有特殊要求的功能区。</w:t>
                  </w:r>
                </w:p>
              </w:tc>
              <w:tc>
                <w:tcPr>
                  <w:tcW w:w="609" w:type="pct"/>
                  <w:tcBorders>
                    <w:tl2br w:val="nil"/>
                    <w:tr2bl w:val="nil"/>
                  </w:tcBorders>
                  <w:noWrap w:val="0"/>
                  <w:vAlign w:val="center"/>
                </w:tcPr>
                <w:p w14:paraId="60C4804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color w:val="000000"/>
                      <w:sz w:val="21"/>
                      <w:szCs w:val="21"/>
                    </w:rPr>
                  </w:pPr>
                  <w:r>
                    <w:rPr>
                      <w:rFonts w:hint="default" w:ascii="Times New Roman" w:hAnsi="Times New Roman" w:eastAsia="宋体" w:cs="Times New Roman"/>
                      <w:sz w:val="21"/>
                      <w:szCs w:val="21"/>
                    </w:rPr>
                    <w:t>相符</w:t>
                  </w:r>
                </w:p>
              </w:tc>
            </w:tr>
            <w:tr w14:paraId="3BEDE6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pct"/>
                  <w:tcBorders>
                    <w:tl2br w:val="nil"/>
                    <w:tr2bl w:val="nil"/>
                  </w:tcBorders>
                  <w:noWrap w:val="0"/>
                  <w:vAlign w:val="center"/>
                </w:tcPr>
                <w:p w14:paraId="56582C9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3</w:t>
                  </w:r>
                </w:p>
              </w:tc>
              <w:tc>
                <w:tcPr>
                  <w:tcW w:w="549" w:type="pct"/>
                  <w:tcBorders>
                    <w:tl2br w:val="nil"/>
                    <w:tr2bl w:val="nil"/>
                  </w:tcBorders>
                  <w:noWrap w:val="0"/>
                  <w:vAlign w:val="center"/>
                </w:tcPr>
                <w:p w14:paraId="7C8ECD8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color w:val="auto"/>
                      <w:kern w:val="0"/>
                      <w:sz w:val="21"/>
                      <w:szCs w:val="21"/>
                      <w:highlight w:val="none"/>
                    </w:rPr>
                  </w:pPr>
                  <w:r>
                    <w:rPr>
                      <w:rFonts w:hint="default" w:ascii="Times New Roman" w:hAnsi="Times New Roman" w:cs="Times New Roman"/>
                      <w:b w:val="0"/>
                      <w:bCs/>
                      <w:color w:val="auto"/>
                      <w:kern w:val="0"/>
                      <w:sz w:val="21"/>
                      <w:szCs w:val="21"/>
                      <w:highlight w:val="none"/>
                    </w:rPr>
                    <w:t>第十五条</w:t>
                  </w:r>
                </w:p>
              </w:tc>
              <w:tc>
                <w:tcPr>
                  <w:tcW w:w="2037" w:type="pct"/>
                  <w:tcBorders>
                    <w:tl2br w:val="nil"/>
                    <w:tr2bl w:val="nil"/>
                  </w:tcBorders>
                  <w:noWrap w:val="0"/>
                  <w:vAlign w:val="center"/>
                </w:tcPr>
                <w:p w14:paraId="71EE23E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color w:val="auto"/>
                      <w:kern w:val="0"/>
                      <w:sz w:val="21"/>
                      <w:szCs w:val="21"/>
                      <w:highlight w:val="none"/>
                    </w:rPr>
                  </w:pPr>
                  <w:r>
                    <w:rPr>
                      <w:rFonts w:hint="default" w:ascii="Times New Roman" w:hAnsi="Times New Roman" w:cs="Times New Roman"/>
                      <w:b w:val="0"/>
                      <w:bCs/>
                      <w:color w:val="auto"/>
                      <w:kern w:val="0"/>
                      <w:sz w:val="21"/>
                      <w:szCs w:val="21"/>
                      <w:highlight w:val="none"/>
                    </w:rPr>
                    <w:t>所有排污单位的污水治理设施，应当确保正常运转，达标排放</w:t>
                  </w:r>
                </w:p>
              </w:tc>
              <w:tc>
                <w:tcPr>
                  <w:tcW w:w="1347" w:type="pct"/>
                  <w:tcBorders>
                    <w:tl2br w:val="nil"/>
                    <w:tr2bl w:val="nil"/>
                  </w:tcBorders>
                  <w:noWrap w:val="0"/>
                  <w:vAlign w:val="center"/>
                </w:tcPr>
                <w:p w14:paraId="31B6C894">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项目废水纳管接入</w:t>
                  </w:r>
                  <w:r>
                    <w:rPr>
                      <w:rFonts w:hint="eastAsia" w:cs="Times New Roman"/>
                      <w:color w:val="000000" w:themeColor="text1"/>
                      <w:sz w:val="21"/>
                      <w:szCs w:val="21"/>
                      <w:lang w:val="en-US" w:eastAsia="zh-CN"/>
                      <w14:textFill>
                        <w14:solidFill>
                          <w14:schemeClr w14:val="tx1"/>
                        </w14:solidFill>
                      </w14:textFill>
                    </w:rPr>
                    <w:t>淮南市潘集污水处理厂</w:t>
                  </w:r>
                  <w:r>
                    <w:rPr>
                      <w:rFonts w:hint="default" w:ascii="Times New Roman" w:hAnsi="Times New Roman" w:cs="Times New Roman"/>
                      <w:color w:val="000000" w:themeColor="text1"/>
                      <w:sz w:val="21"/>
                      <w:szCs w:val="21"/>
                      <w:lang w:val="en-US" w:eastAsia="zh-CN"/>
                      <w14:textFill>
                        <w14:solidFill>
                          <w14:schemeClr w14:val="tx1"/>
                        </w14:solidFill>
                      </w14:textFill>
                    </w:rPr>
                    <w:t>进行处理。</w:t>
                  </w:r>
                </w:p>
              </w:tc>
              <w:tc>
                <w:tcPr>
                  <w:tcW w:w="609" w:type="pct"/>
                  <w:tcBorders>
                    <w:tl2br w:val="nil"/>
                    <w:tr2bl w:val="nil"/>
                  </w:tcBorders>
                  <w:noWrap w:val="0"/>
                  <w:vAlign w:val="center"/>
                </w:tcPr>
                <w:p w14:paraId="4D72FB3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color w:val="000000"/>
                      <w:sz w:val="21"/>
                      <w:szCs w:val="21"/>
                    </w:rPr>
                  </w:pPr>
                  <w:r>
                    <w:rPr>
                      <w:rFonts w:hint="default" w:ascii="Times New Roman" w:hAnsi="Times New Roman" w:eastAsia="宋体" w:cs="Times New Roman"/>
                      <w:sz w:val="21"/>
                      <w:szCs w:val="21"/>
                    </w:rPr>
                    <w:t>相符</w:t>
                  </w:r>
                </w:p>
              </w:tc>
            </w:tr>
            <w:tr w14:paraId="0A0F72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pct"/>
                  <w:tcBorders>
                    <w:tl2br w:val="nil"/>
                    <w:tr2bl w:val="nil"/>
                  </w:tcBorders>
                  <w:noWrap w:val="0"/>
                  <w:vAlign w:val="center"/>
                </w:tcPr>
                <w:p w14:paraId="7E2F59D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4</w:t>
                  </w:r>
                </w:p>
              </w:tc>
              <w:tc>
                <w:tcPr>
                  <w:tcW w:w="549" w:type="pct"/>
                  <w:tcBorders>
                    <w:tl2br w:val="nil"/>
                    <w:tr2bl w:val="nil"/>
                  </w:tcBorders>
                  <w:noWrap w:val="0"/>
                  <w:vAlign w:val="center"/>
                </w:tcPr>
                <w:p w14:paraId="61119A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第十九条</w:t>
                  </w:r>
                </w:p>
              </w:tc>
              <w:tc>
                <w:tcPr>
                  <w:tcW w:w="2037" w:type="pct"/>
                  <w:tcBorders>
                    <w:tl2br w:val="nil"/>
                    <w:tr2bl w:val="nil"/>
                  </w:tcBorders>
                  <w:noWrap w:val="0"/>
                  <w:vAlign w:val="center"/>
                </w:tcPr>
                <w:p w14:paraId="3BA0EB3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禁止下列行为（和项目有关的行为）</w:t>
                  </w:r>
                </w:p>
                <w:p w14:paraId="3755B695">
                  <w:pPr>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向水体排放或者倾倒油类、酸液、碱液和其他有毒有害液体</w:t>
                  </w:r>
                  <w:r>
                    <w:rPr>
                      <w:rFonts w:hint="default" w:ascii="Times New Roman" w:hAnsi="Times New Roman" w:cs="Times New Roman"/>
                      <w:color w:val="000000" w:themeColor="text1"/>
                      <w:sz w:val="21"/>
                      <w:szCs w:val="21"/>
                      <w:lang w:eastAsia="zh-CN"/>
                      <w14:textFill>
                        <w14:solidFill>
                          <w14:schemeClr w14:val="tx1"/>
                        </w14:solidFill>
                      </w14:textFill>
                    </w:rPr>
                    <w:t>；</w:t>
                  </w:r>
                </w:p>
                <w:p w14:paraId="311F3DC3">
                  <w:pPr>
                    <w:keepNext w:val="0"/>
                    <w:keepLines w:val="0"/>
                    <w:pageBreakBefore w:val="0"/>
                    <w:widowControl w:val="0"/>
                    <w:numPr>
                      <w:ilvl w:val="0"/>
                      <w:numId w:val="5"/>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向水体排放、倾倒工业废渣、城镇垃圾和其他废弃物</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六</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利用渗井、渗坑、裂隙、溶洞、塌陷区和废弃矿坑排放、倾倒，或者利用无防渗措施的沟渠、坑塘输送或者存贮含毒污染物或者病原体的废水和其他废弃物</w:t>
                  </w:r>
                  <w:r>
                    <w:rPr>
                      <w:rFonts w:hint="default" w:ascii="Times New Roman" w:hAnsi="Times New Roman" w:cs="Times New Roman"/>
                      <w:color w:val="000000" w:themeColor="text1"/>
                      <w:sz w:val="21"/>
                      <w:szCs w:val="21"/>
                      <w:lang w:eastAsia="zh-CN"/>
                      <w14:textFill>
                        <w14:solidFill>
                          <w14:schemeClr w14:val="tx1"/>
                        </w14:solidFill>
                      </w14:textFill>
                    </w:rPr>
                    <w:t>；</w:t>
                  </w:r>
                </w:p>
                <w:p w14:paraId="773BD9B0">
                  <w:pPr>
                    <w:keepNext w:val="0"/>
                    <w:keepLines w:val="0"/>
                    <w:pageBreakBefore w:val="0"/>
                    <w:widowControl w:val="0"/>
                    <w:numPr>
                      <w:ilvl w:val="0"/>
                      <w:numId w:val="6"/>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引进不符合国家环境保护规定要求的技术和设备</w:t>
                  </w:r>
                  <w:r>
                    <w:rPr>
                      <w:rFonts w:hint="default" w:ascii="Times New Roman" w:hAnsi="Times New Roman" w:cs="Times New Roman"/>
                      <w:color w:val="000000" w:themeColor="text1"/>
                      <w:sz w:val="21"/>
                      <w:szCs w:val="21"/>
                      <w:lang w:eastAsia="zh-CN"/>
                      <w14:textFill>
                        <w14:solidFill>
                          <w14:schemeClr w14:val="tx1"/>
                        </w14:solidFill>
                      </w14:textFill>
                    </w:rPr>
                    <w:t>；</w:t>
                  </w:r>
                </w:p>
                <w:p w14:paraId="3D6B6F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十</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法律、法规禁止的其他行为禁止下列行为</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和项目有关的行为</w:t>
                  </w:r>
                  <w:r>
                    <w:rPr>
                      <w:rFonts w:hint="eastAsia" w:cs="Times New Roman"/>
                      <w:color w:val="000000" w:themeColor="text1"/>
                      <w:sz w:val="21"/>
                      <w:szCs w:val="21"/>
                      <w:lang w:eastAsia="zh-CN"/>
                      <w14:textFill>
                        <w14:solidFill>
                          <w14:schemeClr w14:val="tx1"/>
                        </w14:solidFill>
                      </w14:textFill>
                    </w:rPr>
                    <w:t>）</w:t>
                  </w:r>
                </w:p>
              </w:tc>
              <w:tc>
                <w:tcPr>
                  <w:tcW w:w="1347" w:type="pct"/>
                  <w:tcBorders>
                    <w:tl2br w:val="nil"/>
                    <w:tr2bl w:val="nil"/>
                  </w:tcBorders>
                  <w:noWrap w:val="0"/>
                  <w:vAlign w:val="center"/>
                </w:tcPr>
                <w:p w14:paraId="7F00C7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要求企业严格遵守《安徽省淮河流域水污染防治条例》，不得有明令禁止的违法行为</w:t>
                  </w: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609" w:type="pct"/>
                  <w:tcBorders>
                    <w:tl2br w:val="nil"/>
                    <w:tr2bl w:val="nil"/>
                  </w:tcBorders>
                  <w:noWrap w:val="0"/>
                  <w:vAlign w:val="center"/>
                </w:tcPr>
                <w:p w14:paraId="0C1F560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color w:val="000000"/>
                      <w:sz w:val="21"/>
                      <w:szCs w:val="21"/>
                    </w:rPr>
                  </w:pPr>
                  <w:r>
                    <w:rPr>
                      <w:rFonts w:hint="default" w:ascii="Times New Roman" w:hAnsi="Times New Roman" w:eastAsia="宋体" w:cs="Times New Roman"/>
                      <w:sz w:val="21"/>
                      <w:szCs w:val="21"/>
                    </w:rPr>
                    <w:t>相符</w:t>
                  </w:r>
                </w:p>
              </w:tc>
            </w:tr>
          </w:tbl>
          <w:p w14:paraId="3F343096">
            <w:pPr>
              <w:pStyle w:val="12"/>
              <w:spacing w:before="0" w:after="0" w:line="360" w:lineRule="auto"/>
              <w:ind w:right="0" w:firstLine="480" w:firstLineChars="200"/>
              <w:rPr>
                <w:rFonts w:hint="default" w:ascii="Times New Roman" w:hAnsi="Times New Roman" w:cs="Times New Roman"/>
                <w:color w:val="000000" w:themeColor="text1"/>
                <w:sz w:val="24"/>
                <w:szCs w:val="24"/>
                <w14:textFill>
                  <w14:solidFill>
                    <w14:schemeClr w14:val="tx1"/>
                  </w14:solidFill>
                </w14:textFill>
              </w:rPr>
            </w:pPr>
          </w:p>
        </w:tc>
      </w:tr>
    </w:tbl>
    <w:p w14:paraId="4FE744DE">
      <w:pPr>
        <w:outlineLvl w:val="0"/>
        <w:rPr>
          <w:color w:val="000000"/>
          <w:sz w:val="30"/>
        </w:rPr>
        <w:sectPr>
          <w:footerReference r:id="rId8" w:type="default"/>
          <w:pgSz w:w="11906" w:h="16838"/>
          <w:pgMar w:top="1531" w:right="1531" w:bottom="153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7A3FD299">
      <w:pPr>
        <w:pStyle w:val="2"/>
        <w:keepNext/>
        <w:keepLines w:val="0"/>
        <w:pageBreakBefore w:val="0"/>
        <w:widowControl w:val="0"/>
        <w:numPr>
          <w:ilvl w:val="0"/>
          <w:numId w:val="7"/>
        </w:numPr>
        <w:kinsoku/>
        <w:wordWrap/>
        <w:overflowPunct w:val="0"/>
        <w:topLinePunct w:val="0"/>
        <w:autoSpaceDE/>
        <w:autoSpaceDN/>
        <w:bidi w:val="0"/>
        <w:adjustRightInd/>
        <w:snapToGrid w:val="0"/>
        <w:spacing w:line="240" w:lineRule="auto"/>
        <w:textAlignment w:val="auto"/>
        <w:rPr>
          <w:rFonts w:hint="eastAsia"/>
          <w:color w:val="000000"/>
        </w:rPr>
      </w:pPr>
      <w:r>
        <w:rPr>
          <w:rFonts w:hint="eastAsia"/>
          <w:color w:val="000000"/>
        </w:rPr>
        <w:t>建设项目工程分析</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8353"/>
      </w:tblGrid>
      <w:tr w14:paraId="2B2E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trPr>
        <w:tc>
          <w:tcPr>
            <w:tcW w:w="390" w:type="pct"/>
            <w:noWrap w:val="0"/>
            <w:vAlign w:val="center"/>
          </w:tcPr>
          <w:p w14:paraId="5F67C6A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color w:val="000000"/>
                <w:vertAlign w:val="baseline"/>
              </w:rPr>
            </w:pPr>
            <w:r>
              <w:rPr>
                <w:b w:val="0"/>
                <w:bCs/>
                <w:color w:val="000000"/>
                <w:sz w:val="24"/>
                <w:szCs w:val="24"/>
              </w:rPr>
              <w:t>建设内容</w:t>
            </w:r>
          </w:p>
        </w:tc>
        <w:tc>
          <w:tcPr>
            <w:tcW w:w="4609" w:type="pct"/>
            <w:noWrap w:val="0"/>
            <w:vAlign w:val="top"/>
          </w:tcPr>
          <w:p w14:paraId="35F25EE5">
            <w:pPr>
              <w:keepNext w:val="0"/>
              <w:keepLines w:val="0"/>
              <w:pageBreakBefore w:val="0"/>
              <w:widowControl w:val="0"/>
              <w:numPr>
                <w:ilvl w:val="0"/>
                <w:numId w:val="8"/>
              </w:numPr>
              <w:kinsoku/>
              <w:wordWrap/>
              <w:overflowPunct/>
              <w:topLinePunct w:val="0"/>
              <w:autoSpaceDE/>
              <w:autoSpaceDN/>
              <w:bidi w:val="0"/>
              <w:adjustRightInd/>
              <w:snapToGrid/>
              <w:ind w:leftChars="200"/>
              <w:textAlignment w:val="auto"/>
              <w:rPr>
                <w:rFonts w:hint="eastAsia"/>
                <w:b/>
                <w:color w:val="000000" w:themeColor="text1"/>
                <w:lang w:val="en-US" w:eastAsia="zh-CN"/>
                <w14:textFill>
                  <w14:solidFill>
                    <w14:schemeClr w14:val="tx1"/>
                  </w14:solidFill>
                </w14:textFill>
              </w:rPr>
            </w:pPr>
            <w:r>
              <w:rPr>
                <w:rFonts w:hint="eastAsia"/>
                <w:b/>
                <w:color w:val="000000" w:themeColor="text1"/>
                <w:lang w:val="en-US" w:eastAsia="zh-CN"/>
                <w14:textFill>
                  <w14:solidFill>
                    <w14:schemeClr w14:val="tx1"/>
                  </w14:solidFill>
                </w14:textFill>
              </w:rPr>
              <w:t>项目由来</w:t>
            </w:r>
          </w:p>
          <w:p w14:paraId="5BF7F4C7">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安徽昊盛塑胶制品有限公司</w:t>
            </w:r>
            <w:r>
              <w:rPr>
                <w:rFonts w:hint="eastAsia"/>
                <w:color w:val="000000" w:themeColor="text1"/>
                <w:lang w:val="en-US" w:eastAsia="zh-CN"/>
                <w14:textFill>
                  <w14:solidFill>
                    <w14:schemeClr w14:val="tx1"/>
                  </w14:solidFill>
                </w14:textFill>
              </w:rPr>
              <w:t>位于</w:t>
            </w:r>
            <w:r>
              <w:rPr>
                <w:rFonts w:hint="default" w:ascii="Times New Roman" w:hAnsi="Times New Roman" w:cs="Times New Roman"/>
                <w:b w:val="0"/>
                <w:bCs/>
                <w:color w:val="000000" w:themeColor="text1"/>
                <w:sz w:val="24"/>
                <w:szCs w:val="24"/>
                <w14:textFill>
                  <w14:solidFill>
                    <w14:schemeClr w14:val="tx1"/>
                  </w14:solidFill>
                </w14:textFill>
              </w:rPr>
              <w:t>安徽省</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淮南</w:t>
            </w:r>
            <w:r>
              <w:rPr>
                <w:rFonts w:hint="default" w:ascii="Times New Roman" w:hAnsi="Times New Roman" w:cs="Times New Roman"/>
                <w:b w:val="0"/>
                <w:bCs/>
                <w:color w:val="000000" w:themeColor="text1"/>
                <w:sz w:val="24"/>
                <w:szCs w:val="24"/>
                <w14:textFill>
                  <w14:solidFill>
                    <w14:schemeClr w14:val="tx1"/>
                  </w14:solidFill>
                </w14:textFill>
              </w:rPr>
              <w:t>市</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潘集经济开发区（北区）</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功能塑料园7#1、2层</w:t>
            </w:r>
            <w:r>
              <w:rPr>
                <w:rFonts w:hint="eastAsia"/>
                <w:color w:val="000000" w:themeColor="text1"/>
                <w:lang w:val="en-US" w:eastAsia="zh-CN"/>
                <w14:textFill>
                  <w14:solidFill>
                    <w14:schemeClr w14:val="tx1"/>
                  </w14:solidFill>
                </w14:textFill>
              </w:rPr>
              <w:t>，公司租赁园区内已建</w:t>
            </w:r>
            <w:r>
              <w:rPr>
                <w:rFonts w:hint="eastAsia"/>
                <w:color w:val="000000" w:themeColor="text1"/>
                <w:highlight w:val="none"/>
                <w:lang w:val="en-US" w:eastAsia="zh-CN"/>
                <w14:textFill>
                  <w14:solidFill>
                    <w14:schemeClr w14:val="tx1"/>
                  </w14:solidFill>
                </w14:textFill>
              </w:rPr>
              <w:t>厂房</w:t>
            </w:r>
            <w:r>
              <w:rPr>
                <w:rFonts w:hint="eastAsia"/>
                <w:color w:val="000000" w:themeColor="text1"/>
                <w:lang w:val="en-US" w:eastAsia="zh-CN"/>
                <w14:textFill>
                  <w14:solidFill>
                    <w14:schemeClr w14:val="tx1"/>
                  </w14:solidFill>
                </w14:textFill>
              </w:rPr>
              <w:t>投资建设“</w:t>
            </w:r>
            <w:r>
              <w:rPr>
                <w:rFonts w:hint="default" w:ascii="Times New Roman" w:hAnsi="Times New Roman" w:cs="Times New Roman"/>
                <w:b w:val="0"/>
                <w:bCs/>
                <w:color w:val="000000" w:themeColor="text1"/>
                <w:sz w:val="24"/>
                <w:szCs w:val="24"/>
                <w:lang w:eastAsia="zh-CN"/>
                <w14:textFill>
                  <w14:solidFill>
                    <w14:schemeClr w14:val="tx1"/>
                  </w14:solidFill>
                </w14:textFill>
              </w:rPr>
              <w:t>年产600万套高档化妆品包装及新能源汽车塑料零部件项目</w:t>
            </w:r>
            <w:r>
              <w:rPr>
                <w:rFonts w:hint="eastAsia"/>
                <w:color w:val="000000" w:themeColor="text1"/>
                <w:lang w:val="en-US" w:eastAsia="zh-CN"/>
                <w14:textFill>
                  <w14:solidFill>
                    <w14:schemeClr w14:val="tx1"/>
                  </w14:solidFill>
                </w14:textFill>
              </w:rPr>
              <w:t>”，项目建成后年产</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300</w:t>
            </w:r>
            <w:r>
              <w:rPr>
                <w:rFonts w:hint="default" w:ascii="Times New Roman" w:hAnsi="Times New Roman" w:cs="Times New Roman"/>
                <w:b w:val="0"/>
                <w:bCs/>
                <w:color w:val="000000" w:themeColor="text1"/>
                <w:sz w:val="24"/>
                <w:szCs w:val="24"/>
                <w:lang w:eastAsia="zh-CN"/>
                <w14:textFill>
                  <w14:solidFill>
                    <w14:schemeClr w14:val="tx1"/>
                  </w14:solidFill>
                </w14:textFill>
              </w:rPr>
              <w:t>万套高档化妆品包装</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、300万</w:t>
            </w:r>
            <w:r>
              <w:rPr>
                <w:rFonts w:hint="default" w:ascii="Times New Roman" w:hAnsi="Times New Roman" w:cs="Times New Roman"/>
                <w:b w:val="0"/>
                <w:bCs/>
                <w:color w:val="000000" w:themeColor="text1"/>
                <w:sz w:val="24"/>
                <w:szCs w:val="24"/>
                <w:lang w:eastAsia="zh-CN"/>
                <w14:textFill>
                  <w14:solidFill>
                    <w14:schemeClr w14:val="tx1"/>
                  </w14:solidFill>
                </w14:textFill>
              </w:rPr>
              <w:t>套新能源汽车塑料零部件</w:t>
            </w:r>
            <w:r>
              <w:rPr>
                <w:rFonts w:hint="eastAsia" w:ascii="Times New Roman" w:hAnsi="Times New Roman" w:cs="Times New Roman"/>
                <w:b w:val="0"/>
                <w:bCs/>
                <w:color w:val="000000" w:themeColor="text1"/>
                <w:sz w:val="24"/>
                <w:szCs w:val="24"/>
                <w:lang w:eastAsia="zh-CN"/>
                <w14:textFill>
                  <w14:solidFill>
                    <w14:schemeClr w14:val="tx1"/>
                  </w14:solidFill>
                </w14:textFill>
              </w:rPr>
              <w:t>。</w:t>
            </w:r>
          </w:p>
          <w:p w14:paraId="569558F7">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color w:val="000000"/>
              </w:rPr>
            </w:pPr>
            <w:r>
              <w:rPr>
                <w:rFonts w:hint="eastAsia"/>
                <w:color w:val="000000"/>
              </w:rPr>
              <w:t>根据项目备案文件，本项目备案文件国标行业为“</w:t>
            </w:r>
            <w:r>
              <w:rPr>
                <w:rFonts w:hint="eastAsia"/>
                <w:color w:val="000000"/>
                <w:lang w:eastAsia="zh-CN"/>
              </w:rPr>
              <w:t>塑料零件及其他塑料制品制造</w:t>
            </w:r>
            <w:r>
              <w:rPr>
                <w:rFonts w:hint="eastAsia"/>
                <w:color w:val="000000"/>
              </w:rPr>
              <w:t>”，其属于《国民经济行业分类》（2019修订版）的“</w:t>
            </w:r>
            <w:r>
              <w:rPr>
                <w:rFonts w:hint="eastAsia"/>
                <w:bCs/>
                <w:color w:val="000000"/>
              </w:rPr>
              <w:t>C2929 塑料零件及其他塑料制品制造</w:t>
            </w:r>
            <w:r>
              <w:rPr>
                <w:rFonts w:hint="eastAsia"/>
                <w:color w:val="000000"/>
              </w:rPr>
              <w:t>”。</w:t>
            </w:r>
            <w:r>
              <w:rPr>
                <w:rFonts w:hint="eastAsia"/>
                <w:color w:val="000000"/>
                <w:lang w:val="en-US" w:eastAsia="zh-CN"/>
              </w:rPr>
              <w:t>本项目不使用再生塑料，</w:t>
            </w:r>
            <w:r>
              <w:rPr>
                <w:rFonts w:hint="eastAsia"/>
                <w:color w:val="000000"/>
              </w:rPr>
              <w:t>根据《建设项目环境影响评价分类管理名录（2021年版）》可知，</w:t>
            </w:r>
            <w:r>
              <w:rPr>
                <w:rFonts w:hint="eastAsia"/>
                <w:bCs/>
                <w:color w:val="000000"/>
                <w:lang w:eastAsia="zh-CN"/>
              </w:rPr>
              <w:t>“C2929 塑料零件及其他塑料制品制造”</w:t>
            </w:r>
            <w:r>
              <w:rPr>
                <w:rFonts w:hint="eastAsia"/>
                <w:color w:val="000000"/>
              </w:rPr>
              <w:t>属于名录表中的“二十六、橡胶和塑料制品业20”之下的“</w:t>
            </w:r>
            <w:r>
              <w:rPr>
                <w:rFonts w:hint="eastAsia"/>
                <w:color w:val="000000"/>
                <w:lang w:val="en-US" w:eastAsia="zh-CN"/>
              </w:rPr>
              <w:t>53.塑料制品业292</w:t>
            </w:r>
            <w:r>
              <w:rPr>
                <w:rFonts w:hint="eastAsia"/>
                <w:color w:val="000000"/>
              </w:rPr>
              <w:t>”的报告表项：“其他（年用非溶剂型低VOCs含量涂料10吨以下的除外）”</w:t>
            </w:r>
            <w:r>
              <w:rPr>
                <w:rFonts w:hint="eastAsia"/>
                <w:color w:val="000000"/>
                <w:lang w:eastAsia="zh-CN"/>
              </w:rPr>
              <w:t>，</w:t>
            </w:r>
            <w:r>
              <w:rPr>
                <w:rFonts w:hint="eastAsia"/>
                <w:color w:val="000000"/>
              </w:rPr>
              <w:t>故项目需编制报告表。</w:t>
            </w:r>
          </w:p>
          <w:p w14:paraId="3E99FB74">
            <w:pPr>
              <w:snapToGrid w:val="0"/>
              <w:spacing w:line="240" w:lineRule="auto"/>
              <w:jc w:val="center"/>
              <w:rPr>
                <w:rFonts w:hint="eastAsia"/>
                <w:b/>
                <w:bCs/>
                <w:color w:val="000000"/>
                <w:sz w:val="21"/>
                <w:szCs w:val="21"/>
              </w:rPr>
            </w:pPr>
            <w:r>
              <w:rPr>
                <w:rFonts w:hint="eastAsia"/>
                <w:b/>
                <w:bCs/>
                <w:color w:val="000000"/>
                <w:sz w:val="21"/>
                <w:szCs w:val="21"/>
              </w:rPr>
              <w:t>表2-1</w:t>
            </w:r>
            <w:r>
              <w:rPr>
                <w:rFonts w:hint="eastAsia"/>
                <w:b/>
                <w:bCs/>
                <w:color w:val="000000"/>
                <w:sz w:val="21"/>
                <w:szCs w:val="21"/>
                <w:lang w:eastAsia="zh-CN"/>
              </w:rPr>
              <w:t xml:space="preserve"> </w:t>
            </w:r>
            <w:r>
              <w:rPr>
                <w:rFonts w:hint="eastAsia"/>
                <w:b/>
                <w:bCs/>
                <w:color w:val="000000"/>
                <w:sz w:val="21"/>
                <w:szCs w:val="21"/>
                <w:lang w:val="en-US" w:eastAsia="zh-CN"/>
              </w:rPr>
              <w:t xml:space="preserve"> </w:t>
            </w:r>
            <w:r>
              <w:rPr>
                <w:rFonts w:hint="eastAsia"/>
                <w:b/>
                <w:bCs/>
                <w:color w:val="000000"/>
                <w:sz w:val="21"/>
                <w:szCs w:val="21"/>
              </w:rPr>
              <w:t>建设项目环境影响评价分类管理名录</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1715"/>
              <w:gridCol w:w="2359"/>
              <w:gridCol w:w="2803"/>
              <w:gridCol w:w="59"/>
              <w:gridCol w:w="727"/>
            </w:tblGrid>
            <w:tr w14:paraId="14A50B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44" w:type="pct"/>
                  <w:gridSpan w:val="2"/>
                  <w:shd w:val="clear" w:color="auto" w:fill="auto"/>
                  <w:noWrap w:val="0"/>
                  <w:vAlign w:val="center"/>
                </w:tcPr>
                <w:p w14:paraId="01EA8912">
                  <w:pPr>
                    <w:snapToGrid w:val="0"/>
                    <w:spacing w:line="240" w:lineRule="auto"/>
                    <w:jc w:val="center"/>
                    <w:rPr>
                      <w:rFonts w:hint="eastAsia"/>
                      <w:b/>
                      <w:bCs/>
                      <w:color w:val="000000"/>
                      <w:sz w:val="21"/>
                      <w:szCs w:val="21"/>
                    </w:rPr>
                  </w:pPr>
                  <w:r>
                    <w:rPr>
                      <w:color w:val="000000"/>
                      <w:sz w:val="21"/>
                    </w:rPr>
                    <mc:AlternateContent>
                      <mc:Choice Requires="wps">
                        <w:drawing>
                          <wp:anchor distT="0" distB="0" distL="114300" distR="114300" simplePos="0" relativeHeight="251661312" behindDoc="0" locked="0" layoutInCell="1" allowOverlap="1">
                            <wp:simplePos x="0" y="0"/>
                            <wp:positionH relativeFrom="column">
                              <wp:posOffset>-63500</wp:posOffset>
                            </wp:positionH>
                            <wp:positionV relativeFrom="paragraph">
                              <wp:posOffset>-8890</wp:posOffset>
                            </wp:positionV>
                            <wp:extent cx="1356995" cy="488315"/>
                            <wp:effectExtent l="1905" t="4445" r="12700" b="21590"/>
                            <wp:wrapNone/>
                            <wp:docPr id="2" name="直线 1071"/>
                            <wp:cNvGraphicFramePr/>
                            <a:graphic xmlns:a="http://schemas.openxmlformats.org/drawingml/2006/main">
                              <a:graphicData uri="http://schemas.microsoft.com/office/word/2010/wordprocessingShape">
                                <wps:wsp>
                                  <wps:cNvCnPr/>
                                  <wps:spPr>
                                    <a:xfrm>
                                      <a:off x="0" y="0"/>
                                      <a:ext cx="1356995" cy="4883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71" o:spid="_x0000_s1026" o:spt="20" style="position:absolute;left:0pt;margin-left:-5pt;margin-top:-0.7pt;height:38.45pt;width:106.85pt;z-index:251661312;mso-width-relative:page;mso-height-relative:page;" filled="f" stroked="t" coordsize="21600,21600" o:gfxdata="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5yWNG2AAAAAkBAAAPAAAAAAAAAAEAIAAAACIAAABkcnMvZG93bnJldi54bWxQSwECFAAUAAAA&#10;CACHTuJAlZNB9e4BAADjAwAADgAAAAAAAAABACAAAAAnAQAAZHJzL2Uyb0RvYy54bWxQSwUGAAAA&#10;AAYABgBZAQAAhwUAAAAA&#10;">
                            <v:fill on="f" focussize="0,0"/>
                            <v:stroke color="#000000" joinstyle="round"/>
                            <v:imagedata o:title=""/>
                            <o:lock v:ext="edit" aspectratio="f"/>
                          </v:line>
                        </w:pict>
                      </mc:Fallback>
                    </mc:AlternateContent>
                  </w:r>
                  <w:r>
                    <w:rPr>
                      <w:rFonts w:hint="eastAsia"/>
                      <w:b/>
                      <w:bCs/>
                      <w:color w:val="000000"/>
                      <w:sz w:val="21"/>
                      <w:szCs w:val="21"/>
                      <w:lang w:eastAsia="zh-CN"/>
                    </w:rPr>
                    <w:t xml:space="preserve">    </w:t>
                  </w:r>
                  <w:r>
                    <w:rPr>
                      <w:rFonts w:hint="eastAsia"/>
                      <w:b/>
                      <w:bCs/>
                      <w:color w:val="000000"/>
                      <w:sz w:val="21"/>
                      <w:szCs w:val="21"/>
                    </w:rPr>
                    <w:t xml:space="preserve"> 项目类别</w:t>
                  </w:r>
                </w:p>
                <w:p w14:paraId="760BAFB3">
                  <w:pPr>
                    <w:snapToGrid w:val="0"/>
                    <w:spacing w:line="240" w:lineRule="auto"/>
                    <w:jc w:val="center"/>
                    <w:rPr>
                      <w:rFonts w:hint="eastAsia"/>
                      <w:b/>
                      <w:bCs/>
                      <w:color w:val="000000"/>
                      <w:sz w:val="21"/>
                      <w:szCs w:val="21"/>
                    </w:rPr>
                  </w:pPr>
                </w:p>
                <w:p w14:paraId="67ACB450">
                  <w:pPr>
                    <w:snapToGrid w:val="0"/>
                    <w:spacing w:line="240" w:lineRule="auto"/>
                    <w:rPr>
                      <w:b/>
                      <w:bCs/>
                      <w:color w:val="000000"/>
                      <w:sz w:val="21"/>
                      <w:szCs w:val="21"/>
                    </w:rPr>
                  </w:pPr>
                  <w:r>
                    <w:rPr>
                      <w:rFonts w:hint="eastAsia"/>
                      <w:b/>
                      <w:bCs/>
                      <w:color w:val="000000"/>
                      <w:sz w:val="21"/>
                      <w:szCs w:val="21"/>
                    </w:rPr>
                    <w:t>环评类别</w:t>
                  </w:r>
                </w:p>
              </w:tc>
              <w:tc>
                <w:tcPr>
                  <w:tcW w:w="1450" w:type="pct"/>
                  <w:shd w:val="clear" w:color="auto" w:fill="auto"/>
                  <w:noWrap w:val="0"/>
                  <w:vAlign w:val="center"/>
                </w:tcPr>
                <w:p w14:paraId="28F779B1">
                  <w:pPr>
                    <w:snapToGrid w:val="0"/>
                    <w:spacing w:line="240" w:lineRule="auto"/>
                    <w:jc w:val="center"/>
                    <w:rPr>
                      <w:rFonts w:hint="eastAsia"/>
                      <w:b/>
                      <w:bCs/>
                      <w:color w:val="000000"/>
                      <w:sz w:val="21"/>
                      <w:szCs w:val="21"/>
                    </w:rPr>
                  </w:pPr>
                  <w:r>
                    <w:rPr>
                      <w:rFonts w:hint="eastAsia"/>
                      <w:b/>
                      <w:bCs/>
                      <w:color w:val="000000"/>
                      <w:sz w:val="21"/>
                      <w:szCs w:val="21"/>
                    </w:rPr>
                    <w:t>报告书</w:t>
                  </w:r>
                </w:p>
              </w:tc>
              <w:tc>
                <w:tcPr>
                  <w:tcW w:w="1723" w:type="pct"/>
                  <w:shd w:val="clear" w:color="auto" w:fill="EEECE1"/>
                  <w:noWrap w:val="0"/>
                  <w:vAlign w:val="center"/>
                </w:tcPr>
                <w:p w14:paraId="4C70721B">
                  <w:pPr>
                    <w:snapToGrid w:val="0"/>
                    <w:spacing w:line="240" w:lineRule="auto"/>
                    <w:jc w:val="center"/>
                    <w:rPr>
                      <w:rFonts w:hint="eastAsia"/>
                      <w:b/>
                      <w:bCs/>
                      <w:color w:val="000000"/>
                      <w:sz w:val="21"/>
                      <w:szCs w:val="21"/>
                    </w:rPr>
                  </w:pPr>
                  <w:r>
                    <w:rPr>
                      <w:rFonts w:hint="eastAsia"/>
                      <w:b/>
                      <w:bCs/>
                      <w:color w:val="000000"/>
                      <w:sz w:val="21"/>
                      <w:szCs w:val="21"/>
                    </w:rPr>
                    <w:t>报告表</w:t>
                  </w:r>
                </w:p>
              </w:tc>
              <w:tc>
                <w:tcPr>
                  <w:tcW w:w="482" w:type="pct"/>
                  <w:gridSpan w:val="2"/>
                  <w:noWrap w:val="0"/>
                  <w:vAlign w:val="center"/>
                </w:tcPr>
                <w:p w14:paraId="3FB1017C">
                  <w:pPr>
                    <w:snapToGrid w:val="0"/>
                    <w:spacing w:line="240" w:lineRule="auto"/>
                    <w:jc w:val="center"/>
                    <w:rPr>
                      <w:rFonts w:hint="eastAsia"/>
                      <w:b/>
                      <w:bCs/>
                      <w:color w:val="000000"/>
                      <w:sz w:val="21"/>
                      <w:szCs w:val="21"/>
                    </w:rPr>
                  </w:pPr>
                  <w:r>
                    <w:rPr>
                      <w:rFonts w:hint="eastAsia"/>
                      <w:b/>
                      <w:bCs/>
                      <w:color w:val="000000"/>
                      <w:sz w:val="21"/>
                      <w:szCs w:val="21"/>
                    </w:rPr>
                    <w:t>登记表</w:t>
                  </w:r>
                </w:p>
              </w:tc>
            </w:tr>
            <w:tr w14:paraId="33F53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shd w:val="clear" w:color="auto" w:fill="EEECE1"/>
                  <w:noWrap w:val="0"/>
                  <w:vAlign w:val="center"/>
                </w:tcPr>
                <w:p w14:paraId="3E1F6B79">
                  <w:pPr>
                    <w:snapToGrid w:val="0"/>
                    <w:spacing w:line="240" w:lineRule="auto"/>
                    <w:jc w:val="center"/>
                    <w:rPr>
                      <w:rFonts w:hint="eastAsia"/>
                      <w:b/>
                      <w:bCs/>
                      <w:color w:val="000000"/>
                      <w:sz w:val="21"/>
                      <w:szCs w:val="21"/>
                    </w:rPr>
                  </w:pPr>
                  <w:r>
                    <w:rPr>
                      <w:rFonts w:hint="eastAsia"/>
                      <w:color w:val="000000"/>
                      <w:sz w:val="21"/>
                      <w:szCs w:val="21"/>
                    </w:rPr>
                    <w:t>二十六、橡胶和塑料制品业20</w:t>
                  </w:r>
                </w:p>
              </w:tc>
            </w:tr>
            <w:tr w14:paraId="0C5818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0" w:type="pct"/>
                  <w:shd w:val="clear" w:color="auto" w:fill="auto"/>
                  <w:noWrap w:val="0"/>
                  <w:vAlign w:val="center"/>
                </w:tcPr>
                <w:p w14:paraId="534CBAF3">
                  <w:pPr>
                    <w:snapToGrid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53</w:t>
                  </w:r>
                </w:p>
              </w:tc>
              <w:tc>
                <w:tcPr>
                  <w:tcW w:w="1053" w:type="pct"/>
                  <w:shd w:val="clear" w:color="auto" w:fill="auto"/>
                  <w:noWrap w:val="0"/>
                  <w:vAlign w:val="center"/>
                </w:tcPr>
                <w:p w14:paraId="493535D2">
                  <w:pPr>
                    <w:snapToGrid w:val="0"/>
                    <w:spacing w:line="240" w:lineRule="auto"/>
                    <w:jc w:val="center"/>
                    <w:rPr>
                      <w:rFonts w:hint="eastAsia"/>
                      <w:color w:val="000000"/>
                      <w:sz w:val="21"/>
                      <w:szCs w:val="21"/>
                    </w:rPr>
                  </w:pPr>
                  <w:r>
                    <w:rPr>
                      <w:rFonts w:hint="eastAsia"/>
                      <w:color w:val="000000"/>
                      <w:sz w:val="21"/>
                      <w:szCs w:val="21"/>
                    </w:rPr>
                    <w:t>塑料制品业 292</w:t>
                  </w:r>
                </w:p>
              </w:tc>
              <w:tc>
                <w:tcPr>
                  <w:tcW w:w="1450" w:type="pct"/>
                  <w:shd w:val="clear" w:color="auto" w:fill="auto"/>
                  <w:noWrap w:val="0"/>
                  <w:vAlign w:val="center"/>
                </w:tcPr>
                <w:p w14:paraId="1BA28375">
                  <w:pPr>
                    <w:snapToGrid w:val="0"/>
                    <w:spacing w:line="240" w:lineRule="auto"/>
                    <w:jc w:val="center"/>
                    <w:rPr>
                      <w:rFonts w:hint="eastAsia"/>
                      <w:color w:val="000000"/>
                      <w:sz w:val="21"/>
                      <w:szCs w:val="21"/>
                    </w:rPr>
                  </w:pPr>
                  <w:r>
                    <w:rPr>
                      <w:rFonts w:hint="eastAsia"/>
                      <w:color w:val="000000"/>
                      <w:sz w:val="21"/>
                      <w:szCs w:val="21"/>
                    </w:rPr>
                    <w:t>以再生塑料为原料生产的；有电镀工艺的；年用溶剂型胶粘剂10吨及以上的；年用溶剂型涂料（含稀释剂）10吨及以上的</w:t>
                  </w:r>
                </w:p>
              </w:tc>
              <w:tc>
                <w:tcPr>
                  <w:tcW w:w="1759" w:type="pct"/>
                  <w:gridSpan w:val="2"/>
                  <w:shd w:val="clear" w:color="auto" w:fill="EEECE1"/>
                  <w:noWrap w:val="0"/>
                  <w:vAlign w:val="center"/>
                </w:tcPr>
                <w:p w14:paraId="66BC635A">
                  <w:pPr>
                    <w:snapToGrid w:val="0"/>
                    <w:spacing w:line="240" w:lineRule="auto"/>
                    <w:jc w:val="center"/>
                    <w:rPr>
                      <w:rFonts w:hint="eastAsia"/>
                      <w:color w:val="000000"/>
                      <w:sz w:val="21"/>
                      <w:szCs w:val="21"/>
                    </w:rPr>
                  </w:pPr>
                  <w:r>
                    <w:rPr>
                      <w:rFonts w:hint="eastAsia"/>
                      <w:color w:val="000000"/>
                      <w:sz w:val="21"/>
                      <w:szCs w:val="21"/>
                    </w:rPr>
                    <w:t>其他（年用非溶剂型低VOCs含量涂料10吨以下的除外）</w:t>
                  </w:r>
                </w:p>
              </w:tc>
              <w:tc>
                <w:tcPr>
                  <w:tcW w:w="445" w:type="pct"/>
                  <w:noWrap w:val="0"/>
                  <w:vAlign w:val="center"/>
                </w:tcPr>
                <w:p w14:paraId="7FAFB7BE">
                  <w:pPr>
                    <w:snapToGrid w:val="0"/>
                    <w:spacing w:line="240" w:lineRule="auto"/>
                    <w:jc w:val="center"/>
                    <w:rPr>
                      <w:rFonts w:hint="eastAsia"/>
                      <w:color w:val="000000"/>
                      <w:sz w:val="21"/>
                      <w:szCs w:val="21"/>
                    </w:rPr>
                  </w:pPr>
                  <w:r>
                    <w:rPr>
                      <w:rFonts w:hint="eastAsia"/>
                      <w:color w:val="000000"/>
                      <w:sz w:val="21"/>
                      <w:szCs w:val="21"/>
                    </w:rPr>
                    <w:t>/</w:t>
                  </w:r>
                </w:p>
              </w:tc>
            </w:tr>
          </w:tbl>
          <w:p w14:paraId="20E46CAF">
            <w:pPr>
              <w:snapToGrid w:val="0"/>
              <w:spacing w:before="120" w:beforeLines="50"/>
              <w:ind w:firstLine="480" w:firstLineChars="200"/>
              <w:rPr>
                <w:color w:val="000000" w:themeColor="text1"/>
                <w14:textFill>
                  <w14:solidFill>
                    <w14:schemeClr w14:val="tx1"/>
                  </w14:solidFill>
                </w14:textFill>
              </w:rPr>
            </w:pPr>
            <w:r>
              <w:rPr>
                <w:rFonts w:hint="eastAsia"/>
                <w:color w:val="000000"/>
              </w:rPr>
              <w:t>根据项目备案文件可知，项目国民经济行业属于</w:t>
            </w:r>
            <w:r>
              <w:rPr>
                <w:rFonts w:hint="eastAsia"/>
                <w:color w:val="000000"/>
                <w:lang w:eastAsia="zh-CN"/>
              </w:rPr>
              <w:t>“C2929 塑料零件及其他塑料制品制造”</w:t>
            </w:r>
            <w:r>
              <w:rPr>
                <w:rFonts w:hint="eastAsia"/>
                <w:color w:val="000000"/>
              </w:rPr>
              <w:t>。</w:t>
            </w:r>
            <w:r>
              <w:rPr>
                <w:rFonts w:hint="eastAsia"/>
                <w:color w:val="000000"/>
                <w:lang w:val="en-US" w:eastAsia="zh-CN"/>
              </w:rPr>
              <w:t>项目产品产能少于</w:t>
            </w:r>
            <w:r>
              <w:rPr>
                <w:rFonts w:hint="eastAsia"/>
                <w:color w:val="000000"/>
                <w:sz w:val="24"/>
                <w:szCs w:val="24"/>
              </w:rPr>
              <w:t>1万吨</w:t>
            </w:r>
            <w:r>
              <w:rPr>
                <w:rFonts w:hint="eastAsia"/>
                <w:color w:val="000000"/>
                <w:sz w:val="24"/>
                <w:szCs w:val="24"/>
                <w:lang w:eastAsia="zh-CN"/>
              </w:rPr>
              <w:t>，</w:t>
            </w:r>
            <w:r>
              <w:rPr>
                <w:rFonts w:hint="eastAsia"/>
                <w:color w:val="000000"/>
              </w:rPr>
              <w:t>根据《固定污染源排污许可分类管理名录（2019年版）》可知，</w:t>
            </w:r>
            <w:r>
              <w:rPr>
                <w:rFonts w:hint="eastAsia"/>
                <w:color w:val="000000" w:themeColor="text1"/>
                <w:lang w:val="en-US" w:eastAsia="zh-CN"/>
                <w14:textFill>
                  <w14:solidFill>
                    <w14:schemeClr w14:val="tx1"/>
                  </w14:solidFill>
                </w14:textFill>
              </w:rPr>
              <w:t>其属于名录表中“二十四、橡胶和塑料制品业292”之下的“62.塑料制品业292”的登记管理项：其他。</w:t>
            </w:r>
            <w:r>
              <w:rPr>
                <w:rFonts w:hint="eastAsia"/>
                <w:color w:val="000000" w:themeColor="text1"/>
                <w14:textFill>
                  <w14:solidFill>
                    <w14:schemeClr w14:val="tx1"/>
                  </w14:solidFill>
                </w14:textFill>
              </w:rPr>
              <w:t>因此，本项目在投产前需申请排污许可登记管理。</w:t>
            </w:r>
          </w:p>
          <w:p w14:paraId="31CF78E0">
            <w:pPr>
              <w:snapToGrid w:val="0"/>
              <w:spacing w:line="240" w:lineRule="auto"/>
              <w:jc w:val="center"/>
              <w:rPr>
                <w:b/>
                <w:bCs/>
                <w:color w:val="000000"/>
                <w:sz w:val="21"/>
                <w:szCs w:val="21"/>
              </w:rPr>
            </w:pPr>
            <w:r>
              <w:rPr>
                <w:rFonts w:hint="eastAsia"/>
                <w:b/>
                <w:bCs/>
                <w:color w:val="000000"/>
                <w:sz w:val="21"/>
                <w:szCs w:val="21"/>
              </w:rPr>
              <w:t>表2-2</w:t>
            </w:r>
            <w:r>
              <w:rPr>
                <w:rFonts w:hint="eastAsia"/>
                <w:b/>
                <w:bCs/>
                <w:color w:val="000000"/>
                <w:sz w:val="21"/>
                <w:szCs w:val="21"/>
                <w:lang w:eastAsia="zh-CN"/>
              </w:rPr>
              <w:t xml:space="preserve"> </w:t>
            </w:r>
            <w:r>
              <w:rPr>
                <w:rFonts w:hint="eastAsia"/>
                <w:b/>
                <w:bCs/>
                <w:color w:val="000000"/>
                <w:sz w:val="21"/>
                <w:szCs w:val="21"/>
                <w:lang w:val="en-US" w:eastAsia="zh-CN"/>
              </w:rPr>
              <w:t xml:space="preserve"> </w:t>
            </w:r>
            <w:r>
              <w:rPr>
                <w:rFonts w:hint="eastAsia"/>
                <w:b/>
                <w:bCs/>
                <w:color w:val="000000"/>
                <w:sz w:val="21"/>
                <w:szCs w:val="21"/>
              </w:rPr>
              <w:t>《固定污染源排污许可分类管理名录（2019年版）》</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32"/>
              <w:gridCol w:w="1373"/>
              <w:gridCol w:w="3564"/>
              <w:gridCol w:w="1165"/>
            </w:tblGrid>
            <w:tr w14:paraId="6DBD7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9" w:type="pct"/>
                  <w:shd w:val="clear" w:color="auto" w:fill="auto"/>
                  <w:noWrap w:val="0"/>
                  <w:vAlign w:val="center"/>
                </w:tcPr>
                <w:p w14:paraId="2406D50D">
                  <w:pPr>
                    <w:spacing w:line="240" w:lineRule="auto"/>
                    <w:jc w:val="center"/>
                    <w:rPr>
                      <w:rFonts w:hint="eastAsia"/>
                      <w:b/>
                      <w:bCs/>
                      <w:color w:val="000000"/>
                      <w:sz w:val="21"/>
                      <w:szCs w:val="21"/>
                    </w:rPr>
                  </w:pPr>
                  <w:r>
                    <w:rPr>
                      <w:rFonts w:hint="eastAsia"/>
                      <w:b/>
                      <w:bCs/>
                      <w:color w:val="000000"/>
                      <w:sz w:val="21"/>
                      <w:szCs w:val="21"/>
                    </w:rPr>
                    <w:t>行业类别</w:t>
                  </w:r>
                </w:p>
              </w:tc>
              <w:tc>
                <w:tcPr>
                  <w:tcW w:w="844" w:type="pct"/>
                  <w:shd w:val="clear" w:color="auto" w:fill="auto"/>
                  <w:noWrap w:val="0"/>
                  <w:vAlign w:val="center"/>
                </w:tcPr>
                <w:p w14:paraId="036D7B51">
                  <w:pPr>
                    <w:spacing w:line="240" w:lineRule="auto"/>
                    <w:jc w:val="center"/>
                    <w:rPr>
                      <w:b/>
                      <w:bCs/>
                      <w:color w:val="000000"/>
                      <w:sz w:val="21"/>
                      <w:szCs w:val="21"/>
                    </w:rPr>
                  </w:pPr>
                  <w:r>
                    <w:rPr>
                      <w:rFonts w:hint="eastAsia"/>
                      <w:b/>
                      <w:bCs/>
                      <w:color w:val="000000"/>
                      <w:sz w:val="21"/>
                      <w:szCs w:val="21"/>
                    </w:rPr>
                    <w:t>重点管理</w:t>
                  </w:r>
                </w:p>
              </w:tc>
              <w:tc>
                <w:tcPr>
                  <w:tcW w:w="2190" w:type="pct"/>
                  <w:shd w:val="clear" w:color="auto" w:fill="auto"/>
                  <w:noWrap w:val="0"/>
                  <w:vAlign w:val="center"/>
                </w:tcPr>
                <w:p w14:paraId="2A200611">
                  <w:pPr>
                    <w:spacing w:line="240" w:lineRule="auto"/>
                    <w:jc w:val="center"/>
                    <w:rPr>
                      <w:rFonts w:hint="eastAsia"/>
                      <w:color w:val="000000"/>
                      <w:sz w:val="21"/>
                      <w:szCs w:val="21"/>
                    </w:rPr>
                  </w:pPr>
                  <w:r>
                    <w:rPr>
                      <w:rFonts w:hint="eastAsia"/>
                      <w:b/>
                      <w:bCs/>
                      <w:color w:val="000000"/>
                      <w:sz w:val="21"/>
                      <w:szCs w:val="21"/>
                    </w:rPr>
                    <w:t>简化管理</w:t>
                  </w:r>
                </w:p>
              </w:tc>
              <w:tc>
                <w:tcPr>
                  <w:tcW w:w="716" w:type="pct"/>
                  <w:shd w:val="clear" w:color="auto" w:fill="EEECE1" w:themeFill="background2"/>
                  <w:noWrap w:val="0"/>
                  <w:vAlign w:val="center"/>
                </w:tcPr>
                <w:p w14:paraId="35A843CA">
                  <w:pPr>
                    <w:spacing w:line="240" w:lineRule="auto"/>
                    <w:jc w:val="center"/>
                    <w:rPr>
                      <w:rFonts w:hint="eastAsia"/>
                      <w:b/>
                      <w:bCs/>
                      <w:color w:val="000000"/>
                      <w:sz w:val="21"/>
                      <w:szCs w:val="21"/>
                    </w:rPr>
                  </w:pPr>
                  <w:r>
                    <w:rPr>
                      <w:rFonts w:hint="eastAsia"/>
                      <w:b/>
                      <w:bCs/>
                      <w:color w:val="000000"/>
                      <w:sz w:val="21"/>
                      <w:szCs w:val="21"/>
                    </w:rPr>
                    <w:t>登记管理</w:t>
                  </w:r>
                </w:p>
              </w:tc>
            </w:tr>
            <w:tr w14:paraId="2AD5CA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9" w:type="pct"/>
                  <w:shd w:val="clear" w:color="auto" w:fill="auto"/>
                  <w:noWrap w:val="0"/>
                  <w:vAlign w:val="center"/>
                </w:tcPr>
                <w:p w14:paraId="1C66F3B7">
                  <w:pPr>
                    <w:spacing w:line="240" w:lineRule="auto"/>
                    <w:jc w:val="center"/>
                    <w:rPr>
                      <w:color w:val="000000"/>
                      <w:sz w:val="21"/>
                      <w:szCs w:val="21"/>
                    </w:rPr>
                  </w:pPr>
                  <w:r>
                    <w:rPr>
                      <w:rFonts w:hint="eastAsia"/>
                      <w:color w:val="000000"/>
                      <w:sz w:val="21"/>
                      <w:szCs w:val="21"/>
                    </w:rPr>
                    <w:t>二十四、橡胶和塑料制品业292/62.塑料制品业292</w:t>
                  </w:r>
                </w:p>
              </w:tc>
              <w:tc>
                <w:tcPr>
                  <w:tcW w:w="844" w:type="pct"/>
                  <w:shd w:val="clear" w:color="auto" w:fill="auto"/>
                  <w:noWrap w:val="0"/>
                  <w:vAlign w:val="center"/>
                </w:tcPr>
                <w:p w14:paraId="43D028DA">
                  <w:pPr>
                    <w:spacing w:line="240" w:lineRule="auto"/>
                    <w:jc w:val="center"/>
                    <w:rPr>
                      <w:rFonts w:hint="default" w:eastAsia="宋体"/>
                      <w:color w:val="000000"/>
                      <w:sz w:val="21"/>
                      <w:szCs w:val="21"/>
                      <w:lang w:val="en-US" w:eastAsia="zh-CN"/>
                    </w:rPr>
                  </w:pPr>
                  <w:r>
                    <w:rPr>
                      <w:rFonts w:hint="default" w:eastAsia="宋体"/>
                      <w:color w:val="000000"/>
                      <w:sz w:val="21"/>
                      <w:szCs w:val="21"/>
                      <w:lang w:val="en-US" w:eastAsia="zh-CN"/>
                    </w:rPr>
                    <w:t>塑料人造革、合成革制造2925</w:t>
                  </w:r>
                </w:p>
              </w:tc>
              <w:tc>
                <w:tcPr>
                  <w:tcW w:w="2190" w:type="pct"/>
                  <w:shd w:val="clear" w:color="auto" w:fill="auto"/>
                  <w:noWrap w:val="0"/>
                  <w:vAlign w:val="center"/>
                </w:tcPr>
                <w:p w14:paraId="39711AAF">
                  <w:pPr>
                    <w:spacing w:line="240" w:lineRule="auto"/>
                    <w:jc w:val="center"/>
                    <w:rPr>
                      <w:color w:val="000000"/>
                      <w:sz w:val="21"/>
                      <w:szCs w:val="21"/>
                    </w:rPr>
                  </w:pPr>
                  <w:r>
                    <w:rPr>
                      <w:rFonts w:hint="eastAsia"/>
                      <w:color w:val="000000"/>
                      <w:sz w:val="21"/>
                      <w:szCs w:val="21"/>
                    </w:rPr>
                    <w:t>年产1万吨及以上的泡沫塑料制造2924，年产1万吨及以上涉及改性的塑料薄膜制造2921、塑料板、管、型材制造2922、塑料丝、绳和编织品制造2923、塑料包装箱及容器制造2926、日用塑料品制造2927、人造草坪制造2928、</w:t>
                  </w:r>
                  <w:r>
                    <w:rPr>
                      <w:rFonts w:hint="eastAsia"/>
                      <w:b w:val="0"/>
                      <w:bCs w:val="0"/>
                      <w:color w:val="000000"/>
                      <w:sz w:val="21"/>
                      <w:szCs w:val="21"/>
                    </w:rPr>
                    <w:t>塑料零件及其他塑料制品制造2929</w:t>
                  </w:r>
                </w:p>
              </w:tc>
              <w:tc>
                <w:tcPr>
                  <w:tcW w:w="716" w:type="pct"/>
                  <w:shd w:val="clear" w:color="auto" w:fill="EEECE1" w:themeFill="background2"/>
                  <w:noWrap w:val="0"/>
                  <w:vAlign w:val="center"/>
                </w:tcPr>
                <w:p w14:paraId="48CCA2FC">
                  <w:pPr>
                    <w:spacing w:line="240" w:lineRule="auto"/>
                    <w:jc w:val="center"/>
                    <w:rPr>
                      <w:rFonts w:hint="eastAsia"/>
                      <w:color w:val="000000"/>
                      <w:sz w:val="21"/>
                      <w:szCs w:val="21"/>
                    </w:rPr>
                  </w:pPr>
                  <w:r>
                    <w:rPr>
                      <w:rFonts w:hint="eastAsia"/>
                      <w:color w:val="000000"/>
                      <w:sz w:val="21"/>
                      <w:szCs w:val="21"/>
                    </w:rPr>
                    <w:t>其他</w:t>
                  </w:r>
                </w:p>
              </w:tc>
            </w:tr>
          </w:tbl>
          <w:p w14:paraId="342E9A1E">
            <w:pPr>
              <w:keepNext w:val="0"/>
              <w:keepLines w:val="0"/>
              <w:pageBreakBefore w:val="0"/>
              <w:widowControl w:val="0"/>
              <w:numPr>
                <w:ilvl w:val="0"/>
                <w:numId w:val="8"/>
              </w:numPr>
              <w:kinsoku/>
              <w:wordWrap/>
              <w:overflowPunct/>
              <w:topLinePunct w:val="0"/>
              <w:autoSpaceDE/>
              <w:autoSpaceDN/>
              <w:bidi w:val="0"/>
              <w:adjustRightInd/>
              <w:snapToGrid/>
              <w:ind w:leftChars="200"/>
              <w:textAlignment w:val="auto"/>
              <w:rPr>
                <w:rFonts w:hint="default"/>
                <w:b/>
                <w:color w:val="000000" w:themeColor="text1"/>
                <w:lang w:val="en-US" w:eastAsia="zh-CN"/>
                <w14:textFill>
                  <w14:solidFill>
                    <w14:schemeClr w14:val="tx1"/>
                  </w14:solidFill>
                </w14:textFill>
              </w:rPr>
            </w:pPr>
            <w:r>
              <w:rPr>
                <w:rFonts w:hint="default"/>
                <w:b/>
                <w:color w:val="000000" w:themeColor="text1"/>
                <w:lang w:val="en-US" w:eastAsia="zh-CN"/>
                <w14:textFill>
                  <w14:solidFill>
                    <w14:schemeClr w14:val="tx1"/>
                  </w14:solidFill>
                </w14:textFill>
              </w:rPr>
              <w:t>项目主要建设内容及规模</w:t>
            </w:r>
          </w:p>
          <w:p w14:paraId="1E45B862">
            <w:pPr>
              <w:pStyle w:val="63"/>
              <w:ind w:firstLine="480" w:firstLineChars="200"/>
              <w:jc w:val="both"/>
              <w:rPr>
                <w:b w:val="0"/>
                <w:bCs/>
                <w:color w:val="000000" w:themeColor="text1"/>
                <w14:textFill>
                  <w14:solidFill>
                    <w14:schemeClr w14:val="tx1"/>
                  </w14:solidFill>
                </w14:textFill>
              </w:rPr>
            </w:pPr>
            <w:r>
              <w:rPr>
                <w:rFonts w:hint="eastAsia"/>
                <w:b w:val="0"/>
                <w:bCs/>
                <w:color w:val="000000" w:themeColor="text1"/>
                <w:sz w:val="24"/>
                <w:lang w:val="en-US" w:eastAsia="zh-CN"/>
                <w14:textFill>
                  <w14:solidFill>
                    <w14:schemeClr w14:val="tx1"/>
                  </w14:solidFill>
                </w14:textFill>
              </w:rPr>
              <w:t>项目租赁已建成厂房A1栋的1F、2F进行生产，建筑面积为3000m</w:t>
            </w:r>
            <w:r>
              <w:rPr>
                <w:rFonts w:hint="eastAsia"/>
                <w:b w:val="0"/>
                <w:bCs/>
                <w:color w:val="000000" w:themeColor="text1"/>
                <w:sz w:val="24"/>
                <w:vertAlign w:val="superscript"/>
                <w:lang w:val="en-US" w:eastAsia="zh-CN"/>
                <w14:textFill>
                  <w14:solidFill>
                    <w14:schemeClr w14:val="tx1"/>
                  </w14:solidFill>
                </w14:textFill>
              </w:rPr>
              <w:t>2</w:t>
            </w:r>
            <w:r>
              <w:rPr>
                <w:rFonts w:hint="eastAsia"/>
                <w:b w:val="0"/>
                <w:bCs/>
                <w:color w:val="000000" w:themeColor="text1"/>
                <w:sz w:val="24"/>
                <w:lang w:val="en-US" w:eastAsia="zh-CN"/>
                <w14:textFill>
                  <w14:solidFill>
                    <w14:schemeClr w14:val="tx1"/>
                  </w14:solidFill>
                </w14:textFill>
              </w:rPr>
              <w:t>，</w:t>
            </w:r>
            <w:r>
              <w:rPr>
                <w:b w:val="0"/>
                <w:bCs/>
                <w:color w:val="000000" w:themeColor="text1"/>
                <w:sz w:val="24"/>
                <w14:textFill>
                  <w14:solidFill>
                    <w14:schemeClr w14:val="tx1"/>
                  </w14:solidFill>
                </w14:textFill>
              </w:rPr>
              <w:t>项目主要建设内容及规模详见下表：</w:t>
            </w:r>
          </w:p>
          <w:p w14:paraId="7366CA8A">
            <w:pPr>
              <w:spacing w:line="240" w:lineRule="auto"/>
              <w:jc w:val="center"/>
              <w:rPr>
                <w:b/>
                <w:color w:val="000000"/>
                <w:sz w:val="21"/>
                <w:szCs w:val="21"/>
              </w:rPr>
            </w:pPr>
            <w:r>
              <w:rPr>
                <w:b/>
                <w:color w:val="000000"/>
                <w:sz w:val="21"/>
                <w:szCs w:val="21"/>
              </w:rPr>
              <w:t>表2-</w:t>
            </w:r>
            <w:r>
              <w:rPr>
                <w:rFonts w:hint="eastAsia"/>
                <w:b/>
                <w:color w:val="000000"/>
                <w:sz w:val="21"/>
                <w:szCs w:val="21"/>
              </w:rPr>
              <w:t>3</w:t>
            </w:r>
            <w:r>
              <w:rPr>
                <w:b/>
                <w:color w:val="000000"/>
                <w:sz w:val="21"/>
                <w:szCs w:val="21"/>
              </w:rPr>
              <w:t xml:space="preserve"> </w:t>
            </w:r>
            <w:r>
              <w:rPr>
                <w:rFonts w:hint="eastAsia"/>
                <w:b/>
                <w:color w:val="000000"/>
                <w:sz w:val="21"/>
                <w:szCs w:val="21"/>
                <w:lang w:val="en-US" w:eastAsia="zh-CN"/>
              </w:rPr>
              <w:t xml:space="preserve"> </w:t>
            </w:r>
            <w:r>
              <w:rPr>
                <w:b/>
                <w:color w:val="000000"/>
                <w:sz w:val="21"/>
                <w:szCs w:val="21"/>
              </w:rPr>
              <w:t>项目主要建设内容及规模组成一览表</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1520"/>
              <w:gridCol w:w="4052"/>
              <w:gridCol w:w="1336"/>
            </w:tblGrid>
            <w:tr w14:paraId="049FC8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4" w:type="pct"/>
                  <w:tcBorders>
                    <w:tl2br w:val="nil"/>
                    <w:tr2bl w:val="nil"/>
                  </w:tcBorders>
                  <w:noWrap w:val="0"/>
                  <w:vAlign w:val="center"/>
                </w:tcPr>
                <w:p w14:paraId="125B1632">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eastAsia="宋体"/>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工程类别</w:t>
                  </w:r>
                </w:p>
              </w:tc>
              <w:tc>
                <w:tcPr>
                  <w:tcW w:w="934" w:type="pct"/>
                  <w:tcBorders>
                    <w:tl2br w:val="nil"/>
                    <w:tr2bl w:val="nil"/>
                  </w:tcBorders>
                  <w:noWrap w:val="0"/>
                  <w:vAlign w:val="center"/>
                </w:tcPr>
                <w:p w14:paraId="7F5B90A4">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eastAsia="宋体"/>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单项工程名称</w:t>
                  </w:r>
                </w:p>
              </w:tc>
              <w:tc>
                <w:tcPr>
                  <w:tcW w:w="2490" w:type="pct"/>
                  <w:tcBorders>
                    <w:tl2br w:val="nil"/>
                    <w:tr2bl w:val="nil"/>
                  </w:tcBorders>
                  <w:noWrap w:val="0"/>
                  <w:vAlign w:val="center"/>
                </w:tcPr>
                <w:p w14:paraId="22C958CB">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eastAsia="宋体"/>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项目工程内容及规模</w:t>
                  </w:r>
                </w:p>
              </w:tc>
              <w:tc>
                <w:tcPr>
                  <w:tcW w:w="821" w:type="pct"/>
                  <w:tcBorders>
                    <w:tl2br w:val="nil"/>
                    <w:tr2bl w:val="nil"/>
                  </w:tcBorders>
                  <w:noWrap w:val="0"/>
                  <w:vAlign w:val="center"/>
                </w:tcPr>
                <w:p w14:paraId="263195AE">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b/>
                      <w:bCs/>
                      <w:color w:val="000000" w:themeColor="text1"/>
                      <w:sz w:val="21"/>
                      <w:szCs w:val="21"/>
                      <w:vertAlign w:val="baseline"/>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备注</w:t>
                  </w:r>
                </w:p>
              </w:tc>
            </w:tr>
            <w:tr w14:paraId="7DF5E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4" w:type="pct"/>
                  <w:vMerge w:val="restart"/>
                  <w:tcBorders>
                    <w:tl2br w:val="nil"/>
                    <w:tr2bl w:val="nil"/>
                  </w:tcBorders>
                  <w:noWrap w:val="0"/>
                  <w:vAlign w:val="center"/>
                </w:tcPr>
                <w:p w14:paraId="3738ED1C">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主体工程</w:t>
                  </w:r>
                </w:p>
              </w:tc>
              <w:tc>
                <w:tcPr>
                  <w:tcW w:w="934" w:type="pct"/>
                  <w:tcBorders>
                    <w:tl2br w:val="nil"/>
                    <w:tr2bl w:val="nil"/>
                  </w:tcBorders>
                  <w:noWrap w:val="0"/>
                  <w:vAlign w:val="center"/>
                </w:tcPr>
                <w:p w14:paraId="247D77D3">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注塑区</w:t>
                  </w:r>
                </w:p>
              </w:tc>
              <w:tc>
                <w:tcPr>
                  <w:tcW w:w="2490" w:type="pct"/>
                  <w:tcBorders>
                    <w:tl2br w:val="nil"/>
                    <w:tr2bl w:val="nil"/>
                  </w:tcBorders>
                  <w:noWrap w:val="0"/>
                  <w:vAlign w:val="center"/>
                </w:tcPr>
                <w:p w14:paraId="5EEE6FF9">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位于车间1F东</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部，长50m，宽12m，内置30台注塑机、2台拌料机，年产300万套高档化妆品包装、300万套新能源汽车塑料零部件。</w:t>
                  </w:r>
                </w:p>
              </w:tc>
              <w:tc>
                <w:tcPr>
                  <w:tcW w:w="821" w:type="pct"/>
                  <w:vMerge w:val="restart"/>
                  <w:tcBorders>
                    <w:tl2br w:val="nil"/>
                    <w:tr2bl w:val="nil"/>
                  </w:tcBorders>
                  <w:noWrap w:val="0"/>
                  <w:vAlign w:val="center"/>
                </w:tcPr>
                <w:p w14:paraId="42B70D1D">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依托现有厂房新建设备</w:t>
                  </w:r>
                </w:p>
              </w:tc>
            </w:tr>
            <w:tr w14:paraId="79363E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4" w:type="pct"/>
                  <w:vMerge w:val="continue"/>
                  <w:tcBorders>
                    <w:tl2br w:val="nil"/>
                    <w:tr2bl w:val="nil"/>
                  </w:tcBorders>
                  <w:noWrap w:val="0"/>
                  <w:vAlign w:val="center"/>
                </w:tcPr>
                <w:p w14:paraId="5BC8D96F">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val="0"/>
                      <w:color w:val="000000" w:themeColor="text1"/>
                      <w:sz w:val="21"/>
                      <w:szCs w:val="21"/>
                      <w:vertAlign w:val="baseline"/>
                      <w:lang w:val="en-US" w:eastAsia="zh-CN"/>
                      <w14:textFill>
                        <w14:solidFill>
                          <w14:schemeClr w14:val="tx1"/>
                        </w14:solidFill>
                      </w14:textFill>
                    </w:rPr>
                  </w:pPr>
                </w:p>
              </w:tc>
              <w:tc>
                <w:tcPr>
                  <w:tcW w:w="934" w:type="pct"/>
                  <w:tcBorders>
                    <w:tl2br w:val="nil"/>
                    <w:tr2bl w:val="nil"/>
                  </w:tcBorders>
                  <w:noWrap w:val="0"/>
                  <w:vAlign w:val="center"/>
                </w:tcPr>
                <w:p w14:paraId="754C6428">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粉碎区</w:t>
                  </w:r>
                </w:p>
              </w:tc>
              <w:tc>
                <w:tcPr>
                  <w:tcW w:w="2490" w:type="pct"/>
                  <w:tcBorders>
                    <w:tl2br w:val="nil"/>
                    <w:tr2bl w:val="nil"/>
                  </w:tcBorders>
                  <w:noWrap w:val="0"/>
                  <w:vAlign w:val="center"/>
                </w:tcPr>
                <w:p w14:paraId="3150343B">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位于车间1F西南部，长8.4m，宽8.4m，内置3台粉碎机，主要对不合格品进行粉碎处理回用于生产中。</w:t>
                  </w:r>
                </w:p>
              </w:tc>
              <w:tc>
                <w:tcPr>
                  <w:tcW w:w="821" w:type="pct"/>
                  <w:vMerge w:val="continue"/>
                  <w:tcBorders>
                    <w:tl2br w:val="nil"/>
                    <w:tr2bl w:val="nil"/>
                  </w:tcBorders>
                  <w:noWrap w:val="0"/>
                  <w:vAlign w:val="center"/>
                </w:tcPr>
                <w:p w14:paraId="1CD22D82">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val="0"/>
                      <w:color w:val="000000" w:themeColor="text1"/>
                      <w:sz w:val="21"/>
                      <w:szCs w:val="21"/>
                      <w:vertAlign w:val="baseline"/>
                      <w:lang w:val="en-US" w:eastAsia="zh-CN"/>
                      <w14:textFill>
                        <w14:solidFill>
                          <w14:schemeClr w14:val="tx1"/>
                        </w14:solidFill>
                      </w14:textFill>
                    </w:rPr>
                  </w:pPr>
                </w:p>
              </w:tc>
            </w:tr>
            <w:tr w14:paraId="1B832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4" w:type="pct"/>
                  <w:vMerge w:val="continue"/>
                  <w:tcBorders>
                    <w:tl2br w:val="nil"/>
                    <w:tr2bl w:val="nil"/>
                  </w:tcBorders>
                  <w:noWrap w:val="0"/>
                  <w:vAlign w:val="center"/>
                </w:tcPr>
                <w:p w14:paraId="7286F6B7">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val="0"/>
                      <w:color w:val="000000" w:themeColor="text1"/>
                      <w:sz w:val="21"/>
                      <w:szCs w:val="21"/>
                      <w:vertAlign w:val="baseline"/>
                      <w:lang w:val="en-US" w:eastAsia="zh-CN"/>
                      <w14:textFill>
                        <w14:solidFill>
                          <w14:schemeClr w14:val="tx1"/>
                        </w14:solidFill>
                      </w14:textFill>
                    </w:rPr>
                  </w:pPr>
                </w:p>
              </w:tc>
              <w:tc>
                <w:tcPr>
                  <w:tcW w:w="934" w:type="pct"/>
                  <w:tcBorders>
                    <w:tl2br w:val="nil"/>
                    <w:tr2bl w:val="nil"/>
                  </w:tcBorders>
                  <w:noWrap w:val="0"/>
                  <w:vAlign w:val="center"/>
                </w:tcPr>
                <w:p w14:paraId="2C9A8EFC">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包装区</w:t>
                  </w:r>
                </w:p>
              </w:tc>
              <w:tc>
                <w:tcPr>
                  <w:tcW w:w="2490" w:type="pct"/>
                  <w:tcBorders>
                    <w:tl2br w:val="nil"/>
                    <w:tr2bl w:val="nil"/>
                  </w:tcBorders>
                  <w:noWrap w:val="0"/>
                  <w:vAlign w:val="center"/>
                </w:tcPr>
                <w:p w14:paraId="27B19034">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位于车间2F西部，</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长</w:t>
                  </w:r>
                  <w:r>
                    <w:rPr>
                      <w:rFonts w:hint="eastAsia" w:cs="Times New Roman"/>
                      <w:b w:val="0"/>
                      <w:bCs w:val="0"/>
                      <w:color w:val="000000" w:themeColor="text1"/>
                      <w:sz w:val="21"/>
                      <w:szCs w:val="21"/>
                      <w:vertAlign w:val="baseline"/>
                      <w:lang w:val="en-US" w:eastAsia="zh-CN"/>
                      <w14:textFill>
                        <w14:solidFill>
                          <w14:schemeClr w14:val="tx1"/>
                        </w14:solidFill>
                      </w14:textFill>
                    </w:rPr>
                    <w:t>42</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m，宽</w:t>
                  </w:r>
                  <w:r>
                    <w:rPr>
                      <w:rFonts w:hint="eastAsia" w:cs="Times New Roman"/>
                      <w:b w:val="0"/>
                      <w:bCs w:val="0"/>
                      <w:color w:val="000000" w:themeColor="text1"/>
                      <w:sz w:val="21"/>
                      <w:szCs w:val="21"/>
                      <w:vertAlign w:val="baseline"/>
                      <w:lang w:val="en-US" w:eastAsia="zh-CN"/>
                      <w14:textFill>
                        <w14:solidFill>
                          <w14:schemeClr w14:val="tx1"/>
                        </w14:solidFill>
                      </w14:textFill>
                    </w:rPr>
                    <w:t>8.4</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m</w:t>
                  </w:r>
                  <w:r>
                    <w:rPr>
                      <w:rFonts w:hint="eastAsia"/>
                      <w:b w:val="0"/>
                      <w:bCs w:val="0"/>
                      <w:color w:val="000000" w:themeColor="text1"/>
                      <w:sz w:val="21"/>
                      <w:szCs w:val="21"/>
                      <w:vertAlign w:val="baseline"/>
                      <w:lang w:val="en-US" w:eastAsia="zh-CN"/>
                      <w14:textFill>
                        <w14:solidFill>
                          <w14:schemeClr w14:val="tx1"/>
                        </w14:solidFill>
                      </w14:textFill>
                    </w:rPr>
                    <w:t>内置1条全自动包装生产线、2条半自动包装生产线。</w:t>
                  </w:r>
                </w:p>
              </w:tc>
              <w:tc>
                <w:tcPr>
                  <w:tcW w:w="821" w:type="pct"/>
                  <w:vMerge w:val="continue"/>
                  <w:tcBorders>
                    <w:tl2br w:val="nil"/>
                    <w:tr2bl w:val="nil"/>
                  </w:tcBorders>
                  <w:noWrap w:val="0"/>
                  <w:vAlign w:val="center"/>
                </w:tcPr>
                <w:p w14:paraId="18A9B566">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val="0"/>
                      <w:color w:val="000000" w:themeColor="text1"/>
                      <w:sz w:val="21"/>
                      <w:szCs w:val="21"/>
                      <w:vertAlign w:val="baseline"/>
                      <w:lang w:val="en-US" w:eastAsia="zh-CN"/>
                      <w14:textFill>
                        <w14:solidFill>
                          <w14:schemeClr w14:val="tx1"/>
                        </w14:solidFill>
                      </w14:textFill>
                    </w:rPr>
                  </w:pPr>
                </w:p>
              </w:tc>
            </w:tr>
            <w:tr w14:paraId="02A5F7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4" w:type="pct"/>
                  <w:tcBorders>
                    <w:tl2br w:val="nil"/>
                    <w:tr2bl w:val="nil"/>
                  </w:tcBorders>
                  <w:noWrap w:val="0"/>
                  <w:vAlign w:val="center"/>
                </w:tcPr>
                <w:p w14:paraId="4748B1CB">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辅助工程</w:t>
                  </w:r>
                </w:p>
              </w:tc>
              <w:tc>
                <w:tcPr>
                  <w:tcW w:w="934" w:type="pct"/>
                  <w:tcBorders>
                    <w:tl2br w:val="nil"/>
                    <w:tr2bl w:val="nil"/>
                  </w:tcBorders>
                  <w:noWrap w:val="0"/>
                  <w:vAlign w:val="center"/>
                </w:tcPr>
                <w:p w14:paraId="0F0643A5">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办公区</w:t>
                  </w:r>
                </w:p>
              </w:tc>
              <w:tc>
                <w:tcPr>
                  <w:tcW w:w="2490" w:type="pct"/>
                  <w:tcBorders>
                    <w:tl2br w:val="nil"/>
                    <w:tr2bl w:val="nil"/>
                  </w:tcBorders>
                  <w:noWrap w:val="0"/>
                  <w:vAlign w:val="center"/>
                </w:tcPr>
                <w:p w14:paraId="04773D64">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位于车间2F西南部，</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长</w:t>
                  </w:r>
                  <w:r>
                    <w:rPr>
                      <w:rFonts w:hint="eastAsia" w:cs="Times New Roman"/>
                      <w:b w:val="0"/>
                      <w:bCs w:val="0"/>
                      <w:color w:val="000000" w:themeColor="text1"/>
                      <w:sz w:val="21"/>
                      <w:szCs w:val="21"/>
                      <w:vertAlign w:val="baseline"/>
                      <w:lang w:val="en-US" w:eastAsia="zh-CN"/>
                      <w14:textFill>
                        <w14:solidFill>
                          <w14:schemeClr w14:val="tx1"/>
                        </w14:solidFill>
                      </w14:textFill>
                    </w:rPr>
                    <w:t>50.4</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m，宽</w:t>
                  </w:r>
                  <w:r>
                    <w:rPr>
                      <w:rFonts w:hint="eastAsia" w:cs="Times New Roman"/>
                      <w:b w:val="0"/>
                      <w:bCs w:val="0"/>
                      <w:color w:val="000000" w:themeColor="text1"/>
                      <w:sz w:val="21"/>
                      <w:szCs w:val="21"/>
                      <w:vertAlign w:val="baseline"/>
                      <w:lang w:val="en-US" w:eastAsia="zh-CN"/>
                      <w14:textFill>
                        <w14:solidFill>
                          <w14:schemeClr w14:val="tx1"/>
                        </w14:solidFill>
                      </w14:textFill>
                    </w:rPr>
                    <w:t>16.8</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m，</w:t>
                  </w:r>
                  <w:r>
                    <w:rPr>
                      <w:rFonts w:hint="eastAsia"/>
                      <w:b w:val="0"/>
                      <w:bCs w:val="0"/>
                      <w:color w:val="000000" w:themeColor="text1"/>
                      <w:sz w:val="21"/>
                      <w:szCs w:val="21"/>
                      <w:vertAlign w:val="baseline"/>
                      <w:lang w:val="en-US" w:eastAsia="zh-CN"/>
                      <w14:textFill>
                        <w14:solidFill>
                          <w14:schemeClr w14:val="tx1"/>
                        </w14:solidFill>
                      </w14:textFill>
                    </w:rPr>
                    <w:t>用于员工办公生活。</w:t>
                  </w:r>
                </w:p>
              </w:tc>
              <w:tc>
                <w:tcPr>
                  <w:tcW w:w="821" w:type="pct"/>
                  <w:vMerge w:val="continue"/>
                  <w:tcBorders>
                    <w:tl2br w:val="nil"/>
                    <w:tr2bl w:val="nil"/>
                  </w:tcBorders>
                  <w:noWrap w:val="0"/>
                  <w:vAlign w:val="center"/>
                </w:tcPr>
                <w:p w14:paraId="769A4D33">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val="0"/>
                      <w:color w:val="000000" w:themeColor="text1"/>
                      <w:sz w:val="21"/>
                      <w:szCs w:val="21"/>
                      <w:vertAlign w:val="baseline"/>
                      <w:lang w:val="en-US" w:eastAsia="zh-CN"/>
                      <w14:textFill>
                        <w14:solidFill>
                          <w14:schemeClr w14:val="tx1"/>
                        </w14:solidFill>
                      </w14:textFill>
                    </w:rPr>
                  </w:pPr>
                </w:p>
              </w:tc>
            </w:tr>
            <w:tr w14:paraId="34A855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4" w:type="pct"/>
                  <w:vMerge w:val="restart"/>
                  <w:tcBorders>
                    <w:tl2br w:val="nil"/>
                    <w:tr2bl w:val="nil"/>
                  </w:tcBorders>
                  <w:noWrap w:val="0"/>
                  <w:vAlign w:val="center"/>
                </w:tcPr>
                <w:p w14:paraId="479966C3">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储运工程</w:t>
                  </w:r>
                </w:p>
              </w:tc>
              <w:tc>
                <w:tcPr>
                  <w:tcW w:w="934" w:type="pct"/>
                  <w:tcBorders>
                    <w:tl2br w:val="nil"/>
                    <w:tr2bl w:val="nil"/>
                  </w:tcBorders>
                  <w:noWrap w:val="0"/>
                  <w:vAlign w:val="center"/>
                </w:tcPr>
                <w:p w14:paraId="6442D5C2">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原料放置区</w:t>
                  </w:r>
                </w:p>
              </w:tc>
              <w:tc>
                <w:tcPr>
                  <w:tcW w:w="2490" w:type="pct"/>
                  <w:tcBorders>
                    <w:tl2br w:val="nil"/>
                    <w:tr2bl w:val="nil"/>
                  </w:tcBorders>
                  <w:noWrap w:val="0"/>
                  <w:vAlign w:val="center"/>
                </w:tcPr>
                <w:p w14:paraId="6A364683">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位于车间1F西北部，长25.2</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m，宽8.4m，用于</w:t>
                  </w:r>
                  <w:r>
                    <w:rPr>
                      <w:rFonts w:hint="eastAsia" w:cs="Times New Roman"/>
                      <w:b w:val="0"/>
                      <w:bCs w:val="0"/>
                      <w:color w:val="000000" w:themeColor="text1"/>
                      <w:sz w:val="21"/>
                      <w:szCs w:val="21"/>
                      <w:vertAlign w:val="baseline"/>
                      <w:lang w:val="en-US" w:eastAsia="zh-CN"/>
                      <w14:textFill>
                        <w14:solidFill>
                          <w14:schemeClr w14:val="tx1"/>
                        </w14:solidFill>
                      </w14:textFill>
                    </w:rPr>
                    <w:t>存放</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原辅材料。</w:t>
                  </w:r>
                </w:p>
              </w:tc>
              <w:tc>
                <w:tcPr>
                  <w:tcW w:w="821" w:type="pct"/>
                  <w:vMerge w:val="continue"/>
                  <w:tcBorders>
                    <w:tl2br w:val="nil"/>
                    <w:tr2bl w:val="nil"/>
                  </w:tcBorders>
                  <w:noWrap w:val="0"/>
                  <w:vAlign w:val="center"/>
                </w:tcPr>
                <w:p w14:paraId="0EEB3DEE">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val="0"/>
                      <w:color w:val="000000" w:themeColor="text1"/>
                      <w:sz w:val="21"/>
                      <w:szCs w:val="21"/>
                      <w:vertAlign w:val="baseline"/>
                      <w:lang w:val="en-US" w:eastAsia="zh-CN"/>
                      <w14:textFill>
                        <w14:solidFill>
                          <w14:schemeClr w14:val="tx1"/>
                        </w14:solidFill>
                      </w14:textFill>
                    </w:rPr>
                  </w:pPr>
                </w:p>
              </w:tc>
            </w:tr>
            <w:tr w14:paraId="16A7D7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4" w:type="pct"/>
                  <w:vMerge w:val="continue"/>
                  <w:tcBorders>
                    <w:tl2br w:val="nil"/>
                    <w:tr2bl w:val="nil"/>
                  </w:tcBorders>
                  <w:noWrap w:val="0"/>
                  <w:vAlign w:val="center"/>
                </w:tcPr>
                <w:p w14:paraId="3F42B7F6">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val="0"/>
                      <w:color w:val="000000" w:themeColor="text1"/>
                      <w:sz w:val="21"/>
                      <w:szCs w:val="21"/>
                      <w:vertAlign w:val="baseline"/>
                      <w:lang w:val="en-US" w:eastAsia="zh-CN"/>
                      <w14:textFill>
                        <w14:solidFill>
                          <w14:schemeClr w14:val="tx1"/>
                        </w14:solidFill>
                      </w14:textFill>
                    </w:rPr>
                  </w:pPr>
                </w:p>
              </w:tc>
              <w:tc>
                <w:tcPr>
                  <w:tcW w:w="934" w:type="pct"/>
                  <w:tcBorders>
                    <w:tl2br w:val="nil"/>
                    <w:tr2bl w:val="nil"/>
                  </w:tcBorders>
                  <w:noWrap w:val="0"/>
                  <w:vAlign w:val="center"/>
                </w:tcPr>
                <w:p w14:paraId="6B7A4671">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模具区</w:t>
                  </w:r>
                </w:p>
              </w:tc>
              <w:tc>
                <w:tcPr>
                  <w:tcW w:w="2490" w:type="pct"/>
                  <w:tcBorders>
                    <w:tl2br w:val="nil"/>
                    <w:tr2bl w:val="nil"/>
                  </w:tcBorders>
                  <w:noWrap w:val="0"/>
                  <w:vAlign w:val="center"/>
                </w:tcPr>
                <w:p w14:paraId="3FC1B5AC">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位于车间1F西部，长16.8m，宽8.4m，用于存放注塑使用的模具。</w:t>
                  </w:r>
                </w:p>
              </w:tc>
              <w:tc>
                <w:tcPr>
                  <w:tcW w:w="821" w:type="pct"/>
                  <w:vMerge w:val="continue"/>
                  <w:tcBorders>
                    <w:tl2br w:val="nil"/>
                    <w:tr2bl w:val="nil"/>
                  </w:tcBorders>
                  <w:noWrap w:val="0"/>
                  <w:vAlign w:val="center"/>
                </w:tcPr>
                <w:p w14:paraId="56075F1D">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val="0"/>
                      <w:color w:val="000000" w:themeColor="text1"/>
                      <w:sz w:val="21"/>
                      <w:szCs w:val="21"/>
                      <w:vertAlign w:val="baseline"/>
                      <w:lang w:val="en-US" w:eastAsia="zh-CN"/>
                      <w14:textFill>
                        <w14:solidFill>
                          <w14:schemeClr w14:val="tx1"/>
                        </w14:solidFill>
                      </w14:textFill>
                    </w:rPr>
                  </w:pPr>
                </w:p>
              </w:tc>
            </w:tr>
            <w:tr w14:paraId="0F9C1D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4" w:type="pct"/>
                  <w:vMerge w:val="continue"/>
                  <w:tcBorders>
                    <w:tl2br w:val="nil"/>
                    <w:tr2bl w:val="nil"/>
                  </w:tcBorders>
                  <w:noWrap w:val="0"/>
                  <w:vAlign w:val="center"/>
                </w:tcPr>
                <w:p w14:paraId="048EFD89">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val="0"/>
                      <w:color w:val="000000" w:themeColor="text1"/>
                      <w:sz w:val="21"/>
                      <w:szCs w:val="21"/>
                      <w:vertAlign w:val="baseline"/>
                      <w:lang w:val="en-US" w:eastAsia="zh-CN"/>
                      <w14:textFill>
                        <w14:solidFill>
                          <w14:schemeClr w14:val="tx1"/>
                        </w14:solidFill>
                      </w14:textFill>
                    </w:rPr>
                  </w:pPr>
                </w:p>
              </w:tc>
              <w:tc>
                <w:tcPr>
                  <w:tcW w:w="934" w:type="pct"/>
                  <w:tcBorders>
                    <w:tl2br w:val="nil"/>
                    <w:tr2bl w:val="nil"/>
                  </w:tcBorders>
                  <w:noWrap w:val="0"/>
                  <w:vAlign w:val="center"/>
                </w:tcPr>
                <w:p w14:paraId="55300D73">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成品区</w:t>
                  </w:r>
                </w:p>
              </w:tc>
              <w:tc>
                <w:tcPr>
                  <w:tcW w:w="2490" w:type="pct"/>
                  <w:tcBorders>
                    <w:tl2br w:val="nil"/>
                    <w:tr2bl w:val="nil"/>
                  </w:tcBorders>
                  <w:noWrap w:val="0"/>
                  <w:vAlign w:val="center"/>
                </w:tcPr>
                <w:p w14:paraId="670110E7">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位于车间2F北部，</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长</w:t>
                  </w:r>
                  <w:r>
                    <w:rPr>
                      <w:rFonts w:hint="eastAsia" w:cs="Times New Roman"/>
                      <w:b w:val="0"/>
                      <w:bCs w:val="0"/>
                      <w:color w:val="000000" w:themeColor="text1"/>
                      <w:sz w:val="21"/>
                      <w:szCs w:val="21"/>
                      <w:vertAlign w:val="baseline"/>
                      <w:lang w:val="en-US" w:eastAsia="zh-CN"/>
                      <w14:textFill>
                        <w14:solidFill>
                          <w14:schemeClr w14:val="tx1"/>
                        </w14:solidFill>
                      </w14:textFill>
                    </w:rPr>
                    <w:t>16.8</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m，宽</w:t>
                  </w:r>
                  <w:r>
                    <w:rPr>
                      <w:rFonts w:hint="eastAsia" w:cs="Times New Roman"/>
                      <w:b w:val="0"/>
                      <w:bCs w:val="0"/>
                      <w:color w:val="000000" w:themeColor="text1"/>
                      <w:sz w:val="21"/>
                      <w:szCs w:val="21"/>
                      <w:vertAlign w:val="baseline"/>
                      <w:lang w:val="en-US" w:eastAsia="zh-CN"/>
                      <w14:textFill>
                        <w14:solidFill>
                          <w14:schemeClr w14:val="tx1"/>
                        </w14:solidFill>
                      </w14:textFill>
                    </w:rPr>
                    <w:t>8.4</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m，</w:t>
                  </w:r>
                  <w:r>
                    <w:rPr>
                      <w:rFonts w:hint="eastAsia" w:cs="Times New Roman"/>
                      <w:b w:val="0"/>
                      <w:bCs w:val="0"/>
                      <w:color w:val="000000" w:themeColor="text1"/>
                      <w:sz w:val="21"/>
                      <w:szCs w:val="21"/>
                      <w:vertAlign w:val="baseline"/>
                      <w:lang w:val="en-US" w:eastAsia="zh-CN"/>
                      <w14:textFill>
                        <w14:solidFill>
                          <w14:schemeClr w14:val="tx1"/>
                        </w14:solidFill>
                      </w14:textFill>
                    </w:rPr>
                    <w:t>用于存放成品。</w:t>
                  </w:r>
                </w:p>
              </w:tc>
              <w:tc>
                <w:tcPr>
                  <w:tcW w:w="821" w:type="pct"/>
                  <w:vMerge w:val="continue"/>
                  <w:tcBorders>
                    <w:tl2br w:val="nil"/>
                    <w:tr2bl w:val="nil"/>
                  </w:tcBorders>
                  <w:noWrap w:val="0"/>
                  <w:vAlign w:val="center"/>
                </w:tcPr>
                <w:p w14:paraId="66349428">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val="0"/>
                      <w:color w:val="000000" w:themeColor="text1"/>
                      <w:sz w:val="21"/>
                      <w:szCs w:val="21"/>
                      <w:vertAlign w:val="baseline"/>
                      <w:lang w:val="en-US" w:eastAsia="zh-CN"/>
                      <w14:textFill>
                        <w14:solidFill>
                          <w14:schemeClr w14:val="tx1"/>
                        </w14:solidFill>
                      </w14:textFill>
                    </w:rPr>
                  </w:pPr>
                </w:p>
              </w:tc>
            </w:tr>
            <w:tr w14:paraId="42D538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4" w:type="pct"/>
                  <w:vMerge w:val="restart"/>
                  <w:tcBorders>
                    <w:tl2br w:val="nil"/>
                    <w:tr2bl w:val="nil"/>
                  </w:tcBorders>
                  <w:noWrap w:val="0"/>
                  <w:vAlign w:val="center"/>
                </w:tcPr>
                <w:p w14:paraId="7CB6A086">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公用工程</w:t>
                  </w:r>
                </w:p>
              </w:tc>
              <w:tc>
                <w:tcPr>
                  <w:tcW w:w="934" w:type="pct"/>
                  <w:tcBorders>
                    <w:tl2br w:val="nil"/>
                    <w:tr2bl w:val="nil"/>
                  </w:tcBorders>
                  <w:noWrap w:val="0"/>
                  <w:vAlign w:val="center"/>
                </w:tcPr>
                <w:p w14:paraId="043F7FD6">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val="0"/>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供电</w:t>
                  </w:r>
                </w:p>
              </w:tc>
              <w:tc>
                <w:tcPr>
                  <w:tcW w:w="2490" w:type="pct"/>
                  <w:tcBorders>
                    <w:tl2br w:val="nil"/>
                    <w:tr2bl w:val="nil"/>
                  </w:tcBorders>
                  <w:noWrap w:val="0"/>
                  <w:vAlign w:val="center"/>
                </w:tcPr>
                <w:p w14:paraId="34294F2C">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由市政电网供电，年用电50万</w:t>
                  </w:r>
                  <w:r>
                    <w:rPr>
                      <w:rFonts w:hint="default" w:ascii="Times New Roman" w:hAnsi="Times New Roman" w:eastAsia="宋体"/>
                      <w:color w:val="000000" w:themeColor="text1"/>
                      <w:sz w:val="21"/>
                      <w:szCs w:val="21"/>
                      <w:highlight w:val="none"/>
                      <w:lang w:val="en-US" w:eastAsia="zh-CN"/>
                      <w14:textFill>
                        <w14:solidFill>
                          <w14:schemeClr w14:val="tx1"/>
                        </w14:solidFill>
                      </w14:textFill>
                    </w:rPr>
                    <w:t>kW·h</w:t>
                  </w:r>
                </w:p>
              </w:tc>
              <w:tc>
                <w:tcPr>
                  <w:tcW w:w="821" w:type="pct"/>
                  <w:tcBorders>
                    <w:tl2br w:val="nil"/>
                    <w:tr2bl w:val="nil"/>
                  </w:tcBorders>
                  <w:noWrap w:val="0"/>
                  <w:vAlign w:val="center"/>
                </w:tcPr>
                <w:p w14:paraId="041C2C03">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依托园区电网</w:t>
                  </w:r>
                </w:p>
              </w:tc>
            </w:tr>
            <w:tr w14:paraId="6B8CD5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4" w:type="pct"/>
                  <w:vMerge w:val="continue"/>
                  <w:tcBorders>
                    <w:tl2br w:val="nil"/>
                    <w:tr2bl w:val="nil"/>
                  </w:tcBorders>
                  <w:noWrap w:val="0"/>
                  <w:vAlign w:val="center"/>
                </w:tcPr>
                <w:p w14:paraId="6ACDB09D">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val="0"/>
                      <w:color w:val="000000" w:themeColor="text1"/>
                      <w:sz w:val="21"/>
                      <w:szCs w:val="21"/>
                      <w:vertAlign w:val="baseline"/>
                      <w:lang w:val="en-US" w:eastAsia="zh-CN"/>
                      <w14:textFill>
                        <w14:solidFill>
                          <w14:schemeClr w14:val="tx1"/>
                        </w14:solidFill>
                      </w14:textFill>
                    </w:rPr>
                  </w:pPr>
                </w:p>
              </w:tc>
              <w:tc>
                <w:tcPr>
                  <w:tcW w:w="934" w:type="pct"/>
                  <w:tcBorders>
                    <w:tl2br w:val="nil"/>
                    <w:tr2bl w:val="nil"/>
                  </w:tcBorders>
                  <w:noWrap w:val="0"/>
                  <w:vAlign w:val="center"/>
                </w:tcPr>
                <w:p w14:paraId="0FA75120">
                  <w:pPr>
                    <w:pStyle w:val="93"/>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color w:val="000000" w:themeColor="text1"/>
                      <w14:textFill>
                        <w14:solidFill>
                          <w14:schemeClr w14:val="tx1"/>
                        </w14:solidFill>
                      </w14:textFill>
                    </w:rPr>
                    <w:t>供水</w:t>
                  </w:r>
                </w:p>
              </w:tc>
              <w:tc>
                <w:tcPr>
                  <w:tcW w:w="2490" w:type="pct"/>
                  <w:tcBorders>
                    <w:tl2br w:val="nil"/>
                    <w:tr2bl w:val="nil"/>
                  </w:tcBorders>
                  <w:noWrap w:val="0"/>
                  <w:vAlign w:val="center"/>
                </w:tcPr>
                <w:p w14:paraId="1532632F">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eastAsia="宋体"/>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sz w:val="21"/>
                      <w:szCs w:val="21"/>
                      <w:highlight w:val="none"/>
                    </w:rPr>
                    <w:t>由市政供水管网供给</w:t>
                  </w:r>
                  <w:r>
                    <w:rPr>
                      <w:rFonts w:hint="eastAsia" w:ascii="Times New Roman" w:hAnsi="Times New Roman" w:cs="Times New Roman"/>
                      <w:color w:val="000000"/>
                      <w:sz w:val="21"/>
                      <w:szCs w:val="21"/>
                      <w:highlight w:val="none"/>
                      <w:lang w:eastAsia="zh-CN"/>
                    </w:rPr>
                    <w:t>，</w:t>
                  </w:r>
                  <w:r>
                    <w:rPr>
                      <w:rFonts w:hint="eastAsia" w:ascii="Times New Roman" w:hAnsi="Times New Roman" w:cs="Times New Roman"/>
                      <w:color w:val="000000"/>
                      <w:sz w:val="21"/>
                      <w:szCs w:val="21"/>
                      <w:highlight w:val="none"/>
                      <w:lang w:val="en-US" w:eastAsia="zh-CN"/>
                    </w:rPr>
                    <w:t>年用水量1755</w:t>
                  </w:r>
                  <w:r>
                    <w:rPr>
                      <w:rFonts w:hint="eastAsia" w:cs="Times New Roman"/>
                      <w:color w:val="000000"/>
                      <w:sz w:val="21"/>
                      <w:szCs w:val="21"/>
                      <w:highlight w:val="none"/>
                      <w:lang w:val="en-US" w:eastAsia="zh-CN"/>
                    </w:rPr>
                    <w:t>t</w:t>
                  </w:r>
                  <w:r>
                    <w:rPr>
                      <w:rFonts w:hint="eastAsia" w:ascii="Times New Roman" w:hAnsi="Times New Roman" w:cs="Times New Roman"/>
                      <w:color w:val="000000"/>
                      <w:sz w:val="21"/>
                      <w:szCs w:val="21"/>
                      <w:highlight w:val="none"/>
                      <w:lang w:val="en-US" w:eastAsia="zh-CN"/>
                    </w:rPr>
                    <w:t>/a。</w:t>
                  </w:r>
                </w:p>
              </w:tc>
              <w:tc>
                <w:tcPr>
                  <w:tcW w:w="821" w:type="pct"/>
                  <w:tcBorders>
                    <w:tl2br w:val="nil"/>
                    <w:tr2bl w:val="nil"/>
                  </w:tcBorders>
                  <w:noWrap w:val="0"/>
                  <w:vAlign w:val="center"/>
                </w:tcPr>
                <w:p w14:paraId="6B2E6EFB">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依托园区供水管网</w:t>
                  </w:r>
                </w:p>
              </w:tc>
            </w:tr>
            <w:tr w14:paraId="574340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4" w:type="pct"/>
                  <w:vMerge w:val="continue"/>
                  <w:vAlign w:val="center"/>
                </w:tcPr>
                <w:p w14:paraId="7F84A160">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val="0"/>
                      <w:color w:val="000000" w:themeColor="text1"/>
                      <w:sz w:val="21"/>
                      <w:szCs w:val="21"/>
                      <w:vertAlign w:val="baseline"/>
                      <w:lang w:val="en-US" w:eastAsia="zh-CN"/>
                      <w14:textFill>
                        <w14:solidFill>
                          <w14:schemeClr w14:val="tx1"/>
                        </w14:solidFill>
                      </w14:textFill>
                    </w:rPr>
                  </w:pPr>
                </w:p>
              </w:tc>
              <w:tc>
                <w:tcPr>
                  <w:tcW w:w="934" w:type="pct"/>
                  <w:vAlign w:val="center"/>
                </w:tcPr>
                <w:p w14:paraId="710DF867">
                  <w:pPr>
                    <w:pStyle w:val="93"/>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color w:val="000000" w:themeColor="text1"/>
                      <w14:textFill>
                        <w14:solidFill>
                          <w14:schemeClr w14:val="tx1"/>
                        </w14:solidFill>
                      </w14:textFill>
                    </w:rPr>
                    <w:t>排水</w:t>
                  </w:r>
                </w:p>
              </w:tc>
              <w:tc>
                <w:tcPr>
                  <w:tcW w:w="2490" w:type="pct"/>
                  <w:vAlign w:val="center"/>
                </w:tcPr>
                <w:p w14:paraId="5B83371E">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雨水经厂区雨水管网排入市政雨水管网。项目运营期外排废水</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为生活污水、</w:t>
                  </w:r>
                  <w:r>
                    <w:rPr>
                      <w:rFonts w:hint="eastAsia" w:cs="Times New Roman"/>
                      <w:color w:val="000000"/>
                      <w:kern w:val="0"/>
                      <w:sz w:val="21"/>
                      <w:szCs w:val="21"/>
                      <w:lang w:val="en-US" w:eastAsia="zh-CN" w:bidi="ar"/>
                    </w:rPr>
                    <w:t>循环冷却水排水</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。纳管接入市政污水管网进入</w:t>
                  </w:r>
                  <w:r>
                    <w:rPr>
                      <w:rFonts w:hint="eastAsia" w:cs="Times New Roman"/>
                      <w:color w:val="000000" w:themeColor="text1"/>
                      <w:sz w:val="21"/>
                      <w:szCs w:val="21"/>
                      <w:lang w:val="en-US" w:eastAsia="zh-CN"/>
                      <w14:textFill>
                        <w14:solidFill>
                          <w14:schemeClr w14:val="tx1"/>
                        </w14:solidFill>
                      </w14:textFill>
                    </w:rPr>
                    <w:t>淮南市潘集污水处理厂</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进行深度处理。</w:t>
                  </w:r>
                  <w:r>
                    <w:rPr>
                      <w:rFonts w:hint="default" w:ascii="Times New Roman" w:hAnsi="Times New Roman" w:cs="Times New Roman"/>
                      <w:color w:val="000000" w:themeColor="text1"/>
                      <w:sz w:val="21"/>
                      <w:szCs w:val="21"/>
                      <w:highlight w:val="none"/>
                      <w14:textFill>
                        <w14:solidFill>
                          <w14:schemeClr w14:val="tx1"/>
                        </w14:solidFill>
                      </w14:textFill>
                    </w:rPr>
                    <w:t>排水量为</w:t>
                  </w:r>
                  <w:r>
                    <w:rPr>
                      <w:rFonts w:hint="eastAsia" w:cs="Times New Roman"/>
                      <w:color w:val="000000" w:themeColor="text1"/>
                      <w:sz w:val="21"/>
                      <w:szCs w:val="21"/>
                      <w:highlight w:val="none"/>
                      <w:lang w:val="en-US" w:eastAsia="zh-CN"/>
                      <w14:textFill>
                        <w14:solidFill>
                          <w14:schemeClr w14:val="tx1"/>
                        </w14:solidFill>
                      </w14:textFill>
                    </w:rPr>
                    <w:t>612</w:t>
                  </w:r>
                  <w:r>
                    <w:rPr>
                      <w:rFonts w:hint="default" w:ascii="Times New Roman" w:hAnsi="Times New Roman" w:cs="Times New Roman"/>
                      <w:color w:val="000000" w:themeColor="text1"/>
                      <w:sz w:val="21"/>
                      <w:szCs w:val="21"/>
                      <w:highlight w:val="none"/>
                      <w14:textFill>
                        <w14:solidFill>
                          <w14:schemeClr w14:val="tx1"/>
                        </w14:solidFill>
                      </w14:textFill>
                    </w:rPr>
                    <w:t>t/a。</w:t>
                  </w:r>
                </w:p>
              </w:tc>
              <w:tc>
                <w:tcPr>
                  <w:tcW w:w="821" w:type="pct"/>
                  <w:vAlign w:val="center"/>
                </w:tcPr>
                <w:p w14:paraId="4195E044">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依托园区污水管网</w:t>
                  </w:r>
                </w:p>
              </w:tc>
            </w:tr>
            <w:tr w14:paraId="2D6B76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4" w:type="pct"/>
                  <w:vMerge w:val="restart"/>
                  <w:vAlign w:val="center"/>
                </w:tcPr>
                <w:p w14:paraId="7CF1F89C">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环保工程</w:t>
                  </w:r>
                </w:p>
              </w:tc>
              <w:tc>
                <w:tcPr>
                  <w:tcW w:w="934" w:type="pct"/>
                  <w:vAlign w:val="center"/>
                </w:tcPr>
                <w:p w14:paraId="53A6A4E2">
                  <w:pPr>
                    <w:keepNext w:val="0"/>
                    <w:keepLines w:val="0"/>
                    <w:pageBreakBefore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废气</w:t>
                  </w:r>
                </w:p>
              </w:tc>
              <w:tc>
                <w:tcPr>
                  <w:tcW w:w="2490" w:type="pct"/>
                  <w:vAlign w:val="center"/>
                </w:tcPr>
                <w:p w14:paraId="4F12FE82">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注塑废气：通过密闭负压收集后进入二级活性炭装置TA001处理后由20m高排气筒DA001达标排放。</w:t>
                  </w:r>
                </w:p>
              </w:tc>
              <w:tc>
                <w:tcPr>
                  <w:tcW w:w="821" w:type="pct"/>
                  <w:vAlign w:val="center"/>
                </w:tcPr>
                <w:p w14:paraId="6A62D0C6">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A1栋共四层，高度为19.65m</w:t>
                  </w:r>
                </w:p>
              </w:tc>
            </w:tr>
            <w:tr w14:paraId="3A6D2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4" w:type="pct"/>
                  <w:vMerge w:val="continue"/>
                  <w:vAlign w:val="center"/>
                </w:tcPr>
                <w:p w14:paraId="108146E8">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val="0"/>
                      <w:color w:val="000000" w:themeColor="text1"/>
                      <w:sz w:val="21"/>
                      <w:szCs w:val="21"/>
                      <w:vertAlign w:val="baseline"/>
                      <w:lang w:val="en-US" w:eastAsia="zh-CN"/>
                      <w14:textFill>
                        <w14:solidFill>
                          <w14:schemeClr w14:val="tx1"/>
                        </w14:solidFill>
                      </w14:textFill>
                    </w:rPr>
                  </w:pPr>
                </w:p>
              </w:tc>
              <w:tc>
                <w:tcPr>
                  <w:tcW w:w="934" w:type="pct"/>
                  <w:vAlign w:val="center"/>
                </w:tcPr>
                <w:p w14:paraId="72465542">
                  <w:pPr>
                    <w:keepNext w:val="0"/>
                    <w:keepLines w:val="0"/>
                    <w:pageBreakBefore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废水</w:t>
                  </w:r>
                </w:p>
              </w:tc>
              <w:tc>
                <w:tcPr>
                  <w:tcW w:w="2490" w:type="pct"/>
                  <w:vAlign w:val="center"/>
                </w:tcPr>
                <w:p w14:paraId="61821CAC">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项目运营期外排废水</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为生活污水、</w:t>
                  </w:r>
                  <w:r>
                    <w:rPr>
                      <w:rFonts w:hint="eastAsia" w:cs="Times New Roman"/>
                      <w:color w:val="000000"/>
                      <w:kern w:val="0"/>
                      <w:sz w:val="21"/>
                      <w:szCs w:val="21"/>
                      <w:lang w:val="en-US" w:eastAsia="zh-CN" w:bidi="ar"/>
                    </w:rPr>
                    <w:t>循环冷却水排水</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。纳管接入市政污水管网进入</w:t>
                  </w:r>
                  <w:r>
                    <w:rPr>
                      <w:rFonts w:hint="eastAsia" w:cs="Times New Roman"/>
                      <w:color w:val="000000" w:themeColor="text1"/>
                      <w:sz w:val="21"/>
                      <w:szCs w:val="21"/>
                      <w:lang w:val="en-US" w:eastAsia="zh-CN"/>
                      <w14:textFill>
                        <w14:solidFill>
                          <w14:schemeClr w14:val="tx1"/>
                        </w14:solidFill>
                      </w14:textFill>
                    </w:rPr>
                    <w:t>淮南市潘集污水处理厂</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进行深度处理。</w:t>
                  </w:r>
                </w:p>
              </w:tc>
              <w:tc>
                <w:tcPr>
                  <w:tcW w:w="821" w:type="pct"/>
                  <w:vAlign w:val="center"/>
                </w:tcPr>
                <w:p w14:paraId="516D708C">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新建</w:t>
                  </w:r>
                </w:p>
              </w:tc>
            </w:tr>
            <w:tr w14:paraId="13AA8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4" w:type="pct"/>
                  <w:vMerge w:val="continue"/>
                  <w:vAlign w:val="center"/>
                </w:tcPr>
                <w:p w14:paraId="52D70F24">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val="0"/>
                      <w:color w:val="000000" w:themeColor="text1"/>
                      <w:sz w:val="21"/>
                      <w:szCs w:val="21"/>
                      <w:vertAlign w:val="baseline"/>
                      <w:lang w:val="en-US" w:eastAsia="zh-CN"/>
                      <w14:textFill>
                        <w14:solidFill>
                          <w14:schemeClr w14:val="tx1"/>
                        </w14:solidFill>
                      </w14:textFill>
                    </w:rPr>
                  </w:pPr>
                </w:p>
              </w:tc>
              <w:tc>
                <w:tcPr>
                  <w:tcW w:w="934" w:type="pct"/>
                  <w:vAlign w:val="center"/>
                </w:tcPr>
                <w:p w14:paraId="79D52B7E">
                  <w:pPr>
                    <w:keepNext w:val="0"/>
                    <w:keepLines w:val="0"/>
                    <w:pageBreakBefore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噪声</w:t>
                  </w:r>
                </w:p>
              </w:tc>
              <w:tc>
                <w:tcPr>
                  <w:tcW w:w="2490" w:type="pct"/>
                  <w:vAlign w:val="center"/>
                </w:tcPr>
                <w:p w14:paraId="7E3C8EF0">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选用低噪声设备，厂房隔声等措施。</w:t>
                  </w:r>
                </w:p>
              </w:tc>
              <w:tc>
                <w:tcPr>
                  <w:tcW w:w="821" w:type="pct"/>
                  <w:vAlign w:val="center"/>
                </w:tcPr>
                <w:p w14:paraId="2E8319BC">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新建</w:t>
                  </w:r>
                </w:p>
              </w:tc>
            </w:tr>
            <w:tr w14:paraId="05FED5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4" w:type="pct"/>
                  <w:vMerge w:val="continue"/>
                  <w:vAlign w:val="center"/>
                </w:tcPr>
                <w:p w14:paraId="14D8AFAC">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val="0"/>
                      <w:color w:val="000000" w:themeColor="text1"/>
                      <w:sz w:val="21"/>
                      <w:szCs w:val="21"/>
                      <w:vertAlign w:val="baseline"/>
                      <w:lang w:val="en-US" w:eastAsia="zh-CN"/>
                      <w14:textFill>
                        <w14:solidFill>
                          <w14:schemeClr w14:val="tx1"/>
                        </w14:solidFill>
                      </w14:textFill>
                    </w:rPr>
                  </w:pPr>
                </w:p>
              </w:tc>
              <w:tc>
                <w:tcPr>
                  <w:tcW w:w="934" w:type="pct"/>
                  <w:vAlign w:val="center"/>
                </w:tcPr>
                <w:p w14:paraId="64A35D81">
                  <w:pPr>
                    <w:keepNext w:val="0"/>
                    <w:keepLines w:val="0"/>
                    <w:pageBreakBefore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固体废物</w:t>
                  </w:r>
                </w:p>
              </w:tc>
              <w:tc>
                <w:tcPr>
                  <w:tcW w:w="2490" w:type="pct"/>
                  <w:vAlign w:val="center"/>
                </w:tcPr>
                <w:p w14:paraId="61800F43">
                  <w:pPr>
                    <w:keepNext w:val="0"/>
                    <w:keepLines w:val="0"/>
                    <w:widowControl/>
                    <w:suppressLineNumbers w:val="0"/>
                    <w:spacing w:line="240" w:lineRule="auto"/>
                    <w:jc w:val="left"/>
                    <w:rPr>
                      <w:rFonts w:hint="default" w:ascii="Times New Roman" w:hAnsi="Times New Roman" w:eastAsia="宋体" w:cs="Times New Roman"/>
                      <w:b w:val="0"/>
                      <w:bCs w:val="0"/>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一般工业固体废物：</w:t>
                  </w:r>
                  <w:r>
                    <w:rPr>
                      <w:rFonts w:hint="default" w:ascii="Times New Roman" w:hAnsi="Times New Roman" w:eastAsia="宋体" w:cs="Times New Roman"/>
                      <w:b w:val="0"/>
                      <w:bCs w:val="0"/>
                      <w:color w:val="000000"/>
                      <w:kern w:val="0"/>
                      <w:sz w:val="21"/>
                      <w:szCs w:val="21"/>
                      <w:lang w:val="en-US" w:eastAsia="zh-CN" w:bidi="ar"/>
                    </w:rPr>
                    <w:t>位于车间1F</w:t>
                  </w:r>
                  <w:r>
                    <w:rPr>
                      <w:rFonts w:hint="eastAsia" w:ascii="Times New Roman" w:hAnsi="Times New Roman" w:eastAsia="宋体" w:cs="Times New Roman"/>
                      <w:b w:val="0"/>
                      <w:bCs w:val="0"/>
                      <w:color w:val="000000"/>
                      <w:kern w:val="0"/>
                      <w:sz w:val="21"/>
                      <w:szCs w:val="21"/>
                      <w:lang w:val="en-US" w:eastAsia="zh-CN" w:bidi="ar"/>
                    </w:rPr>
                    <w:t>西北部，建筑面积约10</w:t>
                  </w:r>
                  <w:r>
                    <w:rPr>
                      <w:rFonts w:hint="default" w:ascii="Times New Roman" w:hAnsi="Times New Roman" w:eastAsia="宋体" w:cs="Times New Roman"/>
                      <w:b w:val="0"/>
                      <w:bCs w:val="0"/>
                      <w:color w:val="000000"/>
                      <w:kern w:val="0"/>
                      <w:sz w:val="21"/>
                      <w:szCs w:val="21"/>
                      <w:lang w:val="en-US" w:eastAsia="zh-CN" w:bidi="ar"/>
                    </w:rPr>
                    <w:t>m</w:t>
                  </w:r>
                  <w:r>
                    <w:rPr>
                      <w:rFonts w:hint="default" w:ascii="Times New Roman" w:hAnsi="Times New Roman" w:eastAsia="宋体" w:cs="Times New Roman"/>
                      <w:b w:val="0"/>
                      <w:bCs w:val="0"/>
                      <w:color w:val="000000"/>
                      <w:kern w:val="0"/>
                      <w:sz w:val="21"/>
                      <w:szCs w:val="21"/>
                      <w:vertAlign w:val="superscript"/>
                      <w:lang w:val="en-US" w:eastAsia="zh-CN" w:bidi="ar"/>
                    </w:rPr>
                    <w:t>2</w:t>
                  </w:r>
                  <w:r>
                    <w:rPr>
                      <w:rFonts w:hint="eastAsia" w:ascii="Times New Roman" w:hAnsi="Times New Roman" w:eastAsia="宋体" w:cs="Times New Roman"/>
                      <w:b w:val="0"/>
                      <w:bCs w:val="0"/>
                      <w:color w:val="000000"/>
                      <w:kern w:val="0"/>
                      <w:sz w:val="21"/>
                      <w:szCs w:val="21"/>
                      <w:vertAlign w:val="baseline"/>
                      <w:lang w:val="en-US" w:eastAsia="zh-CN" w:bidi="ar"/>
                    </w:rPr>
                    <w:t>，</w:t>
                  </w:r>
                  <w:r>
                    <w:rPr>
                      <w:rFonts w:hint="eastAsia" w:cs="Times New Roman"/>
                      <w:b w:val="0"/>
                      <w:bCs w:val="0"/>
                      <w:color w:val="000000"/>
                      <w:kern w:val="0"/>
                      <w:sz w:val="21"/>
                      <w:szCs w:val="21"/>
                      <w:vertAlign w:val="baseline"/>
                      <w:lang w:val="en-US" w:eastAsia="zh-CN" w:bidi="ar"/>
                    </w:rPr>
                    <w:t>废包装袋</w:t>
                  </w:r>
                  <w:r>
                    <w:rPr>
                      <w:rFonts w:hint="eastAsia" w:ascii="Times New Roman" w:hAnsi="Times New Roman" w:eastAsia="宋体" w:cs="Times New Roman"/>
                      <w:b w:val="0"/>
                      <w:bCs w:val="0"/>
                      <w:color w:val="000000"/>
                      <w:kern w:val="0"/>
                      <w:sz w:val="21"/>
                      <w:szCs w:val="21"/>
                      <w:vertAlign w:val="baseline"/>
                      <w:lang w:val="en-US" w:eastAsia="zh-CN" w:bidi="ar"/>
                    </w:rPr>
                    <w:t>存放于一般固废区，外售给物资公司综合利用；</w:t>
                  </w:r>
                </w:p>
                <w:p w14:paraId="51ABA277">
                  <w:pPr>
                    <w:keepNext w:val="0"/>
                    <w:keepLines w:val="0"/>
                    <w:widowControl/>
                    <w:suppressLineNumbers w:val="0"/>
                    <w:spacing w:line="240" w:lineRule="auto"/>
                    <w:jc w:val="left"/>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危险废物：</w:t>
                  </w:r>
                  <w:r>
                    <w:rPr>
                      <w:rFonts w:hint="default" w:ascii="Times New Roman" w:hAnsi="Times New Roman" w:eastAsia="宋体" w:cs="Times New Roman"/>
                      <w:b w:val="0"/>
                      <w:bCs w:val="0"/>
                      <w:color w:val="000000"/>
                      <w:kern w:val="0"/>
                      <w:sz w:val="21"/>
                      <w:szCs w:val="21"/>
                      <w:lang w:val="en-US" w:eastAsia="zh-CN" w:bidi="ar"/>
                    </w:rPr>
                    <w:t>位于车间2F南部；建筑面积约1</w:t>
                  </w:r>
                  <w:r>
                    <w:rPr>
                      <w:rFonts w:hint="eastAsia" w:cs="Times New Roman"/>
                      <w:b w:val="0"/>
                      <w:bCs w:val="0"/>
                      <w:color w:val="000000"/>
                      <w:kern w:val="0"/>
                      <w:sz w:val="21"/>
                      <w:szCs w:val="21"/>
                      <w:lang w:val="en-US" w:eastAsia="zh-CN" w:bidi="ar"/>
                    </w:rPr>
                    <w:t>5</w:t>
                  </w:r>
                  <w:r>
                    <w:rPr>
                      <w:rFonts w:hint="default" w:ascii="Times New Roman" w:hAnsi="Times New Roman" w:eastAsia="宋体" w:cs="Times New Roman"/>
                      <w:b w:val="0"/>
                      <w:bCs w:val="0"/>
                      <w:color w:val="000000"/>
                      <w:kern w:val="0"/>
                      <w:sz w:val="21"/>
                      <w:szCs w:val="21"/>
                      <w:lang w:val="en-US" w:eastAsia="zh-CN" w:bidi="ar"/>
                    </w:rPr>
                    <w:t>m</w:t>
                  </w:r>
                  <w:r>
                    <w:rPr>
                      <w:rFonts w:hint="default" w:ascii="Times New Roman" w:hAnsi="Times New Roman" w:eastAsia="宋体" w:cs="Times New Roman"/>
                      <w:b w:val="0"/>
                      <w:bCs w:val="0"/>
                      <w:color w:val="000000"/>
                      <w:kern w:val="0"/>
                      <w:sz w:val="21"/>
                      <w:szCs w:val="21"/>
                      <w:vertAlign w:val="superscript"/>
                      <w:lang w:val="en-US" w:eastAsia="zh-CN" w:bidi="ar"/>
                    </w:rPr>
                    <w:t>2</w:t>
                  </w:r>
                  <w:r>
                    <w:rPr>
                      <w:rFonts w:hint="default" w:ascii="Times New Roman" w:hAnsi="Times New Roman" w:eastAsia="宋体" w:cs="Times New Roman"/>
                      <w:b w:val="0"/>
                      <w:bCs w:val="0"/>
                      <w:color w:val="000000"/>
                      <w:kern w:val="0"/>
                      <w:sz w:val="21"/>
                      <w:szCs w:val="21"/>
                      <w:vertAlign w:val="baseline"/>
                      <w:lang w:val="en-US" w:eastAsia="zh-CN" w:bidi="ar"/>
                    </w:rPr>
                    <w:t>，</w:t>
                  </w:r>
                  <w:r>
                    <w:rPr>
                      <w:rFonts w:hint="eastAsia" w:cs="Times New Roman"/>
                      <w:b w:val="0"/>
                      <w:bCs w:val="0"/>
                      <w:color w:val="000000"/>
                      <w:kern w:val="0"/>
                      <w:sz w:val="21"/>
                      <w:szCs w:val="21"/>
                      <w:vertAlign w:val="baseline"/>
                      <w:lang w:val="en-US" w:eastAsia="zh-CN" w:bidi="ar"/>
                    </w:rPr>
                    <w:t>废液压油、废油桶、废活性炭、含油抹布</w:t>
                  </w:r>
                  <w:r>
                    <w:rPr>
                      <w:rFonts w:hint="eastAsia" w:ascii="宋体" w:hAnsi="宋体" w:eastAsia="宋体" w:cs="宋体"/>
                      <w:b w:val="0"/>
                      <w:bCs w:val="0"/>
                      <w:color w:val="000000"/>
                      <w:kern w:val="0"/>
                      <w:sz w:val="21"/>
                      <w:szCs w:val="21"/>
                      <w:lang w:val="en-US" w:eastAsia="zh-CN" w:bidi="ar"/>
                    </w:rPr>
                    <w:t>暂存于危废库中，委托有危废处置资质单位定期处理；</w:t>
                  </w:r>
                </w:p>
                <w:p w14:paraId="0C386DA5">
                  <w:pPr>
                    <w:keepNext w:val="0"/>
                    <w:keepLines w:val="0"/>
                    <w:widowControl/>
                    <w:suppressLineNumbers w:val="0"/>
                    <w:spacing w:line="240" w:lineRule="auto"/>
                    <w:jc w:val="left"/>
                    <w:rPr>
                      <w:rFonts w:hint="default"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生活垃圾分类收集后由环卫部门统一清运。</w:t>
                  </w:r>
                </w:p>
              </w:tc>
              <w:tc>
                <w:tcPr>
                  <w:tcW w:w="821" w:type="pct"/>
                  <w:vAlign w:val="center"/>
                </w:tcPr>
                <w:p w14:paraId="5974D0DB">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新建</w:t>
                  </w:r>
                </w:p>
              </w:tc>
            </w:tr>
          </w:tbl>
          <w:p w14:paraId="63D52965">
            <w:pPr>
              <w:keepNext w:val="0"/>
              <w:keepLines w:val="0"/>
              <w:pageBreakBefore w:val="0"/>
              <w:widowControl w:val="0"/>
              <w:numPr>
                <w:ilvl w:val="0"/>
                <w:numId w:val="9"/>
              </w:numPr>
              <w:kinsoku/>
              <w:wordWrap/>
              <w:overflowPunct/>
              <w:topLinePunct w:val="0"/>
              <w:autoSpaceDE/>
              <w:autoSpaceDN/>
              <w:bidi w:val="0"/>
              <w:adjustRightInd/>
              <w:snapToGrid/>
              <w:ind w:left="0" w:firstLine="482" w:firstLineChars="200"/>
              <w:textAlignment w:val="auto"/>
              <w:rPr>
                <w:rFonts w:hint="eastAsia"/>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生产</w:t>
            </w:r>
            <w:r>
              <w:rPr>
                <w:b/>
                <w:color w:val="000000" w:themeColor="text1"/>
                <w14:textFill>
                  <w14:solidFill>
                    <w14:schemeClr w14:val="tx1"/>
                  </w14:solidFill>
                </w14:textFill>
              </w:rPr>
              <w:t>方案及规模</w:t>
            </w:r>
          </w:p>
          <w:p w14:paraId="0260B582">
            <w:pPr>
              <w:ind w:firstLine="480" w:firstLineChars="200"/>
              <w:rPr>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项目产品</w:t>
            </w:r>
            <w:r>
              <w:rPr>
                <w:rFonts w:hint="eastAsia"/>
                <w:bCs/>
                <w:color w:val="000000" w:themeColor="text1"/>
                <w14:textFill>
                  <w14:solidFill>
                    <w14:schemeClr w14:val="tx1"/>
                  </w14:solidFill>
                </w14:textFill>
              </w:rPr>
              <w:t>方案如下：</w:t>
            </w:r>
          </w:p>
          <w:p w14:paraId="6E9CA03E">
            <w:p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表2-</w:t>
            </w:r>
            <w:r>
              <w:rPr>
                <w:rFonts w:hint="eastAsia"/>
                <w:b/>
                <w:color w:val="000000" w:themeColor="text1"/>
                <w:sz w:val="21"/>
                <w:szCs w:val="21"/>
                <w:lang w:val="en-US" w:eastAsia="zh-CN"/>
                <w14:textFill>
                  <w14:solidFill>
                    <w14:schemeClr w14:val="tx1"/>
                  </w14:solidFill>
                </w14:textFill>
              </w:rPr>
              <w:t>4</w:t>
            </w:r>
            <w:r>
              <w:rPr>
                <w:b/>
                <w:color w:val="000000" w:themeColor="text1"/>
                <w:sz w:val="21"/>
                <w:szCs w:val="21"/>
                <w14:textFill>
                  <w14:solidFill>
                    <w14:schemeClr w14:val="tx1"/>
                  </w14:solidFill>
                </w14:textFill>
              </w:rPr>
              <w:t xml:space="preserve"> 产品方案一览表</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2669"/>
              <w:gridCol w:w="1904"/>
              <w:gridCol w:w="2586"/>
            </w:tblGrid>
            <w:tr w14:paraId="50267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9" w:type="pct"/>
                  <w:tcBorders>
                    <w:tl2br w:val="nil"/>
                    <w:tr2bl w:val="nil"/>
                  </w:tcBorders>
                  <w:vAlign w:val="center"/>
                </w:tcPr>
                <w:p w14:paraId="7E4225B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1640" w:type="pct"/>
                  <w:tcBorders>
                    <w:tl2br w:val="nil"/>
                    <w:tr2bl w:val="nil"/>
                  </w:tcBorders>
                  <w:vAlign w:val="center"/>
                </w:tcPr>
                <w:p w14:paraId="4134722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产品名称</w:t>
                  </w:r>
                </w:p>
              </w:tc>
              <w:tc>
                <w:tcPr>
                  <w:tcW w:w="1170" w:type="pct"/>
                  <w:tcBorders>
                    <w:tl2br w:val="nil"/>
                    <w:tr2bl w:val="nil"/>
                  </w:tcBorders>
                  <w:vAlign w:val="center"/>
                </w:tcPr>
                <w:p w14:paraId="459D066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年产量</w:t>
                  </w:r>
                </w:p>
              </w:tc>
              <w:tc>
                <w:tcPr>
                  <w:tcW w:w="1589" w:type="pct"/>
                  <w:tcBorders>
                    <w:tl2br w:val="nil"/>
                    <w:tr2bl w:val="nil"/>
                  </w:tcBorders>
                  <w:vAlign w:val="center"/>
                </w:tcPr>
                <w:p w14:paraId="136D36D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备注</w:t>
                  </w:r>
                </w:p>
              </w:tc>
            </w:tr>
            <w:tr w14:paraId="1BCCF2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9" w:type="pct"/>
                  <w:tcBorders>
                    <w:tl2br w:val="nil"/>
                    <w:tr2bl w:val="nil"/>
                  </w:tcBorders>
                  <w:vAlign w:val="center"/>
                </w:tcPr>
                <w:p w14:paraId="1045B08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1640" w:type="pct"/>
                  <w:tcBorders>
                    <w:tl2br w:val="nil"/>
                    <w:tr2bl w:val="nil"/>
                  </w:tcBorders>
                  <w:vAlign w:val="center"/>
                </w:tcPr>
                <w:p w14:paraId="7394977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高档化妆品包装</w:t>
                  </w:r>
                </w:p>
              </w:tc>
              <w:tc>
                <w:tcPr>
                  <w:tcW w:w="1170" w:type="pct"/>
                  <w:tcBorders>
                    <w:tl2br w:val="nil"/>
                    <w:tr2bl w:val="nil"/>
                  </w:tcBorders>
                  <w:vAlign w:val="center"/>
                </w:tcPr>
                <w:p w14:paraId="58C9B04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300万套</w:t>
                  </w:r>
                </w:p>
              </w:tc>
              <w:tc>
                <w:tcPr>
                  <w:tcW w:w="1589" w:type="pct"/>
                  <w:tcBorders>
                    <w:tl2br w:val="nil"/>
                    <w:tr2bl w:val="nil"/>
                  </w:tcBorders>
                  <w:vAlign w:val="center"/>
                </w:tcPr>
                <w:p w14:paraId="168E3CC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主要为瓶盖</w:t>
                  </w:r>
                </w:p>
              </w:tc>
            </w:tr>
            <w:tr w14:paraId="30BB1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599" w:type="pct"/>
                  <w:tcBorders>
                    <w:tl2br w:val="nil"/>
                    <w:tr2bl w:val="nil"/>
                  </w:tcBorders>
                  <w:vAlign w:val="center"/>
                </w:tcPr>
                <w:p w14:paraId="524E5C2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1640" w:type="pct"/>
                  <w:tcBorders>
                    <w:tl2br w:val="nil"/>
                    <w:tr2bl w:val="nil"/>
                  </w:tcBorders>
                  <w:vAlign w:val="center"/>
                </w:tcPr>
                <w:p w14:paraId="1A065DA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新能源汽车零部件</w:t>
                  </w:r>
                </w:p>
              </w:tc>
              <w:tc>
                <w:tcPr>
                  <w:tcW w:w="1170" w:type="pct"/>
                  <w:tcBorders>
                    <w:tl2br w:val="nil"/>
                    <w:tr2bl w:val="nil"/>
                  </w:tcBorders>
                  <w:vAlign w:val="center"/>
                </w:tcPr>
                <w:p w14:paraId="7249FF7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300万套</w:t>
                  </w:r>
                </w:p>
              </w:tc>
              <w:tc>
                <w:tcPr>
                  <w:tcW w:w="1589" w:type="pct"/>
                  <w:tcBorders>
                    <w:tl2br w:val="nil"/>
                    <w:tr2bl w:val="nil"/>
                  </w:tcBorders>
                  <w:vAlign w:val="center"/>
                </w:tcPr>
                <w:p w14:paraId="3541B51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汽车塑料零部件</w:t>
                  </w:r>
                </w:p>
              </w:tc>
            </w:tr>
          </w:tbl>
          <w:p w14:paraId="11F2F54F">
            <w:pPr>
              <w:keepNext w:val="0"/>
              <w:keepLines w:val="0"/>
              <w:pageBreakBefore w:val="0"/>
              <w:widowControl w:val="0"/>
              <w:numPr>
                <w:ilvl w:val="0"/>
                <w:numId w:val="9"/>
              </w:numPr>
              <w:kinsoku/>
              <w:wordWrap/>
              <w:overflowPunct/>
              <w:topLinePunct w:val="0"/>
              <w:autoSpaceDE/>
              <w:autoSpaceDN/>
              <w:bidi w:val="0"/>
              <w:adjustRightInd/>
              <w:snapToGrid/>
              <w:ind w:left="0" w:firstLine="482" w:firstLineChars="200"/>
              <w:textAlignment w:val="auto"/>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项目主要原辅材料消耗情况</w:t>
            </w:r>
          </w:p>
          <w:p w14:paraId="7D8235BA">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项目原辅材料消耗情况见</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w:t>
            </w:r>
          </w:p>
          <w:p w14:paraId="3BA7433F">
            <w:p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表2-</w:t>
            </w:r>
            <w:r>
              <w:rPr>
                <w:rFonts w:hint="eastAsia"/>
                <w:b/>
                <w:color w:val="000000" w:themeColor="text1"/>
                <w:sz w:val="21"/>
                <w:szCs w:val="21"/>
                <w:lang w:val="en-US" w:eastAsia="zh-CN"/>
                <w14:textFill>
                  <w14:solidFill>
                    <w14:schemeClr w14:val="tx1"/>
                  </w14:solidFill>
                </w14:textFill>
              </w:rPr>
              <w:t>5</w:t>
            </w:r>
            <w:r>
              <w:rPr>
                <w:rFonts w:hint="eastAsia"/>
                <w:b/>
                <w:color w:val="000000" w:themeColor="text1"/>
                <w:sz w:val="21"/>
                <w:szCs w:val="21"/>
                <w14:textFill>
                  <w14:solidFill>
                    <w14:schemeClr w14:val="tx1"/>
                  </w14:solidFill>
                </w14:textFill>
              </w:rPr>
              <w:t xml:space="preserve"> </w:t>
            </w:r>
            <w:r>
              <w:rPr>
                <w:b/>
                <w:color w:val="000000" w:themeColor="text1"/>
                <w:sz w:val="21"/>
                <w:szCs w:val="21"/>
                <w14:textFill>
                  <w14:solidFill>
                    <w14:schemeClr w14:val="tx1"/>
                  </w14:solidFill>
                </w14:textFill>
              </w:rPr>
              <w:t>项目主要原辅材料消耗表</w:t>
            </w:r>
          </w:p>
          <w:tbl>
            <w:tblPr>
              <w:tblStyle w:val="3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1860"/>
              <w:gridCol w:w="1991"/>
              <w:gridCol w:w="1594"/>
              <w:gridCol w:w="1594"/>
            </w:tblGrid>
            <w:tr w14:paraId="334D0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8" w:type="dxa"/>
                  <w:tcBorders>
                    <w:tl2br w:val="nil"/>
                    <w:tr2bl w:val="nil"/>
                  </w:tcBorders>
                  <w:vAlign w:val="center"/>
                </w:tcPr>
                <w:p w14:paraId="7079A68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1860" w:type="dxa"/>
                  <w:tcBorders>
                    <w:tl2br w:val="nil"/>
                    <w:tr2bl w:val="nil"/>
                  </w:tcBorders>
                  <w:vAlign w:val="center"/>
                </w:tcPr>
                <w:p w14:paraId="6FEAA6A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原辅料名称</w:t>
                  </w:r>
                </w:p>
              </w:tc>
              <w:tc>
                <w:tcPr>
                  <w:tcW w:w="1991" w:type="dxa"/>
                  <w:tcBorders>
                    <w:tl2br w:val="nil"/>
                    <w:tr2bl w:val="nil"/>
                  </w:tcBorders>
                  <w:vAlign w:val="center"/>
                </w:tcPr>
                <w:p w14:paraId="3919BAF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包装规格</w:t>
                  </w:r>
                </w:p>
              </w:tc>
              <w:tc>
                <w:tcPr>
                  <w:tcW w:w="1594" w:type="dxa"/>
                  <w:tcBorders>
                    <w:tl2br w:val="nil"/>
                    <w:tr2bl w:val="nil"/>
                  </w:tcBorders>
                  <w:vAlign w:val="center"/>
                </w:tcPr>
                <w:p w14:paraId="38EB07C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年用量</w:t>
                  </w:r>
                </w:p>
              </w:tc>
              <w:tc>
                <w:tcPr>
                  <w:tcW w:w="1594" w:type="dxa"/>
                  <w:tcBorders>
                    <w:tl2br w:val="nil"/>
                    <w:tr2bl w:val="nil"/>
                  </w:tcBorders>
                  <w:vAlign w:val="center"/>
                </w:tcPr>
                <w:p w14:paraId="3BB44FC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最大暂存量</w:t>
                  </w:r>
                </w:p>
              </w:tc>
            </w:tr>
            <w:tr w14:paraId="1B014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67" w:type="dxa"/>
                  <w:gridSpan w:val="5"/>
                  <w:tcBorders>
                    <w:tl2br w:val="nil"/>
                    <w:tr2bl w:val="nil"/>
                  </w:tcBorders>
                  <w:vAlign w:val="center"/>
                </w:tcPr>
                <w:p w14:paraId="5BF5AFE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b/>
                      <w:bCs/>
                      <w:sz w:val="21"/>
                      <w:szCs w:val="21"/>
                      <w:vertAlign w:val="baseline"/>
                      <w:lang w:val="en-US" w:eastAsia="zh-CN"/>
                    </w:rPr>
                  </w:pPr>
                  <w:r>
                    <w:rPr>
                      <w:rFonts w:hint="eastAsia"/>
                      <w:sz w:val="21"/>
                      <w:szCs w:val="21"/>
                      <w:vertAlign w:val="baseline"/>
                      <w:lang w:val="en-US" w:eastAsia="zh-CN"/>
                    </w:rPr>
                    <w:t>高档化妆品包装</w:t>
                  </w:r>
                </w:p>
              </w:tc>
            </w:tr>
            <w:tr w14:paraId="018B65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8" w:type="dxa"/>
                  <w:tcBorders>
                    <w:tl2br w:val="nil"/>
                    <w:tr2bl w:val="nil"/>
                  </w:tcBorders>
                  <w:vAlign w:val="center"/>
                </w:tcPr>
                <w:p w14:paraId="083B70B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w:t>
                  </w:r>
                </w:p>
              </w:tc>
              <w:tc>
                <w:tcPr>
                  <w:tcW w:w="1860" w:type="dxa"/>
                  <w:tcBorders>
                    <w:tl2br w:val="nil"/>
                    <w:tr2bl w:val="nil"/>
                  </w:tcBorders>
                  <w:vAlign w:val="center"/>
                </w:tcPr>
                <w:p w14:paraId="16CC8B6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PP粒子</w:t>
                  </w:r>
                </w:p>
              </w:tc>
              <w:tc>
                <w:tcPr>
                  <w:tcW w:w="1991" w:type="dxa"/>
                  <w:tcBorders>
                    <w:tl2br w:val="nil"/>
                    <w:tr2bl w:val="nil"/>
                  </w:tcBorders>
                  <w:vAlign w:val="center"/>
                </w:tcPr>
                <w:p w14:paraId="4FA3E18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25kg/袋</w:t>
                  </w:r>
                </w:p>
              </w:tc>
              <w:tc>
                <w:tcPr>
                  <w:tcW w:w="1594" w:type="dxa"/>
                  <w:tcBorders>
                    <w:tl2br w:val="nil"/>
                    <w:tr2bl w:val="nil"/>
                  </w:tcBorders>
                  <w:vAlign w:val="center"/>
                </w:tcPr>
                <w:p w14:paraId="5540903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20t</w:t>
                  </w:r>
                </w:p>
              </w:tc>
              <w:tc>
                <w:tcPr>
                  <w:tcW w:w="1594" w:type="dxa"/>
                  <w:tcBorders>
                    <w:tl2br w:val="nil"/>
                    <w:tr2bl w:val="nil"/>
                  </w:tcBorders>
                  <w:vAlign w:val="center"/>
                </w:tcPr>
                <w:p w14:paraId="60AA616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33袋（0.825t）</w:t>
                  </w:r>
                </w:p>
              </w:tc>
            </w:tr>
            <w:tr w14:paraId="59E859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8" w:type="dxa"/>
                  <w:tcBorders>
                    <w:tl2br w:val="nil"/>
                    <w:tr2bl w:val="nil"/>
                  </w:tcBorders>
                  <w:vAlign w:val="center"/>
                </w:tcPr>
                <w:p w14:paraId="6B97072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2</w:t>
                  </w:r>
                </w:p>
              </w:tc>
              <w:tc>
                <w:tcPr>
                  <w:tcW w:w="1860" w:type="dxa"/>
                  <w:tcBorders>
                    <w:tl2br w:val="nil"/>
                    <w:tr2bl w:val="nil"/>
                  </w:tcBorders>
                  <w:vAlign w:val="center"/>
                </w:tcPr>
                <w:p w14:paraId="3B60628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ABS粒子</w:t>
                  </w:r>
                </w:p>
              </w:tc>
              <w:tc>
                <w:tcPr>
                  <w:tcW w:w="1991" w:type="dxa"/>
                  <w:tcBorders>
                    <w:tl2br w:val="nil"/>
                    <w:tr2bl w:val="nil"/>
                  </w:tcBorders>
                  <w:vAlign w:val="center"/>
                </w:tcPr>
                <w:p w14:paraId="72A0EC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25kg/袋</w:t>
                  </w:r>
                </w:p>
              </w:tc>
              <w:tc>
                <w:tcPr>
                  <w:tcW w:w="1594" w:type="dxa"/>
                  <w:tcBorders>
                    <w:tl2br w:val="nil"/>
                    <w:tr2bl w:val="nil"/>
                  </w:tcBorders>
                  <w:vAlign w:val="center"/>
                </w:tcPr>
                <w:p w14:paraId="4D2348B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10t</w:t>
                  </w:r>
                </w:p>
              </w:tc>
              <w:tc>
                <w:tcPr>
                  <w:tcW w:w="1594" w:type="dxa"/>
                  <w:tcBorders>
                    <w:tl2br w:val="nil"/>
                    <w:tr2bl w:val="nil"/>
                  </w:tcBorders>
                  <w:vAlign w:val="center"/>
                </w:tcPr>
                <w:p w14:paraId="43BB267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16袋（0.4t）</w:t>
                  </w:r>
                </w:p>
              </w:tc>
            </w:tr>
            <w:tr w14:paraId="3B4393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8" w:type="dxa"/>
                  <w:tcBorders>
                    <w:tl2br w:val="nil"/>
                    <w:tr2bl w:val="nil"/>
                  </w:tcBorders>
                  <w:vAlign w:val="center"/>
                </w:tcPr>
                <w:p w14:paraId="7A4A3E8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3</w:t>
                  </w:r>
                </w:p>
              </w:tc>
              <w:tc>
                <w:tcPr>
                  <w:tcW w:w="1860" w:type="dxa"/>
                  <w:tcBorders>
                    <w:tl2br w:val="nil"/>
                    <w:tr2bl w:val="nil"/>
                  </w:tcBorders>
                  <w:vAlign w:val="center"/>
                </w:tcPr>
                <w:p w14:paraId="6F722C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PS粒子</w:t>
                  </w:r>
                </w:p>
              </w:tc>
              <w:tc>
                <w:tcPr>
                  <w:tcW w:w="1991" w:type="dxa"/>
                  <w:tcBorders>
                    <w:tl2br w:val="nil"/>
                    <w:tr2bl w:val="nil"/>
                  </w:tcBorders>
                  <w:vAlign w:val="center"/>
                </w:tcPr>
                <w:p w14:paraId="49FE31F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25kg/袋</w:t>
                  </w:r>
                </w:p>
              </w:tc>
              <w:tc>
                <w:tcPr>
                  <w:tcW w:w="1594" w:type="dxa"/>
                  <w:tcBorders>
                    <w:tl2br w:val="nil"/>
                    <w:tr2bl w:val="nil"/>
                  </w:tcBorders>
                  <w:vAlign w:val="center"/>
                </w:tcPr>
                <w:p w14:paraId="3761D17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8t</w:t>
                  </w:r>
                </w:p>
              </w:tc>
              <w:tc>
                <w:tcPr>
                  <w:tcW w:w="1594" w:type="dxa"/>
                  <w:tcBorders>
                    <w:tl2br w:val="nil"/>
                    <w:tr2bl w:val="nil"/>
                  </w:tcBorders>
                  <w:vAlign w:val="center"/>
                </w:tcPr>
                <w:p w14:paraId="2C1EE87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13袋（0.325t）</w:t>
                  </w:r>
                </w:p>
              </w:tc>
            </w:tr>
            <w:tr w14:paraId="03996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67" w:type="dxa"/>
                  <w:gridSpan w:val="5"/>
                  <w:tcBorders>
                    <w:tl2br w:val="nil"/>
                    <w:tr2bl w:val="nil"/>
                  </w:tcBorders>
                  <w:vAlign w:val="center"/>
                </w:tcPr>
                <w:p w14:paraId="5700CB7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b/>
                      <w:bCs/>
                      <w:sz w:val="21"/>
                      <w:szCs w:val="21"/>
                      <w:vertAlign w:val="baseline"/>
                      <w:lang w:val="en-US" w:eastAsia="zh-CN"/>
                    </w:rPr>
                  </w:pPr>
                  <w:r>
                    <w:rPr>
                      <w:rFonts w:hint="eastAsia"/>
                      <w:sz w:val="21"/>
                      <w:szCs w:val="21"/>
                      <w:vertAlign w:val="baseline"/>
                      <w:lang w:val="en-US" w:eastAsia="zh-CN"/>
                    </w:rPr>
                    <w:t>新能源汽车零部件</w:t>
                  </w:r>
                </w:p>
              </w:tc>
            </w:tr>
            <w:tr w14:paraId="54A263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8" w:type="dxa"/>
                  <w:tcBorders>
                    <w:tl2br w:val="nil"/>
                    <w:tr2bl w:val="nil"/>
                  </w:tcBorders>
                  <w:vAlign w:val="center"/>
                </w:tcPr>
                <w:p w14:paraId="7099191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4</w:t>
                  </w:r>
                </w:p>
              </w:tc>
              <w:tc>
                <w:tcPr>
                  <w:tcW w:w="1860" w:type="dxa"/>
                  <w:tcBorders>
                    <w:tl2br w:val="nil"/>
                    <w:tr2bl w:val="nil"/>
                  </w:tcBorders>
                  <w:vAlign w:val="center"/>
                </w:tcPr>
                <w:p w14:paraId="4E471B4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eastAsia"/>
                      <w:b w:val="0"/>
                      <w:bCs w:val="0"/>
                      <w:sz w:val="21"/>
                      <w:szCs w:val="21"/>
                      <w:vertAlign w:val="baseline"/>
                      <w:lang w:val="en-US" w:eastAsia="zh-CN"/>
                    </w:rPr>
                    <w:t>PP粒子</w:t>
                  </w:r>
                </w:p>
              </w:tc>
              <w:tc>
                <w:tcPr>
                  <w:tcW w:w="1991" w:type="dxa"/>
                  <w:tcBorders>
                    <w:tl2br w:val="nil"/>
                    <w:tr2bl w:val="nil"/>
                  </w:tcBorders>
                  <w:vAlign w:val="center"/>
                </w:tcPr>
                <w:p w14:paraId="41D8546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b/>
                      <w:bCs/>
                      <w:sz w:val="21"/>
                      <w:szCs w:val="21"/>
                      <w:vertAlign w:val="baseline"/>
                      <w:lang w:val="en-US" w:eastAsia="zh-CN"/>
                    </w:rPr>
                  </w:pPr>
                  <w:r>
                    <w:rPr>
                      <w:rFonts w:hint="eastAsia"/>
                      <w:b w:val="0"/>
                      <w:bCs w:val="0"/>
                      <w:sz w:val="21"/>
                      <w:szCs w:val="21"/>
                      <w:vertAlign w:val="baseline"/>
                      <w:lang w:val="en-US" w:eastAsia="zh-CN"/>
                    </w:rPr>
                    <w:t>25kg/袋</w:t>
                  </w:r>
                </w:p>
              </w:tc>
              <w:tc>
                <w:tcPr>
                  <w:tcW w:w="1594" w:type="dxa"/>
                  <w:tcBorders>
                    <w:tl2br w:val="nil"/>
                    <w:tr2bl w:val="nil"/>
                  </w:tcBorders>
                  <w:vAlign w:val="center"/>
                </w:tcPr>
                <w:p w14:paraId="612504D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53t</w:t>
                  </w:r>
                </w:p>
              </w:tc>
              <w:tc>
                <w:tcPr>
                  <w:tcW w:w="1594" w:type="dxa"/>
                  <w:tcBorders>
                    <w:tl2br w:val="nil"/>
                    <w:tr2bl w:val="nil"/>
                  </w:tcBorders>
                  <w:vAlign w:val="center"/>
                </w:tcPr>
                <w:p w14:paraId="7269AF1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bCs/>
                      <w:sz w:val="21"/>
                      <w:szCs w:val="21"/>
                      <w:vertAlign w:val="baseline"/>
                      <w:lang w:val="en-US" w:eastAsia="zh-CN"/>
                    </w:rPr>
                  </w:pPr>
                  <w:r>
                    <w:rPr>
                      <w:rFonts w:hint="eastAsia"/>
                      <w:b w:val="0"/>
                      <w:bCs w:val="0"/>
                      <w:sz w:val="21"/>
                      <w:szCs w:val="21"/>
                      <w:vertAlign w:val="baseline"/>
                      <w:lang w:val="en-US" w:eastAsia="zh-CN"/>
                    </w:rPr>
                    <w:t>40袋（1t）</w:t>
                  </w:r>
                </w:p>
              </w:tc>
            </w:tr>
            <w:tr w14:paraId="057DE7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928" w:type="dxa"/>
                  <w:tcBorders>
                    <w:tl2br w:val="nil"/>
                    <w:tr2bl w:val="nil"/>
                  </w:tcBorders>
                  <w:vAlign w:val="center"/>
                </w:tcPr>
                <w:p w14:paraId="3AF97B6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5</w:t>
                  </w:r>
                </w:p>
              </w:tc>
              <w:tc>
                <w:tcPr>
                  <w:tcW w:w="1860" w:type="dxa"/>
                  <w:tcBorders>
                    <w:tl2br w:val="nil"/>
                    <w:tr2bl w:val="nil"/>
                  </w:tcBorders>
                  <w:vAlign w:val="center"/>
                </w:tcPr>
                <w:p w14:paraId="70B29F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eastAsia"/>
                      <w:b w:val="0"/>
                      <w:bCs w:val="0"/>
                      <w:sz w:val="21"/>
                      <w:szCs w:val="21"/>
                      <w:vertAlign w:val="baseline"/>
                      <w:lang w:val="en-US" w:eastAsia="zh-CN"/>
                    </w:rPr>
                    <w:t>ABS粒子</w:t>
                  </w:r>
                </w:p>
              </w:tc>
              <w:tc>
                <w:tcPr>
                  <w:tcW w:w="1991" w:type="dxa"/>
                  <w:tcBorders>
                    <w:tl2br w:val="nil"/>
                    <w:tr2bl w:val="nil"/>
                  </w:tcBorders>
                  <w:vAlign w:val="center"/>
                </w:tcPr>
                <w:p w14:paraId="34242E1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b/>
                      <w:bCs/>
                      <w:sz w:val="21"/>
                      <w:szCs w:val="21"/>
                      <w:vertAlign w:val="baseline"/>
                      <w:lang w:val="en-US" w:eastAsia="zh-CN"/>
                    </w:rPr>
                  </w:pPr>
                  <w:r>
                    <w:rPr>
                      <w:rFonts w:hint="eastAsia"/>
                      <w:b w:val="0"/>
                      <w:bCs w:val="0"/>
                      <w:sz w:val="21"/>
                      <w:szCs w:val="21"/>
                      <w:vertAlign w:val="baseline"/>
                      <w:lang w:val="en-US" w:eastAsia="zh-CN"/>
                    </w:rPr>
                    <w:t>25kg/袋</w:t>
                  </w:r>
                </w:p>
              </w:tc>
              <w:tc>
                <w:tcPr>
                  <w:tcW w:w="1594" w:type="dxa"/>
                  <w:tcBorders>
                    <w:tl2br w:val="nil"/>
                    <w:tr2bl w:val="nil"/>
                  </w:tcBorders>
                  <w:vAlign w:val="center"/>
                </w:tcPr>
                <w:p w14:paraId="355D486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30t</w:t>
                  </w:r>
                </w:p>
              </w:tc>
              <w:tc>
                <w:tcPr>
                  <w:tcW w:w="1594" w:type="dxa"/>
                  <w:tcBorders>
                    <w:tl2br w:val="nil"/>
                    <w:tr2bl w:val="nil"/>
                  </w:tcBorders>
                  <w:vAlign w:val="center"/>
                </w:tcPr>
                <w:p w14:paraId="192409E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20袋（0.5t）</w:t>
                  </w:r>
                </w:p>
              </w:tc>
            </w:tr>
            <w:tr w14:paraId="55A44C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8" w:type="dxa"/>
                  <w:tcBorders>
                    <w:tl2br w:val="nil"/>
                    <w:tr2bl w:val="nil"/>
                  </w:tcBorders>
                  <w:vAlign w:val="center"/>
                </w:tcPr>
                <w:p w14:paraId="0C05992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6</w:t>
                  </w:r>
                </w:p>
              </w:tc>
              <w:tc>
                <w:tcPr>
                  <w:tcW w:w="1860" w:type="dxa"/>
                  <w:tcBorders>
                    <w:tl2br w:val="nil"/>
                    <w:tr2bl w:val="nil"/>
                  </w:tcBorders>
                  <w:vAlign w:val="center"/>
                </w:tcPr>
                <w:p w14:paraId="7F15183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eastAsia"/>
                      <w:b w:val="0"/>
                      <w:bCs w:val="0"/>
                      <w:sz w:val="21"/>
                      <w:szCs w:val="21"/>
                      <w:vertAlign w:val="baseline"/>
                      <w:lang w:val="en-US" w:eastAsia="zh-CN"/>
                    </w:rPr>
                    <w:t>PS粒子</w:t>
                  </w:r>
                </w:p>
              </w:tc>
              <w:tc>
                <w:tcPr>
                  <w:tcW w:w="1991" w:type="dxa"/>
                  <w:tcBorders>
                    <w:tl2br w:val="nil"/>
                    <w:tr2bl w:val="nil"/>
                  </w:tcBorders>
                  <w:vAlign w:val="center"/>
                </w:tcPr>
                <w:p w14:paraId="4A5307E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b/>
                      <w:bCs/>
                      <w:sz w:val="21"/>
                      <w:szCs w:val="21"/>
                      <w:vertAlign w:val="baseline"/>
                      <w:lang w:val="en-US" w:eastAsia="zh-CN"/>
                    </w:rPr>
                  </w:pPr>
                  <w:r>
                    <w:rPr>
                      <w:rFonts w:hint="eastAsia"/>
                      <w:b w:val="0"/>
                      <w:bCs w:val="0"/>
                      <w:sz w:val="21"/>
                      <w:szCs w:val="21"/>
                      <w:vertAlign w:val="baseline"/>
                      <w:lang w:val="en-US" w:eastAsia="zh-CN"/>
                    </w:rPr>
                    <w:t>25kg/袋</w:t>
                  </w:r>
                </w:p>
              </w:tc>
              <w:tc>
                <w:tcPr>
                  <w:tcW w:w="1594" w:type="dxa"/>
                  <w:tcBorders>
                    <w:tl2br w:val="nil"/>
                    <w:tr2bl w:val="nil"/>
                  </w:tcBorders>
                  <w:vAlign w:val="center"/>
                </w:tcPr>
                <w:p w14:paraId="3F65293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21t</w:t>
                  </w:r>
                </w:p>
              </w:tc>
              <w:tc>
                <w:tcPr>
                  <w:tcW w:w="1594" w:type="dxa"/>
                  <w:tcBorders>
                    <w:tl2br w:val="nil"/>
                    <w:tr2bl w:val="nil"/>
                  </w:tcBorders>
                  <w:vAlign w:val="center"/>
                </w:tcPr>
                <w:p w14:paraId="5E1D065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18袋（0.45t）</w:t>
                  </w:r>
                </w:p>
              </w:tc>
            </w:tr>
            <w:tr w14:paraId="05D0C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67" w:type="dxa"/>
                  <w:gridSpan w:val="5"/>
                  <w:tcBorders>
                    <w:tl2br w:val="nil"/>
                    <w:tr2bl w:val="nil"/>
                  </w:tcBorders>
                  <w:vAlign w:val="center"/>
                </w:tcPr>
                <w:p w14:paraId="60A2852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公用</w:t>
                  </w:r>
                </w:p>
              </w:tc>
            </w:tr>
            <w:tr w14:paraId="14D468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8" w:type="dxa"/>
                  <w:tcBorders>
                    <w:tl2br w:val="nil"/>
                    <w:tr2bl w:val="nil"/>
                  </w:tcBorders>
                  <w:vAlign w:val="center"/>
                </w:tcPr>
                <w:p w14:paraId="5846B9C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7</w:t>
                  </w:r>
                </w:p>
              </w:tc>
              <w:tc>
                <w:tcPr>
                  <w:tcW w:w="1860" w:type="dxa"/>
                  <w:tcBorders>
                    <w:tl2br w:val="nil"/>
                    <w:tr2bl w:val="nil"/>
                  </w:tcBorders>
                  <w:vAlign w:val="center"/>
                </w:tcPr>
                <w:p w14:paraId="2624170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机油</w:t>
                  </w:r>
                </w:p>
              </w:tc>
              <w:tc>
                <w:tcPr>
                  <w:tcW w:w="1991" w:type="dxa"/>
                  <w:tcBorders>
                    <w:tl2br w:val="nil"/>
                    <w:tr2bl w:val="nil"/>
                  </w:tcBorders>
                  <w:vAlign w:val="center"/>
                </w:tcPr>
                <w:p w14:paraId="0B28F4E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25kg/桶</w:t>
                  </w:r>
                </w:p>
              </w:tc>
              <w:tc>
                <w:tcPr>
                  <w:tcW w:w="1594" w:type="dxa"/>
                  <w:tcBorders>
                    <w:tl2br w:val="nil"/>
                    <w:tr2bl w:val="nil"/>
                  </w:tcBorders>
                  <w:vAlign w:val="center"/>
                </w:tcPr>
                <w:p w14:paraId="178AC58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0.3t</w:t>
                  </w:r>
                </w:p>
              </w:tc>
              <w:tc>
                <w:tcPr>
                  <w:tcW w:w="1594" w:type="dxa"/>
                  <w:tcBorders>
                    <w:tl2br w:val="nil"/>
                    <w:tr2bl w:val="nil"/>
                  </w:tcBorders>
                  <w:vAlign w:val="center"/>
                </w:tcPr>
                <w:p w14:paraId="3E8B61F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bCs/>
                      <w:sz w:val="21"/>
                      <w:szCs w:val="21"/>
                      <w:vertAlign w:val="baseline"/>
                      <w:lang w:val="en-US" w:eastAsia="zh-CN"/>
                    </w:rPr>
                  </w:pPr>
                  <w:r>
                    <w:rPr>
                      <w:rFonts w:hint="eastAsia"/>
                      <w:b w:val="0"/>
                      <w:bCs w:val="0"/>
                      <w:sz w:val="21"/>
                      <w:szCs w:val="21"/>
                      <w:vertAlign w:val="baseline"/>
                      <w:lang w:val="en-US" w:eastAsia="zh-CN"/>
                    </w:rPr>
                    <w:t>4桶（0.1吨）</w:t>
                  </w:r>
                </w:p>
              </w:tc>
            </w:tr>
            <w:tr w14:paraId="46E91B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8" w:type="dxa"/>
                  <w:tcBorders>
                    <w:tl2br w:val="nil"/>
                    <w:tr2bl w:val="nil"/>
                  </w:tcBorders>
                  <w:vAlign w:val="center"/>
                </w:tcPr>
                <w:p w14:paraId="7BD2ECC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8</w:t>
                  </w:r>
                </w:p>
              </w:tc>
              <w:tc>
                <w:tcPr>
                  <w:tcW w:w="1860" w:type="dxa"/>
                  <w:tcBorders>
                    <w:tl2br w:val="nil"/>
                    <w:tr2bl w:val="nil"/>
                  </w:tcBorders>
                  <w:vAlign w:val="center"/>
                </w:tcPr>
                <w:p w14:paraId="647DF26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液压油</w:t>
                  </w:r>
                </w:p>
              </w:tc>
              <w:tc>
                <w:tcPr>
                  <w:tcW w:w="1991" w:type="dxa"/>
                  <w:tcBorders>
                    <w:tl2br w:val="nil"/>
                    <w:tr2bl w:val="nil"/>
                  </w:tcBorders>
                  <w:vAlign w:val="center"/>
                </w:tcPr>
                <w:p w14:paraId="5BD4235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200kg/桶</w:t>
                  </w:r>
                </w:p>
              </w:tc>
              <w:tc>
                <w:tcPr>
                  <w:tcW w:w="1594" w:type="dxa"/>
                  <w:tcBorders>
                    <w:tl2br w:val="nil"/>
                    <w:tr2bl w:val="nil"/>
                  </w:tcBorders>
                  <w:vAlign w:val="center"/>
                </w:tcPr>
                <w:p w14:paraId="2B742C2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1t</w:t>
                  </w:r>
                </w:p>
              </w:tc>
              <w:tc>
                <w:tcPr>
                  <w:tcW w:w="1594" w:type="dxa"/>
                  <w:tcBorders>
                    <w:tl2br w:val="nil"/>
                    <w:tr2bl w:val="nil"/>
                  </w:tcBorders>
                  <w:vAlign w:val="center"/>
                </w:tcPr>
                <w:p w14:paraId="5CFE352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即买即用</w:t>
                  </w:r>
                </w:p>
              </w:tc>
            </w:tr>
          </w:tbl>
          <w:p w14:paraId="2B77BDAE">
            <w:pPr>
              <w:pStyle w:val="100"/>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jc w:val="both"/>
              <w:textAlignment w:val="auto"/>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注：本项目使用的塑料粒子均为新料，不使用再生塑料</w:t>
            </w:r>
          </w:p>
          <w:p w14:paraId="74BD3C13">
            <w:pPr>
              <w:pStyle w:val="100"/>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表2-</w:t>
            </w:r>
            <w:r>
              <w:rPr>
                <w:rFonts w:hint="eastAsia" w:ascii="Times New Roman" w:hAnsi="Times New Roman" w:eastAsia="宋体" w:cs="Times New Roman"/>
                <w:b/>
                <w:bCs/>
                <w:color w:val="auto"/>
                <w:lang w:val="en-US" w:eastAsia="zh-CN"/>
              </w:rPr>
              <w:t>6</w:t>
            </w:r>
            <w:r>
              <w:rPr>
                <w:rFonts w:hint="eastAsia" w:cs="Times New Roman"/>
                <w:b/>
                <w:bCs/>
                <w:color w:val="auto"/>
                <w:lang w:val="en-US" w:eastAsia="zh-CN"/>
              </w:rPr>
              <w:t xml:space="preserve"> </w:t>
            </w:r>
            <w:r>
              <w:rPr>
                <w:rFonts w:hint="default" w:ascii="Times New Roman" w:hAnsi="Times New Roman" w:eastAsia="宋体" w:cs="Times New Roman"/>
                <w:b/>
                <w:bCs/>
                <w:color w:val="auto"/>
                <w:lang w:val="en-US" w:eastAsia="zh-CN"/>
              </w:rPr>
              <w:t>原</w:t>
            </w:r>
            <w:r>
              <w:rPr>
                <w:rFonts w:hint="default" w:ascii="Times New Roman" w:hAnsi="Times New Roman" w:cs="Times New Roman"/>
                <w:b/>
                <w:bCs/>
                <w:color w:val="auto"/>
                <w:lang w:val="en-US" w:eastAsia="zh-CN"/>
              </w:rPr>
              <w:t>辅</w:t>
            </w:r>
            <w:r>
              <w:rPr>
                <w:rFonts w:hint="default" w:ascii="Times New Roman" w:hAnsi="Times New Roman" w:eastAsia="宋体" w:cs="Times New Roman"/>
                <w:b/>
                <w:bCs/>
                <w:color w:val="auto"/>
                <w:lang w:val="en-US" w:eastAsia="zh-CN"/>
              </w:rPr>
              <w:t>材料理化性质一览表</w:t>
            </w:r>
          </w:p>
          <w:tbl>
            <w:tblPr>
              <w:tblStyle w:val="30"/>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19"/>
              <w:gridCol w:w="900"/>
              <w:gridCol w:w="6515"/>
            </w:tblGrid>
            <w:tr w14:paraId="45CF10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trPr>
              <w:tc>
                <w:tcPr>
                  <w:tcW w:w="442" w:type="pct"/>
                  <w:tcBorders>
                    <w:tl2br w:val="nil"/>
                    <w:tr2bl w:val="nil"/>
                  </w:tcBorders>
                  <w:noWrap w:val="0"/>
                  <w:vAlign w:val="center"/>
                </w:tcPr>
                <w:p w14:paraId="1BF5A1DC">
                  <w:pPr>
                    <w:pStyle w:val="6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553" w:type="pct"/>
                  <w:tcBorders>
                    <w:tl2br w:val="nil"/>
                    <w:tr2bl w:val="nil"/>
                  </w:tcBorders>
                  <w:noWrap w:val="0"/>
                  <w:vAlign w:val="center"/>
                </w:tcPr>
                <w:p w14:paraId="306E6158">
                  <w:pPr>
                    <w:pStyle w:val="6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4003" w:type="pct"/>
                  <w:tcBorders>
                    <w:tl2br w:val="nil"/>
                    <w:tr2bl w:val="nil"/>
                  </w:tcBorders>
                  <w:noWrap w:val="0"/>
                  <w:vAlign w:val="center"/>
                </w:tcPr>
                <w:p w14:paraId="66C0979B">
                  <w:pPr>
                    <w:pStyle w:val="6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理化性质</w:t>
                  </w:r>
                </w:p>
              </w:tc>
            </w:tr>
            <w:tr w14:paraId="5C8A11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42" w:type="pct"/>
                  <w:tcBorders>
                    <w:tl2br w:val="nil"/>
                    <w:tr2bl w:val="nil"/>
                  </w:tcBorders>
                  <w:noWrap w:val="0"/>
                  <w:vAlign w:val="center"/>
                </w:tcPr>
                <w:p w14:paraId="00CDE02A">
                  <w:pPr>
                    <w:pStyle w:val="6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553" w:type="pct"/>
                  <w:tcBorders>
                    <w:tl2br w:val="nil"/>
                    <w:tr2bl w:val="nil"/>
                  </w:tcBorders>
                  <w:noWrap w:val="0"/>
                  <w:vAlign w:val="center"/>
                </w:tcPr>
                <w:p w14:paraId="036F408B">
                  <w:pPr>
                    <w:pStyle w:val="100"/>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18"/>
                      <w:sz w:val="21"/>
                      <w:szCs w:val="21"/>
                      <w:lang w:val="en-US" w:eastAsia="zh-CN" w:bidi="ar-SA"/>
                    </w:rPr>
                    <w:t>PP</w:t>
                  </w:r>
                </w:p>
              </w:tc>
              <w:tc>
                <w:tcPr>
                  <w:tcW w:w="4003" w:type="pct"/>
                  <w:tcBorders>
                    <w:tl2br w:val="nil"/>
                    <w:tr2bl w:val="nil"/>
                  </w:tcBorders>
                  <w:noWrap w:val="0"/>
                  <w:vAlign w:val="center"/>
                </w:tcPr>
                <w:p w14:paraId="4F0685A7">
                  <w:pPr>
                    <w:pStyle w:val="100"/>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聚丙烯（简称 PP）是一种半结晶的热塑性塑料。具有较高的耐冲击性，机械性质强韧，抗多种有机溶剂和酸碱腐蚀。性状：白色粉末</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密度（g/mLat25°C）</w:t>
                  </w:r>
                  <w:r>
                    <w:rPr>
                      <w:rFonts w:hint="eastAsia" w:eastAsia="宋体" w:cs="Times New Roman"/>
                      <w:color w:val="auto"/>
                      <w:sz w:val="21"/>
                      <w:szCs w:val="21"/>
                      <w:lang w:val="en-US" w:eastAsia="zh-CN"/>
                    </w:rPr>
                    <w:t>1.8</w:t>
                  </w:r>
                  <w:r>
                    <w:rPr>
                      <w:rFonts w:hint="default" w:ascii="Times New Roman" w:hAnsi="Times New Roman" w:cs="Times New Roman"/>
                      <w:color w:val="auto"/>
                      <w:sz w:val="21"/>
                      <w:szCs w:val="21"/>
                      <w:lang w:val="en-US" w:eastAsia="zh-CN"/>
                    </w:rPr>
                    <w:t>g/mL，</w:t>
                  </w:r>
                  <w:r>
                    <w:rPr>
                      <w:rFonts w:hint="default" w:ascii="Times New Roman" w:hAnsi="Times New Roman" w:eastAsia="宋体" w:cs="Times New Roman"/>
                      <w:color w:val="auto"/>
                      <w:sz w:val="21"/>
                      <w:szCs w:val="21"/>
                      <w:lang w:val="en-US" w:eastAsia="zh-CN"/>
                    </w:rPr>
                    <w:t>熔点（ºC）189</w:t>
                  </w:r>
                  <w:r>
                    <w:rPr>
                      <w:rFonts w:hint="default" w:ascii="Times New Roman" w:hAnsi="Times New Roman" w:cs="Times New Roman"/>
                      <w:color w:val="auto"/>
                      <w:sz w:val="21"/>
                      <w:szCs w:val="21"/>
                      <w:lang w:val="en-US" w:eastAsia="zh-CN"/>
                    </w:rPr>
                    <w:t>，分解温度&gt;370℃；</w:t>
                  </w:r>
                  <w:r>
                    <w:rPr>
                      <w:rFonts w:hint="default" w:ascii="Times New Roman" w:hAnsi="Times New Roman" w:eastAsia="宋体" w:cs="Times New Roman"/>
                      <w:color w:val="auto"/>
                      <w:sz w:val="21"/>
                      <w:szCs w:val="21"/>
                      <w:lang w:val="en-US" w:eastAsia="zh-CN"/>
                    </w:rPr>
                    <w:t>溶解性：溶于二甲基甲酰胺或硫氰酸盐等溶剂。</w:t>
                  </w:r>
                </w:p>
              </w:tc>
            </w:tr>
            <w:tr w14:paraId="08AAC0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42" w:type="pct"/>
                  <w:tcBorders>
                    <w:tl2br w:val="nil"/>
                    <w:tr2bl w:val="nil"/>
                  </w:tcBorders>
                  <w:noWrap w:val="0"/>
                  <w:vAlign w:val="center"/>
                </w:tcPr>
                <w:p w14:paraId="48718AC3">
                  <w:pPr>
                    <w:pStyle w:val="6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553" w:type="pct"/>
                  <w:tcBorders>
                    <w:tl2br w:val="nil"/>
                    <w:tr2bl w:val="nil"/>
                  </w:tcBorders>
                  <w:noWrap w:val="0"/>
                  <w:vAlign w:val="center"/>
                </w:tcPr>
                <w:p w14:paraId="4855BA06">
                  <w:pPr>
                    <w:pStyle w:val="100"/>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18"/>
                      <w:sz w:val="21"/>
                      <w:szCs w:val="21"/>
                      <w:lang w:val="en-US" w:eastAsia="zh-CN" w:bidi="ar-SA"/>
                    </w:rPr>
                    <w:t>ABS</w:t>
                  </w:r>
                </w:p>
              </w:tc>
              <w:tc>
                <w:tcPr>
                  <w:tcW w:w="4003" w:type="pct"/>
                  <w:tcBorders>
                    <w:tl2br w:val="nil"/>
                    <w:tr2bl w:val="nil"/>
                  </w:tcBorders>
                  <w:noWrap w:val="0"/>
                  <w:vAlign w:val="center"/>
                </w:tcPr>
                <w:p w14:paraId="400F0938">
                  <w:pPr>
                    <w:pStyle w:val="100"/>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丙烯腈－丁二烯-苯乙烯共聚物是由丙烯腈，丁二烯和苯乙烯组成的三元共聚物（简称ABS）。</w:t>
                  </w:r>
                  <w:r>
                    <w:rPr>
                      <w:rFonts w:hint="default" w:ascii="Times New Roman" w:hAnsi="Times New Roman" w:cs="Times New Roman"/>
                      <w:color w:val="auto"/>
                      <w:sz w:val="21"/>
                      <w:szCs w:val="21"/>
                      <w:lang w:val="en-US" w:eastAsia="zh-CN"/>
                    </w:rPr>
                    <w:t>白色或者微黄色固体，密度1.05g/mL，沸点145.2℃，熔点58.54℃，分解温度&gt;250℃；</w:t>
                  </w:r>
                  <w:r>
                    <w:rPr>
                      <w:rFonts w:hint="default" w:ascii="Times New Roman" w:hAnsi="Times New Roman" w:eastAsia="宋体" w:cs="Times New Roman"/>
                      <w:color w:val="auto"/>
                      <w:sz w:val="21"/>
                      <w:szCs w:val="21"/>
                      <w:lang w:val="en-US" w:eastAsia="zh-CN"/>
                    </w:rPr>
                    <w:t>通常为浅黄色或乳白色的粒料非结晶性树脂。ABS 树脂是五大合成树脂之一，其抗冲击性、耐热性、耐低温性、耐化学药品性及电气性能优良，还具有易加工、制品尺寸稳定、表面光泽性好等特点，容易涂装、着色，还可以进行表面喷镀金属、电镀、焊接、热压和粘接等二次加工，广泛应用于机械、汽车、电子电器、仪器仪表、纺织和建筑等工业领域，是一种用途极广的热塑性工程塑料。</w:t>
                  </w:r>
                </w:p>
              </w:tc>
            </w:tr>
            <w:tr w14:paraId="4B1C3D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42" w:type="pct"/>
                  <w:tcBorders>
                    <w:tl2br w:val="nil"/>
                    <w:tr2bl w:val="nil"/>
                  </w:tcBorders>
                  <w:noWrap w:val="0"/>
                  <w:vAlign w:val="center"/>
                </w:tcPr>
                <w:p w14:paraId="15D448BD">
                  <w:pPr>
                    <w:pStyle w:val="6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w:t>
                  </w:r>
                </w:p>
              </w:tc>
              <w:tc>
                <w:tcPr>
                  <w:tcW w:w="553" w:type="pct"/>
                  <w:tcBorders>
                    <w:tl2br w:val="nil"/>
                    <w:tr2bl w:val="nil"/>
                  </w:tcBorders>
                  <w:noWrap w:val="0"/>
                  <w:vAlign w:val="center"/>
                </w:tcPr>
                <w:p w14:paraId="28C1E509">
                  <w:pPr>
                    <w:pStyle w:val="100"/>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18"/>
                      <w:sz w:val="21"/>
                      <w:szCs w:val="21"/>
                      <w:lang w:val="en-US" w:eastAsia="zh-CN" w:bidi="ar-SA"/>
                    </w:rPr>
                  </w:pPr>
                  <w:r>
                    <w:rPr>
                      <w:rFonts w:hint="eastAsia" w:ascii="Times New Roman" w:hAnsi="Times New Roman" w:eastAsia="宋体" w:cs="Times New Roman"/>
                      <w:color w:val="auto"/>
                      <w:kern w:val="18"/>
                      <w:sz w:val="21"/>
                      <w:szCs w:val="21"/>
                      <w:lang w:val="en-US" w:eastAsia="zh-CN" w:bidi="ar-SA"/>
                    </w:rPr>
                    <w:t>PS</w:t>
                  </w:r>
                </w:p>
              </w:tc>
              <w:tc>
                <w:tcPr>
                  <w:tcW w:w="4003" w:type="pct"/>
                  <w:tcBorders>
                    <w:tl2br w:val="nil"/>
                    <w:tr2bl w:val="nil"/>
                  </w:tcBorders>
                  <w:noWrap w:val="0"/>
                  <w:vAlign w:val="center"/>
                </w:tcPr>
                <w:p w14:paraId="0FE9E1B8">
                  <w:pPr>
                    <w:pStyle w:val="100"/>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聚苯乙烯（Polystyrene，缩写PS）是指由苯乙烯单体经自由基加聚反应合成的聚合物，日文名称为ポリスチレン。它是一种无色透明的热塑性塑料，具有高于100℃的玻璃转化温度，因此经常被用来制作各种需要承受开水的温度的一次性容器，以及一次性泡沫饭盒等。聚苯乙烯玻璃化温度80～90℃，非晶态密度1.04～1.06克/立方厘米，晶体密度1.11～1.12克/立方厘米，熔融温度240℃，电阻率为1020～1022欧·厘米。导热系数30℃时0.116瓦/</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米·开</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通常的聚苯乙烯为非晶态无规聚合物，具有优良的绝热、绝缘和透明性，长期使用温度0～70℃，但脆，低温易开裂。此外还有全同和间同以及无规立构聚苯乙烯。全同聚合物有高度结晶性，间同聚合物有部分结晶性。</w:t>
                  </w:r>
                </w:p>
              </w:tc>
            </w:tr>
          </w:tbl>
          <w:p w14:paraId="50FDAD5C">
            <w:pPr>
              <w:keepNext w:val="0"/>
              <w:keepLines w:val="0"/>
              <w:pageBreakBefore w:val="0"/>
              <w:widowControl w:val="0"/>
              <w:numPr>
                <w:ilvl w:val="0"/>
                <w:numId w:val="9"/>
              </w:numPr>
              <w:kinsoku/>
              <w:wordWrap/>
              <w:overflowPunct/>
              <w:topLinePunct w:val="0"/>
              <w:autoSpaceDE/>
              <w:autoSpaceDN/>
              <w:bidi w:val="0"/>
              <w:adjustRightInd/>
              <w:snapToGrid/>
              <w:ind w:left="0" w:firstLine="482" w:firstLineChars="200"/>
              <w:textAlignment w:val="auto"/>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项目主要设备</w:t>
            </w:r>
          </w:p>
          <w:p w14:paraId="3A24C9E3">
            <w:p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表2-</w:t>
            </w:r>
            <w:r>
              <w:rPr>
                <w:rFonts w:hint="eastAsia"/>
                <w:b/>
                <w:color w:val="000000" w:themeColor="text1"/>
                <w:sz w:val="21"/>
                <w:szCs w:val="21"/>
                <w:lang w:val="en-US" w:eastAsia="zh-CN"/>
                <w14:textFill>
                  <w14:solidFill>
                    <w14:schemeClr w14:val="tx1"/>
                  </w14:solidFill>
                </w14:textFill>
              </w:rPr>
              <w:t>7</w:t>
            </w:r>
            <w:r>
              <w:rPr>
                <w:b/>
                <w:color w:val="000000" w:themeColor="text1"/>
                <w:sz w:val="21"/>
                <w:szCs w:val="21"/>
                <w14:textFill>
                  <w14:solidFill>
                    <w14:schemeClr w14:val="tx1"/>
                  </w14:solidFill>
                </w14:textFill>
              </w:rPr>
              <w:t xml:space="preserve"> 主要</w:t>
            </w:r>
            <w:r>
              <w:rPr>
                <w:rFonts w:hint="eastAsia"/>
                <w:b/>
                <w:color w:val="000000" w:themeColor="text1"/>
                <w:sz w:val="21"/>
                <w:szCs w:val="21"/>
                <w14:textFill>
                  <w14:solidFill>
                    <w14:schemeClr w14:val="tx1"/>
                  </w14:solidFill>
                </w14:textFill>
              </w:rPr>
              <w:t>生产</w:t>
            </w:r>
            <w:r>
              <w:rPr>
                <w:b/>
                <w:color w:val="000000" w:themeColor="text1"/>
                <w:sz w:val="21"/>
                <w:szCs w:val="21"/>
                <w14:textFill>
                  <w14:solidFill>
                    <w14:schemeClr w14:val="tx1"/>
                  </w14:solidFill>
                </w14:textFill>
              </w:rPr>
              <w:t>设备一览表</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2354"/>
              <w:gridCol w:w="2541"/>
              <w:gridCol w:w="2037"/>
            </w:tblGrid>
            <w:tr w14:paraId="072E6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pct"/>
                  <w:tcBorders>
                    <w:tl2br w:val="nil"/>
                    <w:tr2bl w:val="nil"/>
                  </w:tcBorders>
                  <w:vAlign w:val="center"/>
                </w:tcPr>
                <w:p w14:paraId="0608C1B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1447" w:type="pct"/>
                  <w:tcBorders>
                    <w:tl2br w:val="nil"/>
                    <w:tr2bl w:val="nil"/>
                  </w:tcBorders>
                  <w:vAlign w:val="center"/>
                </w:tcPr>
                <w:p w14:paraId="037AABD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设备名称</w:t>
                  </w:r>
                </w:p>
              </w:tc>
              <w:tc>
                <w:tcPr>
                  <w:tcW w:w="1562" w:type="pct"/>
                  <w:tcBorders>
                    <w:tl2br w:val="nil"/>
                    <w:tr2bl w:val="nil"/>
                  </w:tcBorders>
                  <w:vAlign w:val="center"/>
                </w:tcPr>
                <w:p w14:paraId="2410874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型号</w:t>
                  </w:r>
                </w:p>
              </w:tc>
              <w:tc>
                <w:tcPr>
                  <w:tcW w:w="1250" w:type="pct"/>
                  <w:tcBorders>
                    <w:tl2br w:val="nil"/>
                    <w:tr2bl w:val="nil"/>
                  </w:tcBorders>
                  <w:vAlign w:val="center"/>
                </w:tcPr>
                <w:p w14:paraId="31A8F57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数量</w:t>
                  </w:r>
                </w:p>
              </w:tc>
            </w:tr>
            <w:tr w14:paraId="70E757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pct"/>
                  <w:tcBorders>
                    <w:tl2br w:val="nil"/>
                    <w:tr2bl w:val="nil"/>
                  </w:tcBorders>
                  <w:vAlign w:val="center"/>
                </w:tcPr>
                <w:p w14:paraId="184D3F7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w:t>
                  </w:r>
                </w:p>
              </w:tc>
              <w:tc>
                <w:tcPr>
                  <w:tcW w:w="1447" w:type="pct"/>
                  <w:tcBorders>
                    <w:tl2br w:val="nil"/>
                    <w:tr2bl w:val="nil"/>
                  </w:tcBorders>
                  <w:vAlign w:val="center"/>
                </w:tcPr>
                <w:p w14:paraId="33DED65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注塑机</w:t>
                  </w:r>
                </w:p>
              </w:tc>
              <w:tc>
                <w:tcPr>
                  <w:tcW w:w="1562" w:type="pct"/>
                  <w:tcBorders>
                    <w:tl2br w:val="nil"/>
                    <w:tr2bl w:val="nil"/>
                  </w:tcBorders>
                  <w:vAlign w:val="center"/>
                </w:tcPr>
                <w:p w14:paraId="610E370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EM560-SVP/2</w:t>
                  </w:r>
                </w:p>
              </w:tc>
              <w:tc>
                <w:tcPr>
                  <w:tcW w:w="1250" w:type="pct"/>
                  <w:tcBorders>
                    <w:tl2br w:val="nil"/>
                    <w:tr2bl w:val="nil"/>
                  </w:tcBorders>
                  <w:vAlign w:val="center"/>
                </w:tcPr>
                <w:p w14:paraId="797FAB9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30</w:t>
                  </w:r>
                </w:p>
              </w:tc>
            </w:tr>
            <w:tr w14:paraId="5B700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pct"/>
                  <w:tcBorders>
                    <w:tl2br w:val="nil"/>
                    <w:tr2bl w:val="nil"/>
                  </w:tcBorders>
                  <w:vAlign w:val="center"/>
                </w:tcPr>
                <w:p w14:paraId="4BB7B9E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2</w:t>
                  </w:r>
                </w:p>
              </w:tc>
              <w:tc>
                <w:tcPr>
                  <w:tcW w:w="1447" w:type="pct"/>
                  <w:tcBorders>
                    <w:tl2br w:val="nil"/>
                    <w:tr2bl w:val="nil"/>
                  </w:tcBorders>
                  <w:vAlign w:val="center"/>
                </w:tcPr>
                <w:p w14:paraId="204B600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拌料机</w:t>
                  </w:r>
                </w:p>
              </w:tc>
              <w:tc>
                <w:tcPr>
                  <w:tcW w:w="1562" w:type="pct"/>
                  <w:tcBorders>
                    <w:tl2br w:val="nil"/>
                    <w:tr2bl w:val="nil"/>
                  </w:tcBorders>
                  <w:vAlign w:val="center"/>
                </w:tcPr>
                <w:p w14:paraId="6150E10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1t/h</w:t>
                  </w:r>
                </w:p>
              </w:tc>
              <w:tc>
                <w:tcPr>
                  <w:tcW w:w="1250" w:type="pct"/>
                  <w:tcBorders>
                    <w:tl2br w:val="nil"/>
                    <w:tr2bl w:val="nil"/>
                  </w:tcBorders>
                  <w:vAlign w:val="center"/>
                </w:tcPr>
                <w:p w14:paraId="640F8C1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2</w:t>
                  </w:r>
                </w:p>
              </w:tc>
            </w:tr>
            <w:tr w14:paraId="5F10B7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pct"/>
                  <w:tcBorders>
                    <w:tl2br w:val="nil"/>
                    <w:tr2bl w:val="nil"/>
                  </w:tcBorders>
                  <w:vAlign w:val="center"/>
                </w:tcPr>
                <w:p w14:paraId="6C4FF0D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3</w:t>
                  </w:r>
                </w:p>
              </w:tc>
              <w:tc>
                <w:tcPr>
                  <w:tcW w:w="1447" w:type="pct"/>
                  <w:tcBorders>
                    <w:tl2br w:val="nil"/>
                    <w:tr2bl w:val="nil"/>
                  </w:tcBorders>
                  <w:vAlign w:val="center"/>
                </w:tcPr>
                <w:p w14:paraId="30A7DD4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粉碎机</w:t>
                  </w:r>
                </w:p>
              </w:tc>
              <w:tc>
                <w:tcPr>
                  <w:tcW w:w="1562" w:type="pct"/>
                  <w:tcBorders>
                    <w:tl2br w:val="nil"/>
                    <w:tr2bl w:val="nil"/>
                  </w:tcBorders>
                  <w:vAlign w:val="center"/>
                </w:tcPr>
                <w:p w14:paraId="04D31CC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50kg/h</w:t>
                  </w:r>
                </w:p>
              </w:tc>
              <w:tc>
                <w:tcPr>
                  <w:tcW w:w="1250" w:type="pct"/>
                  <w:tcBorders>
                    <w:tl2br w:val="nil"/>
                    <w:tr2bl w:val="nil"/>
                  </w:tcBorders>
                  <w:vAlign w:val="center"/>
                </w:tcPr>
                <w:p w14:paraId="46E9926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2</w:t>
                  </w:r>
                </w:p>
              </w:tc>
            </w:tr>
            <w:tr w14:paraId="76053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pct"/>
                  <w:tcBorders>
                    <w:tl2br w:val="nil"/>
                    <w:tr2bl w:val="nil"/>
                  </w:tcBorders>
                  <w:vAlign w:val="center"/>
                </w:tcPr>
                <w:p w14:paraId="109A280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4</w:t>
                  </w:r>
                </w:p>
              </w:tc>
              <w:tc>
                <w:tcPr>
                  <w:tcW w:w="1447" w:type="pct"/>
                  <w:tcBorders>
                    <w:tl2br w:val="nil"/>
                    <w:tr2bl w:val="nil"/>
                  </w:tcBorders>
                  <w:vAlign w:val="center"/>
                </w:tcPr>
                <w:p w14:paraId="1A5821F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空压机</w:t>
                  </w:r>
                </w:p>
              </w:tc>
              <w:tc>
                <w:tcPr>
                  <w:tcW w:w="1562" w:type="pct"/>
                  <w:tcBorders>
                    <w:tl2br w:val="nil"/>
                    <w:tr2bl w:val="nil"/>
                  </w:tcBorders>
                  <w:vAlign w:val="center"/>
                </w:tcPr>
                <w:p w14:paraId="0A7E978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BG30APM</w:t>
                  </w:r>
                </w:p>
              </w:tc>
              <w:tc>
                <w:tcPr>
                  <w:tcW w:w="1250" w:type="pct"/>
                  <w:tcBorders>
                    <w:tl2br w:val="nil"/>
                    <w:tr2bl w:val="nil"/>
                  </w:tcBorders>
                  <w:vAlign w:val="center"/>
                </w:tcPr>
                <w:p w14:paraId="281D489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2</w:t>
                  </w:r>
                </w:p>
              </w:tc>
            </w:tr>
            <w:tr w14:paraId="1A855C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pct"/>
                  <w:tcBorders>
                    <w:tl2br w:val="nil"/>
                    <w:tr2bl w:val="nil"/>
                  </w:tcBorders>
                  <w:vAlign w:val="center"/>
                </w:tcPr>
                <w:p w14:paraId="02260F2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5</w:t>
                  </w:r>
                </w:p>
              </w:tc>
              <w:tc>
                <w:tcPr>
                  <w:tcW w:w="1447" w:type="pct"/>
                  <w:tcBorders>
                    <w:tl2br w:val="nil"/>
                    <w:tr2bl w:val="nil"/>
                  </w:tcBorders>
                  <w:vAlign w:val="center"/>
                </w:tcPr>
                <w:p w14:paraId="4B4E07D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冷却塔</w:t>
                  </w:r>
                </w:p>
              </w:tc>
              <w:tc>
                <w:tcPr>
                  <w:tcW w:w="1562" w:type="pct"/>
                  <w:tcBorders>
                    <w:tl2br w:val="nil"/>
                    <w:tr2bl w:val="nil"/>
                  </w:tcBorders>
                  <w:vAlign w:val="center"/>
                </w:tcPr>
                <w:p w14:paraId="6228403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/h</w:t>
                  </w:r>
                </w:p>
              </w:tc>
              <w:tc>
                <w:tcPr>
                  <w:tcW w:w="1250" w:type="pct"/>
                  <w:tcBorders>
                    <w:tl2br w:val="nil"/>
                    <w:tr2bl w:val="nil"/>
                  </w:tcBorders>
                  <w:vAlign w:val="center"/>
                </w:tcPr>
                <w:p w14:paraId="29E58A0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1</w:t>
                  </w:r>
                </w:p>
              </w:tc>
            </w:tr>
            <w:tr w14:paraId="4694B0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pct"/>
                  <w:tcBorders>
                    <w:tl2br w:val="nil"/>
                    <w:tr2bl w:val="nil"/>
                  </w:tcBorders>
                  <w:vAlign w:val="center"/>
                </w:tcPr>
                <w:p w14:paraId="0A91144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6</w:t>
                  </w:r>
                </w:p>
              </w:tc>
              <w:tc>
                <w:tcPr>
                  <w:tcW w:w="1447" w:type="pct"/>
                  <w:tcBorders>
                    <w:tl2br w:val="nil"/>
                    <w:tr2bl w:val="nil"/>
                  </w:tcBorders>
                  <w:vAlign w:val="center"/>
                </w:tcPr>
                <w:p w14:paraId="5C790DC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全自动包装生产线</w:t>
                  </w:r>
                </w:p>
              </w:tc>
              <w:tc>
                <w:tcPr>
                  <w:tcW w:w="1562" w:type="pct"/>
                  <w:tcBorders>
                    <w:tl2br w:val="nil"/>
                    <w:tr2bl w:val="nil"/>
                  </w:tcBorders>
                  <w:vAlign w:val="center"/>
                </w:tcPr>
                <w:p w14:paraId="294A076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w:t>
                  </w:r>
                </w:p>
              </w:tc>
              <w:tc>
                <w:tcPr>
                  <w:tcW w:w="1250" w:type="pct"/>
                  <w:tcBorders>
                    <w:tl2br w:val="nil"/>
                    <w:tr2bl w:val="nil"/>
                  </w:tcBorders>
                  <w:vAlign w:val="center"/>
                </w:tcPr>
                <w:p w14:paraId="418A2E8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w:t>
                  </w:r>
                </w:p>
              </w:tc>
            </w:tr>
            <w:tr w14:paraId="49D53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pct"/>
                  <w:tcBorders>
                    <w:tl2br w:val="nil"/>
                    <w:tr2bl w:val="nil"/>
                  </w:tcBorders>
                  <w:vAlign w:val="center"/>
                </w:tcPr>
                <w:p w14:paraId="49AB9A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7</w:t>
                  </w:r>
                </w:p>
              </w:tc>
              <w:tc>
                <w:tcPr>
                  <w:tcW w:w="1447" w:type="pct"/>
                  <w:tcBorders>
                    <w:tl2br w:val="nil"/>
                    <w:tr2bl w:val="nil"/>
                  </w:tcBorders>
                  <w:vAlign w:val="center"/>
                </w:tcPr>
                <w:p w14:paraId="6153A92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半自动包装生产线</w:t>
                  </w:r>
                </w:p>
              </w:tc>
              <w:tc>
                <w:tcPr>
                  <w:tcW w:w="1562" w:type="pct"/>
                  <w:tcBorders>
                    <w:tl2br w:val="nil"/>
                    <w:tr2bl w:val="nil"/>
                  </w:tcBorders>
                  <w:vAlign w:val="center"/>
                </w:tcPr>
                <w:p w14:paraId="6C192F0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b w:val="0"/>
                      <w:bCs w:val="0"/>
                      <w:sz w:val="21"/>
                      <w:szCs w:val="21"/>
                      <w:vertAlign w:val="baseline"/>
                      <w:lang w:val="en-US" w:eastAsia="zh-CN"/>
                    </w:rPr>
                    <w:t>/</w:t>
                  </w:r>
                </w:p>
              </w:tc>
              <w:tc>
                <w:tcPr>
                  <w:tcW w:w="1250" w:type="pct"/>
                  <w:tcBorders>
                    <w:tl2br w:val="nil"/>
                    <w:tr2bl w:val="nil"/>
                  </w:tcBorders>
                  <w:vAlign w:val="center"/>
                </w:tcPr>
                <w:p w14:paraId="16B89EE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2</w:t>
                  </w:r>
                </w:p>
              </w:tc>
            </w:tr>
            <w:tr w14:paraId="059C5B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4"/>
                  <w:tcBorders>
                    <w:tl2br w:val="nil"/>
                    <w:tr2bl w:val="nil"/>
                  </w:tcBorders>
                  <w:vAlign w:val="center"/>
                </w:tcPr>
                <w:p w14:paraId="3B76220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注：项目设备共用</w:t>
                  </w:r>
                </w:p>
              </w:tc>
            </w:tr>
          </w:tbl>
          <w:p w14:paraId="61813DDC">
            <w:pPr>
              <w:pStyle w:val="69"/>
              <w:keepNext w:val="0"/>
              <w:keepLines w:val="0"/>
              <w:pageBreakBefore w:val="0"/>
              <w:widowControl w:val="0"/>
              <w:kinsoku/>
              <w:wordWrap/>
              <w:overflowPunct/>
              <w:topLinePunct w:val="0"/>
              <w:autoSpaceDE w:val="0"/>
              <w:autoSpaceDN w:val="0"/>
              <w:bidi w:val="0"/>
              <w:adjustRightInd/>
              <w:snapToGrid/>
              <w:ind w:firstLine="482" w:firstLineChars="200"/>
              <w:textAlignment w:val="auto"/>
              <w:rPr>
                <w:rFonts w:hint="eastAsia" w:eastAsia="宋体"/>
                <w:color w:val="auto"/>
                <w:highlight w:val="none"/>
                <w:lang w:eastAsia="zh-CN"/>
              </w:rPr>
            </w:pPr>
            <w:r>
              <w:rPr>
                <w:rFonts w:hint="eastAsia"/>
                <w:b/>
                <w:color w:val="auto"/>
                <w:lang w:val="en-US" w:eastAsia="zh-CN"/>
              </w:rPr>
              <w:t>产能匹配性分析：</w:t>
            </w:r>
            <w:r>
              <w:rPr>
                <w:rFonts w:hint="eastAsia"/>
                <w:b w:val="0"/>
                <w:bCs/>
                <w:color w:val="auto"/>
                <w:lang w:val="en-US" w:eastAsia="zh-CN"/>
              </w:rPr>
              <w:t>项目</w:t>
            </w:r>
            <w:r>
              <w:rPr>
                <w:rFonts w:hint="eastAsia"/>
                <w:color w:val="auto"/>
                <w:highlight w:val="none"/>
              </w:rPr>
              <w:t>主要生产设备生产能力如下</w:t>
            </w:r>
            <w:r>
              <w:rPr>
                <w:rFonts w:hint="eastAsia"/>
                <w:color w:val="auto"/>
                <w:highlight w:val="none"/>
                <w:lang w:eastAsia="zh-CN"/>
              </w:rPr>
              <w:t>，</w:t>
            </w:r>
            <w:r>
              <w:rPr>
                <w:rFonts w:hint="eastAsia"/>
                <w:color w:val="auto"/>
                <w:highlight w:val="none"/>
              </w:rPr>
              <w:t>经计算项目生产设备产能满足</w:t>
            </w:r>
            <w:r>
              <w:rPr>
                <w:rFonts w:hint="default" w:ascii="Times New Roman" w:hAnsi="Times New Roman" w:cs="Times New Roman"/>
                <w:b w:val="0"/>
                <w:bCs/>
                <w:color w:val="auto"/>
                <w:sz w:val="24"/>
                <w:szCs w:val="24"/>
                <w:lang w:eastAsia="zh-CN"/>
              </w:rPr>
              <w:t>年产600万套高档化妆品包装及新能源汽车塑料零部件</w:t>
            </w:r>
            <w:r>
              <w:rPr>
                <w:rFonts w:hint="eastAsia"/>
                <w:color w:val="auto"/>
                <w:highlight w:val="none"/>
              </w:rPr>
              <w:t>的生产规模需求，设备匹配合理。产能匹配性分析见下表</w:t>
            </w:r>
            <w:r>
              <w:rPr>
                <w:rFonts w:hint="eastAsia"/>
                <w:color w:val="auto"/>
                <w:highlight w:val="none"/>
                <w:lang w:eastAsia="zh-CN"/>
              </w:rPr>
              <w:t>：</w:t>
            </w:r>
          </w:p>
          <w:p w14:paraId="515E91E7">
            <w:pPr>
              <w:pStyle w:val="88"/>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eastAsia" w:ascii="Times New Roman" w:hAnsi="Times New Roman" w:eastAsia="宋体" w:cstheme="minorBidi"/>
                <w:b/>
                <w:color w:val="auto"/>
                <w:kern w:val="2"/>
                <w:sz w:val="21"/>
                <w:szCs w:val="24"/>
                <w:highlight w:val="none"/>
                <w:lang w:val="en-US" w:eastAsia="zh-CN" w:bidi="ar-SA"/>
              </w:rPr>
            </w:pPr>
            <w:r>
              <w:rPr>
                <w:rFonts w:hint="eastAsia" w:ascii="Times New Roman" w:hAnsi="Times New Roman" w:eastAsia="宋体" w:cstheme="minorBidi"/>
                <w:b/>
                <w:color w:val="auto"/>
                <w:kern w:val="2"/>
                <w:sz w:val="21"/>
                <w:szCs w:val="24"/>
                <w:highlight w:val="none"/>
                <w:lang w:val="en-US" w:eastAsia="zh-CN" w:bidi="ar-SA"/>
              </w:rPr>
              <w:t>表</w:t>
            </w:r>
            <w:r>
              <w:rPr>
                <w:rFonts w:hint="eastAsia" w:cstheme="minorBidi"/>
                <w:b/>
                <w:color w:val="auto"/>
                <w:kern w:val="2"/>
                <w:sz w:val="21"/>
                <w:szCs w:val="24"/>
                <w:highlight w:val="none"/>
                <w:lang w:val="en-US" w:eastAsia="zh-CN" w:bidi="ar-SA"/>
              </w:rPr>
              <w:t xml:space="preserve">2-8 </w:t>
            </w:r>
            <w:r>
              <w:rPr>
                <w:rFonts w:hint="eastAsia" w:ascii="Times New Roman" w:hAnsi="Times New Roman" w:eastAsia="宋体" w:cstheme="minorBidi"/>
                <w:b/>
                <w:color w:val="auto"/>
                <w:kern w:val="2"/>
                <w:sz w:val="21"/>
                <w:szCs w:val="24"/>
                <w:highlight w:val="none"/>
                <w:lang w:val="en-US" w:eastAsia="zh-CN" w:bidi="ar-SA"/>
              </w:rPr>
              <w:t>产能匹配性分析表</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582"/>
              <w:gridCol w:w="885"/>
              <w:gridCol w:w="1170"/>
              <w:gridCol w:w="1650"/>
              <w:gridCol w:w="1652"/>
            </w:tblGrid>
            <w:tr w14:paraId="15F844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noWrap w:val="0"/>
                  <w:vAlign w:val="center"/>
                </w:tcPr>
                <w:p w14:paraId="7601D077">
                  <w:pPr>
                    <w:pStyle w:val="69"/>
                    <w:keepNext w:val="0"/>
                    <w:keepLines w:val="0"/>
                    <w:pageBreakBefore w:val="0"/>
                    <w:widowControl w:val="0"/>
                    <w:kinsoku/>
                    <w:wordWrap/>
                    <w:overflowPunct/>
                    <w:topLinePunct w:val="0"/>
                    <w:autoSpaceDE/>
                    <w:autoSpaceDN/>
                    <w:bidi w:val="0"/>
                    <w:adjustRightInd/>
                    <w:spacing w:line="240" w:lineRule="auto"/>
                    <w:ind w:right="0" w:firstLine="0" w:firstLineChars="0"/>
                    <w:jc w:val="center"/>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设备</w:t>
                  </w:r>
                </w:p>
              </w:tc>
              <w:tc>
                <w:tcPr>
                  <w:tcW w:w="972" w:type="pct"/>
                  <w:noWrap w:val="0"/>
                  <w:vAlign w:val="center"/>
                </w:tcPr>
                <w:p w14:paraId="0D96D3A2">
                  <w:pPr>
                    <w:pStyle w:val="69"/>
                    <w:keepNext w:val="0"/>
                    <w:keepLines w:val="0"/>
                    <w:pageBreakBefore w:val="0"/>
                    <w:widowControl w:val="0"/>
                    <w:kinsoku/>
                    <w:wordWrap/>
                    <w:overflowPunct/>
                    <w:topLinePunct w:val="0"/>
                    <w:autoSpaceDE/>
                    <w:autoSpaceDN/>
                    <w:bidi w:val="0"/>
                    <w:adjustRightInd/>
                    <w:spacing w:line="240" w:lineRule="auto"/>
                    <w:ind w:right="0" w:firstLine="0" w:firstLineChars="0"/>
                    <w:jc w:val="center"/>
                    <w:textAlignment w:val="auto"/>
                    <w:rPr>
                      <w:b/>
                      <w:bCs/>
                      <w:color w:val="auto"/>
                      <w:sz w:val="21"/>
                      <w:szCs w:val="21"/>
                      <w:highlight w:val="none"/>
                    </w:rPr>
                  </w:pPr>
                  <w:r>
                    <w:rPr>
                      <w:b/>
                      <w:bCs/>
                      <w:color w:val="auto"/>
                      <w:sz w:val="21"/>
                      <w:szCs w:val="21"/>
                      <w:highlight w:val="none"/>
                    </w:rPr>
                    <w:t>单台最大产能</w:t>
                  </w:r>
                </w:p>
              </w:tc>
              <w:tc>
                <w:tcPr>
                  <w:tcW w:w="544" w:type="pct"/>
                  <w:noWrap w:val="0"/>
                  <w:vAlign w:val="center"/>
                </w:tcPr>
                <w:p w14:paraId="7BA572EB">
                  <w:pPr>
                    <w:pStyle w:val="69"/>
                    <w:keepNext w:val="0"/>
                    <w:keepLines w:val="0"/>
                    <w:pageBreakBefore w:val="0"/>
                    <w:widowControl w:val="0"/>
                    <w:kinsoku/>
                    <w:wordWrap/>
                    <w:overflowPunct/>
                    <w:topLinePunct w:val="0"/>
                    <w:autoSpaceDE/>
                    <w:autoSpaceDN/>
                    <w:bidi w:val="0"/>
                    <w:adjustRightInd/>
                    <w:spacing w:line="240" w:lineRule="auto"/>
                    <w:ind w:right="0" w:firstLine="0" w:firstLineChars="0"/>
                    <w:jc w:val="center"/>
                    <w:textAlignment w:val="auto"/>
                    <w:rPr>
                      <w:b/>
                      <w:bCs/>
                      <w:color w:val="auto"/>
                      <w:sz w:val="21"/>
                      <w:szCs w:val="21"/>
                      <w:highlight w:val="none"/>
                    </w:rPr>
                  </w:pPr>
                  <w:r>
                    <w:rPr>
                      <w:b/>
                      <w:bCs/>
                      <w:color w:val="auto"/>
                      <w:sz w:val="21"/>
                      <w:szCs w:val="21"/>
                      <w:highlight w:val="none"/>
                    </w:rPr>
                    <w:t>数量</w:t>
                  </w:r>
                </w:p>
              </w:tc>
              <w:tc>
                <w:tcPr>
                  <w:tcW w:w="719" w:type="pct"/>
                  <w:noWrap w:val="0"/>
                  <w:vAlign w:val="center"/>
                </w:tcPr>
                <w:p w14:paraId="4539A219">
                  <w:pPr>
                    <w:pStyle w:val="69"/>
                    <w:keepNext w:val="0"/>
                    <w:keepLines w:val="0"/>
                    <w:pageBreakBefore w:val="0"/>
                    <w:widowControl w:val="0"/>
                    <w:kinsoku/>
                    <w:wordWrap/>
                    <w:overflowPunct/>
                    <w:topLinePunct w:val="0"/>
                    <w:autoSpaceDE/>
                    <w:autoSpaceDN/>
                    <w:bidi w:val="0"/>
                    <w:adjustRightInd/>
                    <w:spacing w:line="240" w:lineRule="auto"/>
                    <w:ind w:right="0" w:firstLine="0" w:firstLineChars="0"/>
                    <w:jc w:val="center"/>
                    <w:textAlignment w:val="auto"/>
                    <w:rPr>
                      <w:b/>
                      <w:bCs/>
                      <w:color w:val="auto"/>
                      <w:sz w:val="21"/>
                      <w:szCs w:val="21"/>
                      <w:highlight w:val="none"/>
                    </w:rPr>
                  </w:pPr>
                  <w:r>
                    <w:rPr>
                      <w:b/>
                      <w:bCs/>
                      <w:color w:val="auto"/>
                      <w:sz w:val="21"/>
                      <w:szCs w:val="21"/>
                      <w:highlight w:val="none"/>
                    </w:rPr>
                    <w:t>运行时间</w:t>
                  </w:r>
                </w:p>
              </w:tc>
              <w:tc>
                <w:tcPr>
                  <w:tcW w:w="1014" w:type="pct"/>
                  <w:noWrap w:val="0"/>
                  <w:vAlign w:val="center"/>
                </w:tcPr>
                <w:p w14:paraId="0D8D4D32">
                  <w:pPr>
                    <w:pStyle w:val="69"/>
                    <w:keepNext w:val="0"/>
                    <w:keepLines w:val="0"/>
                    <w:pageBreakBefore w:val="0"/>
                    <w:widowControl w:val="0"/>
                    <w:kinsoku/>
                    <w:wordWrap/>
                    <w:overflowPunct/>
                    <w:topLinePunct w:val="0"/>
                    <w:autoSpaceDE/>
                    <w:autoSpaceDN/>
                    <w:bidi w:val="0"/>
                    <w:adjustRightInd/>
                    <w:spacing w:line="240" w:lineRule="auto"/>
                    <w:ind w:right="0" w:firstLine="0" w:firstLineChars="0"/>
                    <w:jc w:val="center"/>
                    <w:textAlignment w:val="auto"/>
                    <w:rPr>
                      <w:b/>
                      <w:bCs/>
                      <w:color w:val="auto"/>
                      <w:sz w:val="21"/>
                      <w:szCs w:val="21"/>
                      <w:highlight w:val="none"/>
                    </w:rPr>
                  </w:pPr>
                  <w:r>
                    <w:rPr>
                      <w:b/>
                      <w:bCs/>
                      <w:color w:val="auto"/>
                      <w:sz w:val="21"/>
                      <w:szCs w:val="21"/>
                      <w:highlight w:val="none"/>
                    </w:rPr>
                    <w:t>最大生产能力</w:t>
                  </w:r>
                </w:p>
              </w:tc>
              <w:tc>
                <w:tcPr>
                  <w:tcW w:w="1015" w:type="pct"/>
                  <w:noWrap w:val="0"/>
                  <w:vAlign w:val="center"/>
                </w:tcPr>
                <w:p w14:paraId="77D6E125">
                  <w:pPr>
                    <w:pStyle w:val="69"/>
                    <w:keepNext w:val="0"/>
                    <w:keepLines w:val="0"/>
                    <w:pageBreakBefore w:val="0"/>
                    <w:widowControl w:val="0"/>
                    <w:kinsoku/>
                    <w:wordWrap/>
                    <w:overflowPunct/>
                    <w:topLinePunct w:val="0"/>
                    <w:autoSpaceDE/>
                    <w:autoSpaceDN/>
                    <w:bidi w:val="0"/>
                    <w:adjustRightInd/>
                    <w:spacing w:line="240" w:lineRule="auto"/>
                    <w:ind w:right="0" w:firstLine="0" w:firstLineChars="0"/>
                    <w:jc w:val="center"/>
                    <w:textAlignment w:val="auto"/>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生产规模</w:t>
                  </w:r>
                </w:p>
              </w:tc>
            </w:tr>
            <w:tr w14:paraId="2D8A5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pct"/>
                  <w:vAlign w:val="center"/>
                </w:tcPr>
                <w:p w14:paraId="2726FC26">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注塑机</w:t>
                  </w:r>
                </w:p>
              </w:tc>
              <w:tc>
                <w:tcPr>
                  <w:tcW w:w="972" w:type="pct"/>
                  <w:vAlign w:val="center"/>
                </w:tcPr>
                <w:p w14:paraId="044C84A1">
                  <w:pPr>
                    <w:pStyle w:val="12"/>
                    <w:keepNext w:val="0"/>
                    <w:keepLines w:val="0"/>
                    <w:pageBreakBefore w:val="0"/>
                    <w:widowControl w:val="0"/>
                    <w:kinsoku/>
                    <w:wordWrap/>
                    <w:overflowPunct/>
                    <w:topLinePunct w:val="0"/>
                    <w:autoSpaceDE/>
                    <w:autoSpaceDN/>
                    <w:bidi w:val="0"/>
                    <w:adjustRightInd/>
                    <w:spacing w:before="0" w:after="0" w:line="240" w:lineRule="auto"/>
                    <w:ind w:right="0" w:firstLine="0" w:firstLineChars="0"/>
                    <w:jc w:val="center"/>
                    <w:textAlignment w:val="auto"/>
                    <w:rPr>
                      <w:rFonts w:hint="default" w:eastAsia="宋体"/>
                      <w:b w:val="0"/>
                      <w:bCs w:val="0"/>
                      <w:color w:val="auto"/>
                      <w:kern w:val="2"/>
                      <w:sz w:val="21"/>
                      <w:szCs w:val="21"/>
                      <w:highlight w:val="none"/>
                      <w:lang w:val="en-US" w:eastAsia="zh-CN"/>
                    </w:rPr>
                  </w:pPr>
                  <w:r>
                    <w:rPr>
                      <w:rFonts w:hint="eastAsia"/>
                      <w:b w:val="0"/>
                      <w:bCs w:val="0"/>
                      <w:color w:val="auto"/>
                      <w:kern w:val="2"/>
                      <w:sz w:val="21"/>
                      <w:szCs w:val="21"/>
                      <w:highlight w:val="none"/>
                      <w:lang w:val="en-US" w:eastAsia="zh-CN"/>
                    </w:rPr>
                    <w:t>3.5kg</w:t>
                  </w:r>
                  <w:r>
                    <w:rPr>
                      <w:b w:val="0"/>
                      <w:bCs w:val="0"/>
                      <w:color w:val="auto"/>
                      <w:sz w:val="21"/>
                      <w:szCs w:val="21"/>
                      <w:highlight w:val="none"/>
                    </w:rPr>
                    <w:t>/h</w:t>
                  </w:r>
                </w:p>
              </w:tc>
              <w:tc>
                <w:tcPr>
                  <w:tcW w:w="544" w:type="pct"/>
                  <w:vAlign w:val="center"/>
                </w:tcPr>
                <w:p w14:paraId="73CD1B54">
                  <w:pPr>
                    <w:pStyle w:val="12"/>
                    <w:keepNext w:val="0"/>
                    <w:keepLines w:val="0"/>
                    <w:pageBreakBefore w:val="0"/>
                    <w:widowControl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30</w:t>
                  </w:r>
                </w:p>
              </w:tc>
              <w:tc>
                <w:tcPr>
                  <w:tcW w:w="719" w:type="pct"/>
                  <w:vAlign w:val="center"/>
                </w:tcPr>
                <w:p w14:paraId="114B1981">
                  <w:pPr>
                    <w:keepNext w:val="0"/>
                    <w:keepLines w:val="0"/>
                    <w:pageBreakBefore w:val="0"/>
                    <w:widowControl w:val="0"/>
                    <w:kinsoku/>
                    <w:wordWrap/>
                    <w:overflowPunct/>
                    <w:topLinePunct w:val="0"/>
                    <w:autoSpaceDE/>
                    <w:autoSpaceDN/>
                    <w:bidi w:val="0"/>
                    <w:adjustRightInd/>
                    <w:spacing w:line="240" w:lineRule="auto"/>
                    <w:ind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1800</w:t>
                  </w:r>
                </w:p>
              </w:tc>
              <w:tc>
                <w:tcPr>
                  <w:tcW w:w="1014" w:type="pct"/>
                  <w:vAlign w:val="center"/>
                </w:tcPr>
                <w:p w14:paraId="367C6C59">
                  <w:pPr>
                    <w:pStyle w:val="12"/>
                    <w:keepNext w:val="0"/>
                    <w:keepLines w:val="0"/>
                    <w:pageBreakBefore w:val="0"/>
                    <w:widowControl w:val="0"/>
                    <w:kinsoku/>
                    <w:wordWrap/>
                    <w:overflowPunct/>
                    <w:topLinePunct w:val="0"/>
                    <w:autoSpaceDE/>
                    <w:autoSpaceDN/>
                    <w:bidi w:val="0"/>
                    <w:adjustRightInd/>
                    <w:spacing w:before="0" w:after="0" w:line="240" w:lineRule="auto"/>
                    <w:ind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189t/a</w:t>
                  </w:r>
                </w:p>
              </w:tc>
              <w:tc>
                <w:tcPr>
                  <w:tcW w:w="1015" w:type="pct"/>
                  <w:vAlign w:val="center"/>
                </w:tcPr>
                <w:p w14:paraId="209551A3">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600万套约144.8t，能够满足生产需求</w:t>
                  </w:r>
                </w:p>
              </w:tc>
            </w:tr>
          </w:tbl>
          <w:p w14:paraId="69B1471C">
            <w:pPr>
              <w:keepNext w:val="0"/>
              <w:keepLines w:val="0"/>
              <w:pageBreakBefore w:val="0"/>
              <w:widowControl w:val="0"/>
              <w:kinsoku/>
              <w:wordWrap/>
              <w:overflowPunct/>
              <w:topLinePunct w:val="0"/>
              <w:autoSpaceDE/>
              <w:autoSpaceDN/>
              <w:bidi w:val="0"/>
              <w:adjustRightInd/>
              <w:snapToGrid/>
              <w:spacing w:before="120" w:beforeLines="50"/>
              <w:ind w:firstLine="482" w:firstLineChars="200"/>
              <w:textAlignment w:val="auto"/>
              <w:rPr>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8</w:t>
            </w:r>
            <w:r>
              <w:rPr>
                <w:rFonts w:hint="eastAsia"/>
                <w:b/>
                <w:color w:val="000000" w:themeColor="text1"/>
                <w14:textFill>
                  <w14:solidFill>
                    <w14:schemeClr w14:val="tx1"/>
                  </w14:solidFill>
                </w14:textFill>
              </w:rPr>
              <w:t>、公用工程</w:t>
            </w:r>
          </w:p>
          <w:p w14:paraId="623DB044">
            <w:pPr>
              <w:keepNext w:val="0"/>
              <w:keepLines w:val="0"/>
              <w:pageBreakBefore w:val="0"/>
              <w:widowControl w:val="0"/>
              <w:shd w:val="clear"/>
              <w:kinsoku/>
              <w:wordWrap/>
              <w:overflowPunct/>
              <w:topLinePunct w:val="0"/>
              <w:autoSpaceDE/>
              <w:autoSpaceDN/>
              <w:bidi w:val="0"/>
              <w:adjustRightInd w:val="0"/>
              <w:snapToGrid/>
              <w:ind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t>1、给排水</w:t>
            </w:r>
          </w:p>
          <w:p w14:paraId="4256D8F1">
            <w:pPr>
              <w:keepNext w:val="0"/>
              <w:keepLines w:val="0"/>
              <w:pageBreakBefore w:val="0"/>
              <w:widowControl w:val="0"/>
              <w:shd w:val="clear"/>
              <w:kinsoku/>
              <w:wordWrap/>
              <w:overflowPunct/>
              <w:topLinePunct w:val="0"/>
              <w:autoSpaceDE/>
              <w:autoSpaceDN/>
              <w:bidi w:val="0"/>
              <w:adjustRightInd w:val="0"/>
              <w:snapToGrid/>
              <w:ind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t>（1）给水</w:t>
            </w:r>
          </w:p>
          <w:p w14:paraId="13AD6847">
            <w:pPr>
              <w:keepNext w:val="0"/>
              <w:keepLines w:val="0"/>
              <w:pageBreakBefore w:val="0"/>
              <w:widowControl w:val="0"/>
              <w:shd w:val="clear"/>
              <w:kinsoku/>
              <w:wordWrap/>
              <w:overflowPunct/>
              <w:topLinePunct w:val="0"/>
              <w:autoSpaceDE/>
              <w:autoSpaceDN/>
              <w:bidi w:val="0"/>
              <w:adjustRightInd w:val="0"/>
              <w:snapToGrid/>
              <w:ind w:firstLine="480" w:firstLineChars="200"/>
              <w:textAlignment w:val="auto"/>
              <w:rPr>
                <w:rFonts w:hint="default" w:ascii="Times New Roman" w:hAnsi="Times New Roman" w:eastAsia="宋体"/>
                <w:color w:val="000000" w:themeColor="text1"/>
                <w:highlight w:val="yellow"/>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w:t>
            </w:r>
            <w:r>
              <w:rPr>
                <w:rFonts w:hint="default" w:ascii="Times New Roman" w:hAnsi="Times New Roman" w:eastAsia="宋体"/>
                <w:color w:val="000000" w:themeColor="text1"/>
                <w:highlight w:val="none"/>
                <w:lang w:val="en-US" w:eastAsia="zh-CN"/>
                <w14:textFill>
                  <w14:solidFill>
                    <w14:schemeClr w14:val="tx1"/>
                  </w14:solidFill>
                </w14:textFill>
              </w:rPr>
              <w:t>项目</w:t>
            </w:r>
            <w:r>
              <w:rPr>
                <w:rFonts w:hint="eastAsia"/>
                <w:color w:val="000000" w:themeColor="text1"/>
                <w:highlight w:val="none"/>
                <w:lang w:val="en-US" w:eastAsia="zh-CN"/>
                <w14:textFill>
                  <w14:solidFill>
                    <w14:schemeClr w14:val="tx1"/>
                  </w14:solidFill>
                </w14:textFill>
              </w:rPr>
              <w:t>用水</w:t>
            </w:r>
            <w:r>
              <w:rPr>
                <w:rFonts w:hint="default" w:ascii="Times New Roman" w:hAnsi="Times New Roman" w:eastAsia="宋体"/>
                <w:color w:val="000000" w:themeColor="text1"/>
                <w:highlight w:val="none"/>
                <w:lang w:val="en-US" w:eastAsia="zh-CN"/>
                <w14:textFill>
                  <w14:solidFill>
                    <w14:schemeClr w14:val="tx1"/>
                  </w14:solidFill>
                </w14:textFill>
              </w:rPr>
              <w:t>主要</w:t>
            </w:r>
            <w:r>
              <w:rPr>
                <w:rFonts w:hint="eastAsia"/>
                <w:color w:val="000000" w:themeColor="text1"/>
                <w:highlight w:val="none"/>
                <w:lang w:val="en-US" w:eastAsia="zh-CN"/>
                <w14:textFill>
                  <w14:solidFill>
                    <w14:schemeClr w14:val="tx1"/>
                  </w14:solidFill>
                </w14:textFill>
              </w:rPr>
              <w:t>为</w:t>
            </w:r>
            <w:r>
              <w:rPr>
                <w:rFonts w:hint="default" w:ascii="Times New Roman" w:hAnsi="Times New Roman" w:eastAsia="宋体"/>
                <w:color w:val="000000" w:themeColor="text1"/>
                <w:highlight w:val="none"/>
                <w:lang w:val="en-US" w:eastAsia="zh-CN"/>
                <w14:textFill>
                  <w14:solidFill>
                    <w14:schemeClr w14:val="tx1"/>
                  </w14:solidFill>
                </w14:textFill>
              </w:rPr>
              <w:t>生活用水</w:t>
            </w:r>
            <w:r>
              <w:rPr>
                <w:rFonts w:hint="eastAsia"/>
                <w:color w:val="000000" w:themeColor="text1"/>
                <w:highlight w:val="none"/>
                <w:lang w:val="en-US" w:eastAsia="zh-CN"/>
                <w14:textFill>
                  <w14:solidFill>
                    <w14:schemeClr w14:val="tx1"/>
                  </w14:solidFill>
                </w14:textFill>
              </w:rPr>
              <w:t>和循环冷却用水，总用水量为1755</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5.85</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，由市政供水管网提供。</w:t>
            </w:r>
          </w:p>
          <w:p w14:paraId="1C9716BE">
            <w:pPr>
              <w:keepNext w:val="0"/>
              <w:keepLines w:val="0"/>
              <w:pageBreakBefore w:val="0"/>
              <w:widowControl w:val="0"/>
              <w:shd w:val="clear"/>
              <w:kinsoku/>
              <w:wordWrap/>
              <w:overflowPunct/>
              <w:topLinePunct w:val="0"/>
              <w:autoSpaceDE/>
              <w:autoSpaceDN/>
              <w:bidi w:val="0"/>
              <w:adjustRightInd w:val="0"/>
              <w:snapToGrid/>
              <w:ind w:firstLine="480" w:firstLineChars="200"/>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①生活用水</w:t>
            </w:r>
          </w:p>
          <w:p w14:paraId="66181718">
            <w:pPr>
              <w:keepNext w:val="0"/>
              <w:keepLines w:val="0"/>
              <w:pageBreakBefore w:val="0"/>
              <w:widowControl w:val="0"/>
              <w:shd w:val="clear"/>
              <w:kinsoku/>
              <w:wordWrap/>
              <w:overflowPunct/>
              <w:topLinePunct w:val="0"/>
              <w:autoSpaceDE/>
              <w:autoSpaceDN/>
              <w:bidi w:val="0"/>
              <w:adjustRightInd w:val="0"/>
              <w:snapToGrid/>
              <w:ind w:firstLine="480" w:firstLineChars="200"/>
              <w:textAlignment w:val="auto"/>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厂区</w:t>
            </w:r>
            <w:r>
              <w:rPr>
                <w:rFonts w:hint="eastAsia" w:ascii="Times New Roman" w:hAnsi="Times New Roman" w:eastAsia="宋体"/>
                <w:color w:val="000000" w:themeColor="text1"/>
                <w:highlight w:val="none"/>
                <w:lang w:val="en-US" w:eastAsia="zh-CN"/>
                <w14:textFill>
                  <w14:solidFill>
                    <w14:schemeClr w14:val="tx1"/>
                  </w14:solidFill>
                </w14:textFill>
              </w:rPr>
              <w:t>劳动定员</w:t>
            </w:r>
            <w:r>
              <w:rPr>
                <w:rFonts w:hint="eastAsia"/>
                <w:color w:val="000000" w:themeColor="text1"/>
                <w:highlight w:val="none"/>
                <w:lang w:val="en-US" w:eastAsia="zh-CN"/>
                <w14:textFill>
                  <w14:solidFill>
                    <w14:schemeClr w14:val="tx1"/>
                  </w14:solidFill>
                </w14:textFill>
              </w:rPr>
              <w:t>21</w:t>
            </w:r>
            <w:r>
              <w:rPr>
                <w:rFonts w:hint="eastAsia" w:ascii="Times New Roman" w:hAnsi="Times New Roman" w:eastAsia="宋体"/>
                <w:color w:val="000000" w:themeColor="text1"/>
                <w:highlight w:val="none"/>
                <w:lang w:val="en-US" w:eastAsia="zh-CN"/>
                <w14:textFill>
                  <w14:solidFill>
                    <w14:schemeClr w14:val="tx1"/>
                  </w14:solidFill>
                </w14:textFill>
              </w:rPr>
              <w:t>人，年工作日300天，厂区不提供食宿。参照《建筑给水排水设计标准》（GB 50015-2019），非住宿人员按50L/（人·d</w:t>
            </w:r>
            <w:r>
              <w:rPr>
                <w:rFonts w:hint="eastAsia"/>
                <w:color w:val="000000" w:themeColor="text1"/>
                <w:highlight w:val="none"/>
                <w:lang w:val="en-US"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）计，则生活用水量为</w:t>
            </w:r>
            <w:r>
              <w:rPr>
                <w:rFonts w:hint="eastAsia"/>
                <w:color w:val="000000" w:themeColor="text1"/>
                <w:highlight w:val="none"/>
                <w:lang w:val="en-US" w:eastAsia="zh-CN"/>
                <w14:textFill>
                  <w14:solidFill>
                    <w14:schemeClr w14:val="tx1"/>
                  </w14:solidFill>
                </w14:textFill>
              </w:rPr>
              <w:t>315</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1.05</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/d）；废水排放系数按0.8计算，则生活污水产生量为</w:t>
            </w:r>
            <w:r>
              <w:rPr>
                <w:rFonts w:hint="eastAsia"/>
                <w:color w:val="000000" w:themeColor="text1"/>
                <w:highlight w:val="none"/>
                <w:lang w:val="en-US" w:eastAsia="zh-CN"/>
                <w14:textFill>
                  <w14:solidFill>
                    <w14:schemeClr w14:val="tx1"/>
                  </w14:solidFill>
                </w14:textFill>
              </w:rPr>
              <w:t>252</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/a（0.</w:t>
            </w:r>
            <w:r>
              <w:rPr>
                <w:rFonts w:hint="eastAsia"/>
                <w:color w:val="000000" w:themeColor="text1"/>
                <w:highlight w:val="none"/>
                <w:lang w:val="en-US" w:eastAsia="zh-CN"/>
                <w14:textFill>
                  <w14:solidFill>
                    <w14:schemeClr w14:val="tx1"/>
                  </w14:solidFill>
                </w14:textFill>
              </w:rPr>
              <w:t>84</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w:t>
            </w:r>
          </w:p>
          <w:p w14:paraId="0D961F74">
            <w:pPr>
              <w:keepNext w:val="0"/>
              <w:keepLines w:val="0"/>
              <w:pageBreakBefore w:val="0"/>
              <w:widowControl w:val="0"/>
              <w:shd w:val="clear"/>
              <w:kinsoku/>
              <w:wordWrap/>
              <w:overflowPunct/>
              <w:topLinePunct w:val="0"/>
              <w:autoSpaceDE/>
              <w:autoSpaceDN/>
              <w:bidi w:val="0"/>
              <w:adjustRightInd w:val="0"/>
              <w:snapToGrid/>
              <w:ind w:firstLine="480" w:firstLineChars="200"/>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②</w:t>
            </w:r>
            <w:r>
              <w:rPr>
                <w:rFonts w:hint="eastAsia"/>
                <w:color w:val="000000" w:themeColor="text1"/>
                <w:highlight w:val="none"/>
                <w:lang w:val="en-US" w:eastAsia="zh-CN"/>
                <w14:textFill>
                  <w14:solidFill>
                    <w14:schemeClr w14:val="tx1"/>
                  </w14:solidFill>
                </w14:textFill>
              </w:rPr>
              <w:t>循环冷却用水</w:t>
            </w:r>
          </w:p>
          <w:p w14:paraId="29A2137C">
            <w:pPr>
              <w:keepNext w:val="0"/>
              <w:keepLines w:val="0"/>
              <w:pageBreakBefore w:val="0"/>
              <w:widowControl w:val="0"/>
              <w:shd w:val="clear"/>
              <w:kinsoku/>
              <w:wordWrap/>
              <w:overflowPunct/>
              <w:topLinePunct w:val="0"/>
              <w:autoSpaceDE/>
              <w:autoSpaceDN/>
              <w:bidi w:val="0"/>
              <w:adjustRightInd w:val="0"/>
              <w:snapToGrid/>
              <w:ind w:firstLine="480" w:firstLineChars="200"/>
              <w:textAlignment w:val="auto"/>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本项目生产过程中需要对注塑机挤出模头进行降温处理，</w:t>
            </w:r>
            <w:r>
              <w:rPr>
                <w:rFonts w:hint="eastAsia"/>
                <w:color w:val="000000" w:themeColor="text1"/>
                <w:highlight w:val="none"/>
                <w:lang w:val="en-US" w:eastAsia="zh-CN"/>
                <w14:textFill>
                  <w14:solidFill>
                    <w14:schemeClr w14:val="tx1"/>
                  </w14:solidFill>
                </w14:textFill>
              </w:rPr>
              <w:t>厂区设置一台</w:t>
            </w:r>
            <w:r>
              <w:rPr>
                <w:rFonts w:hint="eastAsia" w:ascii="Times New Roman" w:hAnsi="Times New Roman" w:eastAsia="宋体"/>
                <w:color w:val="000000" w:themeColor="text1"/>
                <w:highlight w:val="none"/>
                <w:lang w:val="en-US" w:eastAsia="zh-CN"/>
                <w14:textFill>
                  <w14:solidFill>
                    <w14:schemeClr w14:val="tx1"/>
                  </w14:solidFill>
                </w14:textFill>
              </w:rPr>
              <w:t>循环冷却塔</w:t>
            </w:r>
            <w:r>
              <w:rPr>
                <w:rFonts w:hint="eastAsia"/>
                <w:color w:val="000000" w:themeColor="text1"/>
                <w:highlight w:val="none"/>
                <w:lang w:val="en-US" w:eastAsia="zh-CN"/>
                <w14:textFill>
                  <w14:solidFill>
                    <w14:schemeClr w14:val="tx1"/>
                  </w14:solidFill>
                </w14:textFill>
              </w:rPr>
              <w:t>，循环水量为10</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/h</w:t>
            </w:r>
            <w:r>
              <w:rPr>
                <w:rFonts w:hint="eastAsia"/>
                <w:color w:val="000000" w:themeColor="text1"/>
                <w:highlight w:val="none"/>
                <w:lang w:val="en-US" w:eastAsia="zh-CN"/>
                <w14:textFill>
                  <w14:solidFill>
                    <w14:schemeClr w14:val="tx1"/>
                  </w14:solidFill>
                </w14:textFill>
              </w:rPr>
              <w:t>（240</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d），损耗量按照循环量的1.5%计约1080</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（3.6</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d），补水量按照循环量的2%计约1440</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（4.8</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d），排放量按循环量的0.5%计约360</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（1.2</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d），纳管</w:t>
            </w:r>
            <w:r>
              <w:rPr>
                <w:rFonts w:hint="eastAsia" w:ascii="Times New Roman" w:hAnsi="Times New Roman" w:eastAsia="宋体"/>
                <w:color w:val="000000" w:themeColor="text1"/>
                <w:highlight w:val="none"/>
                <w:lang w:val="en-US" w:eastAsia="zh-CN"/>
                <w14:textFill>
                  <w14:solidFill>
                    <w14:schemeClr w14:val="tx1"/>
                  </w14:solidFill>
                </w14:textFill>
              </w:rPr>
              <w:t>接入市政污水管网</w:t>
            </w:r>
            <w:r>
              <w:rPr>
                <w:rFonts w:hint="eastAsia"/>
                <w:color w:val="000000" w:themeColor="text1"/>
                <w:highlight w:val="none"/>
                <w:lang w:val="en-US" w:eastAsia="zh-CN"/>
                <w14:textFill>
                  <w14:solidFill>
                    <w14:schemeClr w14:val="tx1"/>
                  </w14:solidFill>
                </w14:textFill>
              </w:rPr>
              <w:t>进入淮南市潘集污水处理厂</w:t>
            </w:r>
            <w:r>
              <w:rPr>
                <w:rFonts w:hint="eastAsia" w:ascii="Times New Roman" w:hAnsi="Times New Roman" w:eastAsia="宋体"/>
                <w:color w:val="000000" w:themeColor="text1"/>
                <w:highlight w:val="none"/>
                <w:lang w:val="en-US" w:eastAsia="zh-CN"/>
                <w14:textFill>
                  <w14:solidFill>
                    <w14:schemeClr w14:val="tx1"/>
                  </w14:solidFill>
                </w14:textFill>
              </w:rPr>
              <w:t>进行深度处理。</w:t>
            </w:r>
          </w:p>
          <w:p w14:paraId="4F6C9C05">
            <w:pPr>
              <w:keepNext w:val="0"/>
              <w:keepLines w:val="0"/>
              <w:pageBreakBefore w:val="0"/>
              <w:widowControl w:val="0"/>
              <w:shd w:val="clear"/>
              <w:kinsoku/>
              <w:wordWrap/>
              <w:overflowPunct/>
              <w:topLinePunct w:val="0"/>
              <w:autoSpaceDE/>
              <w:autoSpaceDN/>
              <w:bidi w:val="0"/>
              <w:adjustRightInd w:val="0"/>
              <w:snapToGrid/>
              <w:ind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t>（2）排水</w:t>
            </w:r>
          </w:p>
          <w:p w14:paraId="743C6FD1">
            <w:pPr>
              <w:keepNext w:val="0"/>
              <w:keepLines w:val="0"/>
              <w:pageBreakBefore w:val="0"/>
              <w:widowControl w:val="0"/>
              <w:kinsoku/>
              <w:wordWrap/>
              <w:overflowPunct/>
              <w:topLinePunct w:val="0"/>
              <w:autoSpaceDE/>
              <w:autoSpaceDN/>
              <w:bidi w:val="0"/>
              <w:adjustRightInd w:val="0"/>
              <w:snapToGrid/>
              <w:ind w:left="0" w:leftChars="0" w:firstLine="480" w:firstLineChars="200"/>
              <w:jc w:val="both"/>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t>项目厂区实行“雨污分流”。雨水经厂区雨水管网排入市政雨水管网</w:t>
            </w:r>
            <w:r>
              <w:rPr>
                <w:rFonts w:hint="eastAsia"/>
                <w:color w:val="000000" w:themeColor="text1"/>
                <w:highlight w:val="none"/>
                <w:lang w:val="en-US" w:eastAsia="zh-CN"/>
                <w14:textFill>
                  <w14:solidFill>
                    <w14:schemeClr w14:val="tx1"/>
                  </w14:solidFill>
                </w14:textFill>
              </w:rPr>
              <w:t>，</w:t>
            </w:r>
            <w:r>
              <w:rPr>
                <w:rFonts w:hint="default" w:ascii="Times New Roman" w:hAnsi="Times New Roman" w:eastAsia="宋体"/>
                <w:color w:val="000000" w:themeColor="text1"/>
                <w:highlight w:val="none"/>
                <w:lang w:val="en-US" w:eastAsia="zh-CN"/>
                <w14:textFill>
                  <w14:solidFill>
                    <w14:schemeClr w14:val="tx1"/>
                  </w14:solidFill>
                </w14:textFill>
              </w:rPr>
              <w:t>外排废水为生活污水、循环冷却水排水纳管接入市政污水管网进入</w:t>
            </w:r>
            <w:r>
              <w:rPr>
                <w:rFonts w:hint="eastAsia"/>
                <w:color w:val="000000" w:themeColor="text1"/>
                <w:highlight w:val="none"/>
                <w:lang w:val="en-US" w:eastAsia="zh-CN"/>
                <w14:textFill>
                  <w14:solidFill>
                    <w14:schemeClr w14:val="tx1"/>
                  </w14:solidFill>
                </w14:textFill>
              </w:rPr>
              <w:t>淮南市潘集污水处理厂</w:t>
            </w:r>
            <w:r>
              <w:rPr>
                <w:rFonts w:hint="default" w:ascii="Times New Roman" w:hAnsi="Times New Roman" w:eastAsia="宋体"/>
                <w:color w:val="000000" w:themeColor="text1"/>
                <w:highlight w:val="none"/>
                <w:lang w:val="en-US" w:eastAsia="zh-CN"/>
                <w14:textFill>
                  <w14:solidFill>
                    <w14:schemeClr w14:val="tx1"/>
                  </w14:solidFill>
                </w14:textFill>
              </w:rPr>
              <w:t>进行深度处理</w:t>
            </w:r>
            <w:r>
              <w:rPr>
                <w:rFonts w:hint="eastAsia"/>
                <w:color w:val="000000" w:themeColor="text1"/>
                <w:highlight w:val="none"/>
                <w:lang w:val="en-US" w:eastAsia="zh-CN"/>
                <w14:textFill>
                  <w14:solidFill>
                    <w14:schemeClr w14:val="tx1"/>
                  </w14:solidFill>
                </w14:textFill>
              </w:rPr>
              <w:t>，排水量为612</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2.04</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/d）</w:t>
            </w:r>
            <w:r>
              <w:rPr>
                <w:rFonts w:hint="default" w:ascii="Times New Roman" w:hAnsi="Times New Roman" w:eastAsia="宋体"/>
                <w:color w:val="000000" w:themeColor="text1"/>
                <w:highlight w:val="none"/>
                <w:lang w:val="en-US" w:eastAsia="zh-CN"/>
                <w14:textFill>
                  <w14:solidFill>
                    <w14:schemeClr w14:val="tx1"/>
                  </w14:solidFill>
                </w14:textFill>
              </w:rPr>
              <w:t>。</w:t>
            </w:r>
          </w:p>
          <w:p w14:paraId="4F62FC1E">
            <w:pPr>
              <w:keepNext w:val="0"/>
              <w:keepLines w:val="0"/>
              <w:pageBreakBefore w:val="0"/>
              <w:widowControl w:val="0"/>
              <w:kinsoku/>
              <w:wordWrap/>
              <w:overflowPunct/>
              <w:topLinePunct w:val="0"/>
              <w:autoSpaceDE/>
              <w:autoSpaceDN/>
              <w:bidi w:val="0"/>
              <w:adjustRightInd/>
              <w:snapToGrid/>
              <w:ind w:left="0" w:leftChars="0" w:firstLine="480" w:firstLineChars="200"/>
              <w:jc w:val="center"/>
              <w:textAlignment w:val="auto"/>
              <w:rPr>
                <w:rFonts w:hint="default"/>
                <w:color w:val="000000" w:themeColor="text1"/>
                <w:highlight w:val="none"/>
                <w:lang w:val="en-US" w:eastAsia="zh-CN"/>
                <w14:textFill>
                  <w14:solidFill>
                    <w14:schemeClr w14:val="tx1"/>
                  </w14:solidFill>
                </w14:textFill>
              </w:rPr>
            </w:pPr>
            <w:r>
              <w:rPr>
                <w:rFonts w:hint="eastAsia"/>
                <w:b w:val="0"/>
                <w:bCs/>
                <w:color w:val="000000" w:themeColor="text1"/>
                <w:lang w:eastAsia="zh-CN"/>
                <w14:textFill>
                  <w14:solidFill>
                    <w14:schemeClr w14:val="tx1"/>
                  </w14:solidFill>
                </w14:textFill>
              </w:rPr>
              <w:object>
                <v:shape id="_x0000_i1025" o:spt="75" type="#_x0000_t75" style="height:180.15pt;width:287.1pt;" o:ole="t" filled="f" o:preferrelative="t" stroked="f" coordsize="21600,21600">
                  <v:path/>
                  <v:fill on="f" focussize="0,0"/>
                  <v:stroke on="f"/>
                  <v:imagedata r:id="rId14" o:title=""/>
                  <o:lock v:ext="edit" aspectratio="f"/>
                  <w10:wrap type="none"/>
                  <w10:anchorlock/>
                </v:shape>
                <o:OLEObject Type="Embed" ProgID="Visio.Drawing.11" ShapeID="_x0000_i1025" DrawAspect="Content" ObjectID="_1468075725" r:id="rId13">
                  <o:LockedField>false</o:LockedField>
                </o:OLEObject>
              </w:object>
            </w:r>
          </w:p>
          <w:p w14:paraId="28B9E771">
            <w:pPr>
              <w:pStyle w:val="5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图</w:t>
            </w:r>
            <w:r>
              <w:rPr>
                <w:rFonts w:hint="eastAsia" w:cs="Times New Roman"/>
                <w:color w:val="000000" w:themeColor="text1"/>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highlight w:val="none"/>
                <w:lang w:val="en-US" w:eastAsia="zh-CN"/>
                <w14:textFill>
                  <w14:solidFill>
                    <w14:schemeClr w14:val="tx1"/>
                  </w14:solidFill>
                </w14:textFill>
              </w:rPr>
              <w:t>水平衡图（t/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d</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4CADD322">
            <w:pPr>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t>2、供电</w:t>
            </w:r>
          </w:p>
          <w:p w14:paraId="0ECB8F2E">
            <w:pPr>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t>由市政电网供电，项目年用电量</w:t>
            </w:r>
            <w:r>
              <w:rPr>
                <w:rFonts w:hint="eastAsia"/>
                <w:color w:val="000000" w:themeColor="text1"/>
                <w:highlight w:val="none"/>
                <w:lang w:val="en-US" w:eastAsia="zh-CN"/>
                <w14:textFill>
                  <w14:solidFill>
                    <w14:schemeClr w14:val="tx1"/>
                  </w14:solidFill>
                </w14:textFill>
              </w:rPr>
              <w:t>50</w:t>
            </w:r>
            <w:r>
              <w:rPr>
                <w:rFonts w:hint="default" w:ascii="Times New Roman" w:hAnsi="Times New Roman" w:eastAsia="宋体"/>
                <w:color w:val="000000" w:themeColor="text1"/>
                <w:highlight w:val="none"/>
                <w:lang w:val="en-US" w:eastAsia="zh-CN"/>
                <w14:textFill>
                  <w14:solidFill>
                    <w14:schemeClr w14:val="tx1"/>
                  </w14:solidFill>
                </w14:textFill>
              </w:rPr>
              <w:t>万kW·h。</w:t>
            </w:r>
          </w:p>
          <w:p w14:paraId="2A1A39EF">
            <w:pPr>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7、</w:t>
            </w:r>
            <w:r>
              <w:rPr>
                <w:rFonts w:hint="eastAsia"/>
                <w:b/>
                <w:bCs/>
                <w:color w:val="000000" w:themeColor="text1"/>
                <w14:textFill>
                  <w14:solidFill>
                    <w14:schemeClr w14:val="tx1"/>
                  </w14:solidFill>
                </w14:textFill>
              </w:rPr>
              <w:t>生产制度及劳动定员</w:t>
            </w:r>
          </w:p>
          <w:p w14:paraId="567BAC12">
            <w:pPr>
              <w:ind w:firstLine="48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项目劳动定员21人，</w:t>
            </w:r>
            <w:r>
              <w:rPr>
                <w:rFonts w:hint="default" w:ascii="Times New Roman" w:hAnsi="Times New Roman" w:cs="Times New Roman"/>
                <w:color w:val="000000" w:themeColor="text1"/>
                <w:lang w:val="en-US" w:eastAsia="zh-CN"/>
                <w14:textFill>
                  <w14:solidFill>
                    <w14:schemeClr w14:val="tx1"/>
                  </w14:solidFill>
                </w14:textFill>
              </w:rPr>
              <w:t>实行</w:t>
            </w:r>
            <w:r>
              <w:rPr>
                <w:rFonts w:hint="eastAsia" w:cs="Times New Roman"/>
                <w:color w:val="000000" w:themeColor="text1"/>
                <w:lang w:val="en-US" w:eastAsia="zh-CN"/>
                <w14:textFill>
                  <w14:solidFill>
                    <w14:schemeClr w14:val="tx1"/>
                  </w14:solidFill>
                </w14:textFill>
              </w:rPr>
              <w:t>单</w:t>
            </w:r>
            <w:r>
              <w:rPr>
                <w:rFonts w:hint="default" w:ascii="Times New Roman" w:hAnsi="Times New Roman" w:cs="Times New Roman"/>
                <w:color w:val="000000" w:themeColor="text1"/>
                <w:lang w:val="en-US" w:eastAsia="zh-CN"/>
                <w14:textFill>
                  <w14:solidFill>
                    <w14:schemeClr w14:val="tx1"/>
                  </w14:solidFill>
                </w14:textFill>
              </w:rPr>
              <w:t>班制，每班8h，</w:t>
            </w:r>
            <w:r>
              <w:rPr>
                <w:rFonts w:hint="eastAsia"/>
                <w:color w:val="000000" w:themeColor="text1"/>
                <w14:textFill>
                  <w14:solidFill>
                    <w14:schemeClr w14:val="tx1"/>
                  </w14:solidFill>
                </w14:textFill>
              </w:rPr>
              <w:t>年工作300天。厂区不提供食宿</w:t>
            </w:r>
            <w:r>
              <w:rPr>
                <w:color w:val="000000" w:themeColor="text1"/>
                <w14:textFill>
                  <w14:solidFill>
                    <w14:schemeClr w14:val="tx1"/>
                  </w14:solidFill>
                </w14:textFill>
              </w:rPr>
              <w:t>。</w:t>
            </w:r>
          </w:p>
          <w:p w14:paraId="5C43D393">
            <w:pPr>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8、</w:t>
            </w:r>
            <w:r>
              <w:rPr>
                <w:b/>
                <w:color w:val="000000" w:themeColor="text1"/>
                <w14:textFill>
                  <w14:solidFill>
                    <w14:schemeClr w14:val="tx1"/>
                  </w14:solidFill>
                </w14:textFill>
              </w:rPr>
              <w:t>总平面图布置</w:t>
            </w:r>
          </w:p>
          <w:p w14:paraId="259F592E">
            <w:pPr>
              <w:ind w:firstLine="480" w:firstLineChars="200"/>
              <w:rPr>
                <w:rFonts w:hint="eastAsia" w:eastAsia="宋体"/>
                <w:lang w:val="en-US" w:eastAsia="zh-CN"/>
              </w:rPr>
            </w:pPr>
            <w:r>
              <w:rPr>
                <w:rFonts w:hint="eastAsia"/>
                <w:color w:val="000000" w:themeColor="text1"/>
                <w:sz w:val="24"/>
                <w:szCs w:val="24"/>
                <w:lang w:val="en-US" w:eastAsia="zh-CN"/>
                <w14:textFill>
                  <w14:solidFill>
                    <w14:schemeClr w14:val="tx1"/>
                  </w14:solidFill>
                </w14:textFill>
              </w:rPr>
              <w:t>项目厂区</w:t>
            </w:r>
            <w:r>
              <w:rPr>
                <w:rFonts w:hint="eastAsia"/>
                <w:color w:val="000000" w:themeColor="text1"/>
                <w:sz w:val="24"/>
                <w:szCs w:val="24"/>
                <w14:textFill>
                  <w14:solidFill>
                    <w14:schemeClr w14:val="tx1"/>
                  </w14:solidFill>
                </w14:textFill>
              </w:rPr>
              <w:t>呈矩形形状</w:t>
            </w:r>
            <w:r>
              <w:rPr>
                <w:rFonts w:hint="eastAsia"/>
                <w:color w:val="000000" w:themeColor="text1"/>
                <w:sz w:val="24"/>
                <w:szCs w:val="24"/>
                <w:lang w:val="en-US" w:eastAsia="zh-CN"/>
                <w14:textFill>
                  <w14:solidFill>
                    <w14:schemeClr w14:val="tx1"/>
                  </w14:solidFill>
                </w14:textFill>
              </w:rPr>
              <w:t>，出入口位于厂区北侧和西侧，实行雨污分流，</w:t>
            </w:r>
            <w:r>
              <w:rPr>
                <w:rFonts w:hint="eastAsia"/>
                <w:color w:val="000000" w:themeColor="text1"/>
                <w:sz w:val="24"/>
                <w:szCs w:val="24"/>
                <w14:textFill>
                  <w14:solidFill>
                    <w14:schemeClr w14:val="tx1"/>
                  </w14:solidFill>
                </w14:textFill>
              </w:rPr>
              <w:t>雨水排放口和污水排放口均位于厂区</w:t>
            </w:r>
            <w:r>
              <w:rPr>
                <w:rFonts w:hint="eastAsia"/>
                <w:color w:val="000000" w:themeColor="text1"/>
                <w:sz w:val="24"/>
                <w:szCs w:val="24"/>
                <w:lang w:val="en-US" w:eastAsia="zh-CN"/>
                <w14:textFill>
                  <w14:solidFill>
                    <w14:schemeClr w14:val="tx1"/>
                  </w14:solidFill>
                </w14:textFill>
              </w:rPr>
              <w:t>西</w:t>
            </w:r>
            <w:r>
              <w:rPr>
                <w:rFonts w:hint="eastAsia"/>
                <w:color w:val="000000" w:themeColor="text1"/>
                <w:sz w:val="24"/>
                <w:szCs w:val="24"/>
                <w14:textFill>
                  <w14:solidFill>
                    <w14:schemeClr w14:val="tx1"/>
                  </w14:solidFill>
                </w14:textFill>
              </w:rPr>
              <w:t>侧</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本项目租赁A1栋的1F和2F生产，1F分为注塑区、原料区和粉碎区；2F用作包装和办公，</w:t>
            </w:r>
            <w:r>
              <w:rPr>
                <w:rFonts w:hint="eastAsia"/>
                <w:color w:val="000000" w:themeColor="text1"/>
                <w:sz w:val="24"/>
                <w:szCs w:val="24"/>
                <w14:textFill>
                  <w14:solidFill>
                    <w14:schemeClr w14:val="tx1"/>
                  </w14:solidFill>
                </w14:textFill>
              </w:rPr>
              <w:t>车间平面布置较为合理。具体布置见附图4。</w:t>
            </w:r>
          </w:p>
        </w:tc>
      </w:tr>
      <w:tr w14:paraId="1AE1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trPr>
        <w:tc>
          <w:tcPr>
            <w:tcW w:w="390" w:type="pct"/>
            <w:noWrap w:val="0"/>
            <w:vAlign w:val="center"/>
          </w:tcPr>
          <w:p w14:paraId="2699C4B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b w:val="0"/>
                <w:bCs/>
                <w:color w:val="000000"/>
                <w:sz w:val="24"/>
                <w:szCs w:val="24"/>
              </w:rPr>
            </w:pPr>
            <w:r>
              <w:rPr>
                <w:rFonts w:hint="default" w:ascii="Times New Roman" w:hAnsi="Times New Roman" w:cs="Times New Roman"/>
                <w:color w:val="000000"/>
                <w:sz w:val="24"/>
                <w:szCs w:val="24"/>
                <w:highlight w:val="none"/>
                <w:lang w:val="en-US" w:eastAsia="zh-CN"/>
              </w:rPr>
              <w:t>工艺流程和产排污环节</w:t>
            </w:r>
          </w:p>
        </w:tc>
        <w:tc>
          <w:tcPr>
            <w:tcW w:w="4609" w:type="pct"/>
            <w:noWrap w:val="0"/>
            <w:vAlign w:val="top"/>
          </w:tcPr>
          <w:p w14:paraId="3E05A90D">
            <w:pPr>
              <w:numPr>
                <w:ilvl w:val="0"/>
                <w:numId w:val="10"/>
              </w:numPr>
              <w:ind w:firstLine="482" w:firstLineChars="200"/>
              <w:rPr>
                <w:b/>
                <w:color w:val="000000" w:themeColor="text1"/>
                <w:kern w:val="0"/>
                <w14:textFill>
                  <w14:solidFill>
                    <w14:schemeClr w14:val="tx1"/>
                  </w14:solidFill>
                </w14:textFill>
              </w:rPr>
            </w:pPr>
            <w:r>
              <w:rPr>
                <w:b/>
                <w:color w:val="000000" w:themeColor="text1"/>
                <w:kern w:val="0"/>
                <w14:textFill>
                  <w14:solidFill>
                    <w14:schemeClr w14:val="tx1"/>
                  </w14:solidFill>
                </w14:textFill>
              </w:rPr>
              <w:t>运营期生产工艺</w:t>
            </w:r>
          </w:p>
          <w:p w14:paraId="6F708B97">
            <w:pPr>
              <w:keepNext w:val="0"/>
              <w:keepLines w:val="0"/>
              <w:pageBreakBefore w:val="0"/>
              <w:widowControl w:val="0"/>
              <w:shd w:val="clear"/>
              <w:kinsoku/>
              <w:wordWrap/>
              <w:overflowPunct/>
              <w:topLinePunct w:val="0"/>
              <w:autoSpaceDE/>
              <w:autoSpaceDN/>
              <w:bidi w:val="0"/>
              <w:adjustRightInd/>
              <w:snapToGrid/>
              <w:ind w:left="0" w:leftChars="0" w:firstLine="480" w:firstLineChars="200"/>
              <w:jc w:val="both"/>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本项目产品工艺流程一致，仅使用的模具存在差异。</w:t>
            </w:r>
            <w:r>
              <w:rPr>
                <w:rFonts w:hint="eastAsia" w:ascii="Times New Roman" w:hAnsi="Times New Roman" w:eastAsia="宋体"/>
                <w:color w:val="000000" w:themeColor="text1"/>
                <w:highlight w:val="none"/>
                <w:lang w:val="en-US" w:eastAsia="zh-CN"/>
                <w14:textFill>
                  <w14:solidFill>
                    <w14:schemeClr w14:val="tx1"/>
                  </w14:solidFill>
                </w14:textFill>
              </w:rPr>
              <w:t>具体工艺流程如下：</w:t>
            </w:r>
          </w:p>
          <w:p w14:paraId="163599EF">
            <w:pPr>
              <w:pStyle w:val="15"/>
              <w:rPr>
                <w:rFonts w:hint="eastAsia" w:ascii="Times New Roman" w:hAnsi="Times New Roman" w:eastAsia="宋体"/>
                <w:color w:val="000000" w:themeColor="text1"/>
                <w:highlight w:val="none"/>
                <w:lang w:val="en-US" w:eastAsia="zh-CN"/>
                <w14:textFill>
                  <w14:solidFill>
                    <w14:schemeClr w14:val="tx1"/>
                  </w14:solidFill>
                </w14:textFill>
              </w:rPr>
            </w:pPr>
          </w:p>
          <w:p w14:paraId="4D8E2157">
            <w:pPr>
              <w:pStyle w:val="12"/>
              <w:rPr>
                <w:rFonts w:hint="eastAsia" w:ascii="Times New Roman" w:hAnsi="Times New Roman" w:eastAsia="宋体"/>
                <w:color w:val="000000" w:themeColor="text1"/>
                <w:highlight w:val="none"/>
                <w:lang w:val="en-US" w:eastAsia="zh-CN"/>
                <w14:textFill>
                  <w14:solidFill>
                    <w14:schemeClr w14:val="tx1"/>
                  </w14:solidFill>
                </w14:textFill>
              </w:rPr>
            </w:pPr>
          </w:p>
          <w:p w14:paraId="59C87ED9">
            <w:pPr>
              <w:pStyle w:val="11"/>
              <w:rPr>
                <w:rFonts w:hint="eastAsia" w:ascii="Times New Roman" w:hAnsi="Times New Roman" w:eastAsia="宋体"/>
                <w:color w:val="000000" w:themeColor="text1"/>
                <w:highlight w:val="none"/>
                <w:lang w:val="en-US" w:eastAsia="zh-CN"/>
                <w14:textFill>
                  <w14:solidFill>
                    <w14:schemeClr w14:val="tx1"/>
                  </w14:solidFill>
                </w14:textFill>
              </w:rPr>
            </w:pPr>
          </w:p>
          <w:p w14:paraId="29055AFB">
            <w:pPr>
              <w:rPr>
                <w:rFonts w:hint="eastAsia" w:ascii="Times New Roman" w:hAnsi="Times New Roman" w:eastAsia="宋体"/>
                <w:color w:val="000000" w:themeColor="text1"/>
                <w:highlight w:val="none"/>
                <w:lang w:val="en-US" w:eastAsia="zh-CN"/>
                <w14:textFill>
                  <w14:solidFill>
                    <w14:schemeClr w14:val="tx1"/>
                  </w14:solidFill>
                </w14:textFill>
              </w:rPr>
            </w:pPr>
          </w:p>
          <w:p w14:paraId="6B502AD1">
            <w:pPr>
              <w:pStyle w:val="15"/>
              <w:rPr>
                <w:rFonts w:hint="eastAsia" w:ascii="Times New Roman" w:hAnsi="Times New Roman" w:eastAsia="宋体"/>
                <w:color w:val="000000" w:themeColor="text1"/>
                <w:highlight w:val="none"/>
                <w:lang w:val="en-US" w:eastAsia="zh-CN"/>
                <w14:textFill>
                  <w14:solidFill>
                    <w14:schemeClr w14:val="tx1"/>
                  </w14:solidFill>
                </w14:textFill>
              </w:rPr>
            </w:pPr>
          </w:p>
          <w:p w14:paraId="166F5ECD">
            <w:pPr>
              <w:pStyle w:val="12"/>
              <w:rPr>
                <w:rFonts w:hint="eastAsia" w:ascii="Times New Roman" w:hAnsi="Times New Roman" w:eastAsia="宋体"/>
                <w:color w:val="000000" w:themeColor="text1"/>
                <w:highlight w:val="none"/>
                <w:lang w:val="en-US" w:eastAsia="zh-CN"/>
                <w14:textFill>
                  <w14:solidFill>
                    <w14:schemeClr w14:val="tx1"/>
                  </w14:solidFill>
                </w14:textFill>
              </w:rPr>
            </w:pPr>
          </w:p>
          <w:p w14:paraId="0ECEF86E">
            <w:pPr>
              <w:pStyle w:val="11"/>
              <w:rPr>
                <w:rFonts w:hint="eastAsia" w:ascii="Times New Roman" w:hAnsi="Times New Roman" w:eastAsia="宋体"/>
                <w:color w:val="000000" w:themeColor="text1"/>
                <w:highlight w:val="none"/>
                <w:lang w:val="en-US" w:eastAsia="zh-CN"/>
                <w14:textFill>
                  <w14:solidFill>
                    <w14:schemeClr w14:val="tx1"/>
                  </w14:solidFill>
                </w14:textFill>
              </w:rPr>
            </w:pPr>
          </w:p>
          <w:p w14:paraId="543DED5D">
            <w:pPr>
              <w:rPr>
                <w:rFonts w:hint="eastAsia" w:ascii="Times New Roman" w:hAnsi="Times New Roman" w:eastAsia="宋体"/>
                <w:color w:val="000000" w:themeColor="text1"/>
                <w:highlight w:val="none"/>
                <w:lang w:val="en-US" w:eastAsia="zh-CN"/>
                <w14:textFill>
                  <w14:solidFill>
                    <w14:schemeClr w14:val="tx1"/>
                  </w14:solidFill>
                </w14:textFill>
              </w:rPr>
            </w:pPr>
          </w:p>
          <w:p w14:paraId="504E54C7">
            <w:pPr>
              <w:pStyle w:val="15"/>
              <w:rPr>
                <w:rFonts w:hint="eastAsia"/>
                <w:lang w:val="en-US" w:eastAsia="zh-CN"/>
              </w:rPr>
            </w:pPr>
          </w:p>
          <w:p w14:paraId="6F2AD4E7">
            <w:pPr>
              <w:pStyle w:val="2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object>
                <v:shape id="_x0000_i1026" o:spt="75" type="#_x0000_t75" style="height:336.55pt;width:357.6pt;" o:ole="t" filled="f" o:preferrelative="t" stroked="f" coordsize="21600,21600">
                  <v:path/>
                  <v:fill on="f" focussize="0,0"/>
                  <v:stroke on="f"/>
                  <v:imagedata r:id="rId16" o:title=""/>
                  <o:lock v:ext="edit" aspectratio="f"/>
                  <w10:wrap type="none"/>
                  <w10:anchorlock/>
                </v:shape>
                <o:OLEObject Type="Embed" ProgID="Visio.Drawing.11" ShapeID="_x0000_i1026" DrawAspect="Content" ObjectID="_1468075726" r:id="rId15">
                  <o:LockedField>false</o:LockedField>
                </o:OLEObject>
              </w:object>
            </w:r>
          </w:p>
          <w:p w14:paraId="63C2B7D9">
            <w:pPr>
              <w:pStyle w:val="35"/>
              <w:spacing w:line="240" w:lineRule="auto"/>
              <w:ind w:firstLine="0"/>
              <w:jc w:val="center"/>
              <w:rPr>
                <w:color w:val="000000" w:themeColor="text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图2-</w:t>
            </w:r>
            <w:r>
              <w:rPr>
                <w:rFonts w:hint="eastAsia" w:ascii="Times New Roman" w:hAnsi="Times New Roman"/>
                <w:b/>
                <w:bCs/>
                <w:color w:val="000000" w:themeColor="text1"/>
                <w:sz w:val="21"/>
                <w:szCs w:val="21"/>
                <w:lang w:val="en-US" w:eastAsia="zh-CN"/>
                <w14:textFill>
                  <w14:solidFill>
                    <w14:schemeClr w14:val="tx1"/>
                  </w14:solidFill>
                </w14:textFill>
              </w:rPr>
              <w:t>2</w:t>
            </w:r>
            <w:r>
              <w:rPr>
                <w:rFonts w:hint="eastAsia"/>
                <w:b/>
                <w:bCs/>
                <w:color w:val="000000" w:themeColor="text1"/>
                <w:sz w:val="21"/>
                <w:szCs w:val="21"/>
                <w14:textFill>
                  <w14:solidFill>
                    <w14:schemeClr w14:val="tx1"/>
                  </w14:solidFill>
                </w14:textFill>
              </w:rPr>
              <w:t xml:space="preserve"> </w:t>
            </w:r>
            <w:r>
              <w:rPr>
                <w:rFonts w:hint="eastAsia"/>
                <w:b/>
                <w:bCs/>
                <w:color w:val="000000" w:themeColor="text1"/>
                <w:sz w:val="21"/>
                <w:szCs w:val="21"/>
                <w:lang w:val="en-US" w:eastAsia="zh-CN"/>
                <w14:textFill>
                  <w14:solidFill>
                    <w14:schemeClr w14:val="tx1"/>
                  </w14:solidFill>
                </w14:textFill>
              </w:rPr>
              <w:t>产品</w:t>
            </w:r>
            <w:r>
              <w:rPr>
                <w:rFonts w:hint="eastAsia"/>
                <w:b/>
                <w:bCs/>
                <w:color w:val="000000" w:themeColor="text1"/>
                <w:sz w:val="21"/>
                <w:szCs w:val="21"/>
                <w14:textFill>
                  <w14:solidFill>
                    <w14:schemeClr w14:val="tx1"/>
                  </w14:solidFill>
                </w14:textFill>
              </w:rPr>
              <w:t>工艺流程及产污节点图</w:t>
            </w:r>
          </w:p>
          <w:p w14:paraId="19417EBB">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lang w:val="en-US" w:eastAsia="zh-CN"/>
              </w:rPr>
            </w:pPr>
            <w:r>
              <w:rPr>
                <w:rFonts w:hint="eastAsia"/>
                <w:b/>
                <w:bCs/>
                <w:color w:val="000000" w:themeColor="text1"/>
                <w:sz w:val="24"/>
                <w:szCs w:val="24"/>
                <w:highlight w:val="none"/>
                <w:lang w:val="en-US" w:eastAsia="zh-CN"/>
                <w14:textFill>
                  <w14:solidFill>
                    <w14:schemeClr w14:val="tx1"/>
                  </w14:solidFill>
                </w14:textFill>
              </w:rPr>
              <w:t>注：</w:t>
            </w:r>
            <w:r>
              <w:rPr>
                <w:rFonts w:hint="eastAsia"/>
                <w:sz w:val="21"/>
                <w:szCs w:val="21"/>
                <w:lang w:val="en-US" w:eastAsia="zh-CN"/>
              </w:rPr>
              <w:t>G1：注塑废气；G2：粉碎粉尘；W1：冷却循环水排水</w:t>
            </w:r>
          </w:p>
          <w:p w14:paraId="70D1CFB4">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工艺流程描述：</w:t>
            </w:r>
          </w:p>
          <w:p w14:paraId="3C9A411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①混料：将外购的袋装塑料颗粒手工拆包后通过负压吸入进入拌料机内进行混料搅拌，外购的塑料粒子粒径为3~5mm大颗粒，因此混料过程中无粉尘产生。</w:t>
            </w:r>
          </w:p>
          <w:p w14:paraId="161DD55D">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②注塑：利用拌料机输送泵输送至注塑机料槽中。</w:t>
            </w:r>
            <w:r>
              <w:rPr>
                <w:rFonts w:hint="default" w:ascii="Times New Roman" w:hAnsi="Times New Roman" w:eastAsia="宋体" w:cs="Times New Roman"/>
                <w:color w:val="000000"/>
                <w:kern w:val="0"/>
                <w:sz w:val="24"/>
                <w:szCs w:val="24"/>
                <w:lang w:val="en-US" w:eastAsia="zh-CN" w:bidi="ar"/>
              </w:rPr>
              <w:t>注塑机控制温度在180~200℃左右（电加热），将塑料颗粒加热熔化后高压注射到密闭的模腔内成型</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kern w:val="0"/>
                <w:sz w:val="24"/>
                <w:szCs w:val="24"/>
                <w:lang w:val="en-US" w:eastAsia="zh-CN" w:bidi="ar"/>
                <w14:textFill>
                  <w14:solidFill>
                    <w14:schemeClr w14:val="tx1"/>
                  </w14:solidFill>
                </w14:textFill>
              </w:rPr>
              <w:t>此工序主要污染物为注塑废气G1。</w:t>
            </w:r>
          </w:p>
          <w:p w14:paraId="3D35FFEA">
            <w:pPr>
              <w:pStyle w:val="2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③冷却定型：利用冷却塔对注塑成型的塑料制品进行间接冷却成型。冷却塔介质为自来水。冷却循环过程中会产生冷却循环水排水W1，纳管接入市政污水管网进入</w:t>
            </w:r>
            <w:r>
              <w:rPr>
                <w:rFonts w:hint="eastAsia" w:cs="Times New Roman"/>
                <w:b w:val="0"/>
                <w:bCs/>
                <w:color w:val="000000" w:themeColor="text1"/>
                <w:sz w:val="24"/>
                <w:szCs w:val="24"/>
                <w:highlight w:val="none"/>
                <w:lang w:val="en-US" w:eastAsia="zh-CN"/>
                <w14:textFill>
                  <w14:solidFill>
                    <w14:schemeClr w14:val="tx1"/>
                  </w14:solidFill>
                </w14:textFill>
              </w:rPr>
              <w:t>淮南市潘集污水处理厂</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进行深度处理。</w:t>
            </w:r>
          </w:p>
          <w:p w14:paraId="5F5822EE">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highlight w:val="none"/>
                <w:lang w:val="en-US"/>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④检验：</w:t>
            </w:r>
            <w:r>
              <w:rPr>
                <w:rFonts w:hint="default" w:ascii="Times New Roman" w:hAnsi="Times New Roman" w:eastAsia="宋体" w:cs="Times New Roman"/>
                <w:color w:val="000000"/>
                <w:kern w:val="0"/>
                <w:sz w:val="24"/>
                <w:szCs w:val="24"/>
                <w:lang w:val="en-US" w:eastAsia="zh-CN" w:bidi="ar"/>
              </w:rPr>
              <w:t>对产品进行外观检查，是否出现次品，合格的塑料制品进入下一步包装入库，不合格产品利用粉碎机进行粉碎</w:t>
            </w:r>
            <w:r>
              <w:rPr>
                <w:rFonts w:hint="eastAsia" w:ascii="Times New Roman" w:hAnsi="Times New Roman" w:eastAsia="宋体" w:cs="Times New Roman"/>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此工序主要污染物为破碎粉尘G2。</w:t>
            </w:r>
          </w:p>
          <w:p w14:paraId="34A873D2">
            <w:pPr>
              <w:pStyle w:val="50"/>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cs="Times New Roman"/>
                <w:lang w:val="en-US" w:eastAsia="zh-CN"/>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⑤包装：</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最终检验合格的产品进入包装线打包入库。</w:t>
            </w:r>
          </w:p>
          <w:p w14:paraId="3DF900D6">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b/>
                <w:color w:val="000000" w:themeColor="text1"/>
                <w:kern w:val="0"/>
                <w14:textFill>
                  <w14:solidFill>
                    <w14:schemeClr w14:val="tx1"/>
                  </w14:solidFill>
                </w14:textFill>
              </w:rPr>
            </w:pPr>
            <w:r>
              <w:rPr>
                <w:rFonts w:hint="eastAsia"/>
                <w:b/>
                <w:color w:val="000000" w:themeColor="text1"/>
                <w:kern w:val="0"/>
                <w:lang w:val="en-US" w:eastAsia="zh-CN"/>
                <w14:textFill>
                  <w14:solidFill>
                    <w14:schemeClr w14:val="tx1"/>
                  </w14:solidFill>
                </w14:textFill>
              </w:rPr>
              <w:t>2、</w:t>
            </w:r>
            <w:r>
              <w:rPr>
                <w:rFonts w:hint="eastAsia"/>
                <w:b/>
                <w:color w:val="000000" w:themeColor="text1"/>
                <w:kern w:val="0"/>
                <w14:textFill>
                  <w14:solidFill>
                    <w14:schemeClr w14:val="tx1"/>
                  </w14:solidFill>
                </w14:textFill>
              </w:rPr>
              <w:t>产排污环节分析</w:t>
            </w:r>
          </w:p>
          <w:p w14:paraId="3FEAD78E">
            <w:pPr>
              <w:widowControl/>
              <w:ind w:firstLine="480" w:firstLineChars="200"/>
              <w:rPr>
                <w:rFonts w:hint="eastAsia"/>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根据上文工艺流程，项目主要产污环节如下表所示</w:t>
            </w:r>
            <w:r>
              <w:rPr>
                <w:rFonts w:hint="eastAsia"/>
                <w:color w:val="000000" w:themeColor="text1"/>
                <w:kern w:val="0"/>
                <w:lang w:bidi="ar"/>
                <w14:textFill>
                  <w14:solidFill>
                    <w14:schemeClr w14:val="tx1"/>
                  </w14:solidFill>
                </w14:textFill>
              </w:rPr>
              <w:t>：</w:t>
            </w:r>
          </w:p>
          <w:p w14:paraId="0675DCC5">
            <w:pPr>
              <w:widowControl/>
              <w:spacing w:line="240" w:lineRule="auto"/>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表2-</w:t>
            </w:r>
            <w:r>
              <w:rPr>
                <w:rFonts w:hint="eastAsia"/>
                <w:b/>
                <w:bCs/>
                <w:color w:val="000000" w:themeColor="text1"/>
                <w:kern w:val="0"/>
                <w:sz w:val="21"/>
                <w:szCs w:val="21"/>
                <w:lang w:val="en-US" w:eastAsia="zh-CN" w:bidi="ar"/>
                <w14:textFill>
                  <w14:solidFill>
                    <w14:schemeClr w14:val="tx1"/>
                  </w14:solidFill>
                </w14:textFill>
              </w:rPr>
              <w:t>8</w:t>
            </w:r>
            <w:r>
              <w:rPr>
                <w:b/>
                <w:bCs/>
                <w:color w:val="000000" w:themeColor="text1"/>
                <w:kern w:val="0"/>
                <w:sz w:val="21"/>
                <w:szCs w:val="21"/>
                <w:lang w:bidi="ar"/>
                <w14:textFill>
                  <w14:solidFill>
                    <w14:schemeClr w14:val="tx1"/>
                  </w14:solidFill>
                </w14:textFill>
              </w:rPr>
              <w:t xml:space="preserve"> 污染物产生及排放环节</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1"/>
              <w:gridCol w:w="1349"/>
              <w:gridCol w:w="703"/>
              <w:gridCol w:w="1899"/>
              <w:gridCol w:w="3042"/>
            </w:tblGrid>
            <w:tr w14:paraId="6082F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pct"/>
                  <w:noWrap w:val="0"/>
                  <w:vAlign w:val="center"/>
                </w:tcPr>
                <w:p w14:paraId="07729461">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ascii="Times New Roman" w:hAnsi="Times New Roman"/>
                      <w:b/>
                      <w:bCs w:val="0"/>
                      <w:color w:val="000000" w:themeColor="text1"/>
                      <w:sz w:val="21"/>
                      <w:szCs w:val="21"/>
                      <w14:textFill>
                        <w14:solidFill>
                          <w14:schemeClr w14:val="tx1"/>
                        </w14:solidFill>
                      </w14:textFill>
                    </w:rPr>
                  </w:pPr>
                  <w:r>
                    <w:rPr>
                      <w:rFonts w:ascii="Times New Roman" w:hAnsi="Times New Roman"/>
                      <w:b/>
                      <w:bCs w:val="0"/>
                      <w:color w:val="000000" w:themeColor="text1"/>
                      <w:sz w:val="21"/>
                      <w:szCs w:val="21"/>
                      <w14:textFill>
                        <w14:solidFill>
                          <w14:schemeClr w14:val="tx1"/>
                        </w14:solidFill>
                      </w14:textFill>
                    </w:rPr>
                    <w:t>污染类别</w:t>
                  </w:r>
                </w:p>
              </w:tc>
              <w:tc>
                <w:tcPr>
                  <w:tcW w:w="829" w:type="pct"/>
                  <w:noWrap w:val="0"/>
                  <w:vAlign w:val="center"/>
                </w:tcPr>
                <w:p w14:paraId="66385B67">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ascii="Times New Roman" w:hAnsi="Times New Roman"/>
                      <w:b/>
                      <w:bCs w:val="0"/>
                      <w:color w:val="000000" w:themeColor="text1"/>
                      <w:sz w:val="21"/>
                      <w:szCs w:val="21"/>
                      <w14:textFill>
                        <w14:solidFill>
                          <w14:schemeClr w14:val="tx1"/>
                        </w14:solidFill>
                      </w14:textFill>
                    </w:rPr>
                  </w:pPr>
                  <w:r>
                    <w:rPr>
                      <w:rFonts w:ascii="Times New Roman" w:hAnsi="Times New Roman"/>
                      <w:b/>
                      <w:bCs w:val="0"/>
                      <w:color w:val="000000" w:themeColor="text1"/>
                      <w:sz w:val="21"/>
                      <w:szCs w:val="21"/>
                      <w14:textFill>
                        <w14:solidFill>
                          <w14:schemeClr w14:val="tx1"/>
                        </w14:solidFill>
                      </w14:textFill>
                    </w:rPr>
                    <w:t>产排污环节</w:t>
                  </w:r>
                </w:p>
              </w:tc>
              <w:tc>
                <w:tcPr>
                  <w:tcW w:w="432" w:type="pct"/>
                  <w:noWrap w:val="0"/>
                  <w:vAlign w:val="center"/>
                </w:tcPr>
                <w:p w14:paraId="27266303">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eastAsia" w:ascii="Times New Roman" w:hAnsi="Times New Roman"/>
                      <w:b/>
                      <w:bCs w:val="0"/>
                      <w:color w:val="000000" w:themeColor="text1"/>
                      <w:sz w:val="21"/>
                      <w:szCs w:val="21"/>
                      <w14:textFill>
                        <w14:solidFill>
                          <w14:schemeClr w14:val="tx1"/>
                        </w14:solidFill>
                      </w14:textFill>
                    </w:rPr>
                  </w:pPr>
                  <w:r>
                    <w:rPr>
                      <w:rFonts w:hint="eastAsia" w:ascii="Times New Roman" w:hAnsi="Times New Roman"/>
                      <w:b/>
                      <w:bCs w:val="0"/>
                      <w:color w:val="000000" w:themeColor="text1"/>
                      <w:sz w:val="21"/>
                      <w:szCs w:val="21"/>
                      <w14:textFill>
                        <w14:solidFill>
                          <w14:schemeClr w14:val="tx1"/>
                        </w14:solidFill>
                      </w14:textFill>
                    </w:rPr>
                    <w:t>编号</w:t>
                  </w:r>
                </w:p>
              </w:tc>
              <w:tc>
                <w:tcPr>
                  <w:tcW w:w="1167" w:type="pct"/>
                  <w:noWrap w:val="0"/>
                  <w:vAlign w:val="center"/>
                </w:tcPr>
                <w:p w14:paraId="1C5A5E2B">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ascii="Times New Roman" w:hAnsi="Times New Roman"/>
                      <w:b/>
                      <w:bCs w:val="0"/>
                      <w:color w:val="000000" w:themeColor="text1"/>
                      <w:sz w:val="21"/>
                      <w:szCs w:val="21"/>
                      <w14:textFill>
                        <w14:solidFill>
                          <w14:schemeClr w14:val="tx1"/>
                        </w14:solidFill>
                      </w14:textFill>
                    </w:rPr>
                  </w:pPr>
                  <w:r>
                    <w:rPr>
                      <w:rFonts w:ascii="Times New Roman" w:hAnsi="Times New Roman"/>
                      <w:b/>
                      <w:bCs w:val="0"/>
                      <w:color w:val="000000" w:themeColor="text1"/>
                      <w:sz w:val="21"/>
                      <w:szCs w:val="21"/>
                      <w14:textFill>
                        <w14:solidFill>
                          <w14:schemeClr w14:val="tx1"/>
                        </w14:solidFill>
                      </w14:textFill>
                    </w:rPr>
                    <w:t>污染物</w:t>
                  </w:r>
                </w:p>
              </w:tc>
              <w:tc>
                <w:tcPr>
                  <w:tcW w:w="1869" w:type="pct"/>
                  <w:noWrap w:val="0"/>
                  <w:vAlign w:val="center"/>
                </w:tcPr>
                <w:p w14:paraId="7D3515CA">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ascii="Times New Roman" w:hAnsi="Times New Roman"/>
                      <w:b/>
                      <w:bCs w:val="0"/>
                      <w:color w:val="000000" w:themeColor="text1"/>
                      <w:sz w:val="21"/>
                      <w:szCs w:val="21"/>
                      <w14:textFill>
                        <w14:solidFill>
                          <w14:schemeClr w14:val="tx1"/>
                        </w14:solidFill>
                      </w14:textFill>
                    </w:rPr>
                  </w:pPr>
                  <w:r>
                    <w:rPr>
                      <w:rFonts w:ascii="Times New Roman" w:hAnsi="Times New Roman"/>
                      <w:b/>
                      <w:bCs w:val="0"/>
                      <w:color w:val="000000" w:themeColor="text1"/>
                      <w:sz w:val="21"/>
                      <w:szCs w:val="21"/>
                      <w14:textFill>
                        <w14:solidFill>
                          <w14:schemeClr w14:val="tx1"/>
                        </w14:solidFill>
                      </w14:textFill>
                    </w:rPr>
                    <w:t>治理/处理措施</w:t>
                  </w:r>
                </w:p>
              </w:tc>
            </w:tr>
            <w:tr w14:paraId="3CCE58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pct"/>
                  <w:vMerge w:val="restart"/>
                  <w:noWrap w:val="0"/>
                  <w:vAlign w:val="center"/>
                </w:tcPr>
                <w:p w14:paraId="52330EF5">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b w:val="0"/>
                      <w:bCs w:val="0"/>
                      <w:color w:val="000000" w:themeColor="text1"/>
                      <w:sz w:val="21"/>
                      <w:szCs w:val="21"/>
                      <w:lang w:val="en-US" w:eastAsia="zh-CN"/>
                      <w14:textFill>
                        <w14:solidFill>
                          <w14:schemeClr w14:val="tx1"/>
                        </w14:solidFill>
                      </w14:textFill>
                    </w:rPr>
                    <w:t>废气</w:t>
                  </w:r>
                </w:p>
              </w:tc>
              <w:tc>
                <w:tcPr>
                  <w:tcW w:w="829" w:type="pct"/>
                  <w:noWrap w:val="0"/>
                  <w:vAlign w:val="center"/>
                </w:tcPr>
                <w:p w14:paraId="1CA88715">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b w:val="0"/>
                      <w:bCs w:val="0"/>
                      <w:color w:val="000000" w:themeColor="text1"/>
                      <w:sz w:val="21"/>
                      <w:szCs w:val="21"/>
                      <w:lang w:val="en-US" w:eastAsia="zh-CN"/>
                      <w14:textFill>
                        <w14:solidFill>
                          <w14:schemeClr w14:val="tx1"/>
                        </w14:solidFill>
                      </w14:textFill>
                    </w:rPr>
                    <w:t>注塑</w:t>
                  </w:r>
                </w:p>
              </w:tc>
              <w:tc>
                <w:tcPr>
                  <w:tcW w:w="432" w:type="pct"/>
                  <w:noWrap w:val="0"/>
                  <w:vAlign w:val="center"/>
                </w:tcPr>
                <w:p w14:paraId="60F2DA0E">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b w:val="0"/>
                      <w:bCs w:val="0"/>
                      <w:color w:val="000000" w:themeColor="text1"/>
                      <w:sz w:val="21"/>
                      <w:szCs w:val="21"/>
                      <w:lang w:val="en-US" w:eastAsia="zh-CN"/>
                      <w14:textFill>
                        <w14:solidFill>
                          <w14:schemeClr w14:val="tx1"/>
                        </w14:solidFill>
                      </w14:textFill>
                    </w:rPr>
                    <w:t>G1</w:t>
                  </w:r>
                </w:p>
              </w:tc>
              <w:tc>
                <w:tcPr>
                  <w:tcW w:w="1167" w:type="pct"/>
                  <w:noWrap w:val="0"/>
                  <w:vAlign w:val="center"/>
                </w:tcPr>
                <w:p w14:paraId="08B382BB">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b w:val="0"/>
                      <w:bCs w:val="0"/>
                      <w:color w:val="000000" w:themeColor="text1"/>
                      <w:sz w:val="21"/>
                      <w:szCs w:val="21"/>
                      <w:vertAlign w:val="baseline"/>
                      <w:lang w:val="en-US" w:eastAsia="zh-CN"/>
                      <w14:textFill>
                        <w14:solidFill>
                          <w14:schemeClr w14:val="tx1"/>
                        </w14:solidFill>
                      </w14:textFill>
                    </w:rPr>
                    <w:t>非甲烷总烃、苯乙烯、丙烯腈、乙苯</w:t>
                  </w:r>
                  <w:r>
                    <w:rPr>
                      <w:rFonts w:hint="eastAsia" w:ascii="Times New Roman" w:hAnsi="Times New Roman"/>
                      <w:b w:val="0"/>
                      <w:bCs w:val="0"/>
                      <w:color w:val="000000" w:themeColor="text1"/>
                      <w:sz w:val="21"/>
                      <w:szCs w:val="21"/>
                      <w:vertAlign w:val="baseline"/>
                      <w:lang w:val="en-US" w:eastAsia="zh-CN"/>
                      <w14:textFill>
                        <w14:solidFill>
                          <w14:schemeClr w14:val="tx1"/>
                        </w14:solidFill>
                      </w14:textFill>
                    </w:rPr>
                    <w:t>、臭气浓度</w:t>
                  </w:r>
                </w:p>
              </w:tc>
              <w:tc>
                <w:tcPr>
                  <w:tcW w:w="1869" w:type="pct"/>
                  <w:noWrap w:val="0"/>
                  <w:vAlign w:val="center"/>
                </w:tcPr>
                <w:p w14:paraId="31C1ACC6">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vertAlign w:val="baseline"/>
                      <w:lang w:val="en-US" w:eastAsia="zh-CN"/>
                      <w14:textFill>
                        <w14:solidFill>
                          <w14:schemeClr w14:val="tx1"/>
                        </w14:solidFill>
                      </w14:textFill>
                    </w:rPr>
                    <w:t>密闭收集进入二级活性炭TA001处理后由排气筒DA001达标排放</w:t>
                  </w:r>
                </w:p>
              </w:tc>
            </w:tr>
            <w:tr w14:paraId="48245F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pct"/>
                  <w:vMerge w:val="continue"/>
                  <w:noWrap w:val="0"/>
                  <w:vAlign w:val="center"/>
                </w:tcPr>
                <w:p w14:paraId="2CB48150">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b w:val="0"/>
                      <w:bCs w:val="0"/>
                      <w:color w:val="000000" w:themeColor="text1"/>
                      <w:sz w:val="21"/>
                      <w:szCs w:val="21"/>
                      <w:lang w:val="en-US" w:eastAsia="zh-CN"/>
                      <w14:textFill>
                        <w14:solidFill>
                          <w14:schemeClr w14:val="tx1"/>
                        </w14:solidFill>
                      </w14:textFill>
                    </w:rPr>
                  </w:pPr>
                </w:p>
              </w:tc>
              <w:tc>
                <w:tcPr>
                  <w:tcW w:w="829" w:type="pct"/>
                  <w:noWrap w:val="0"/>
                  <w:vAlign w:val="center"/>
                </w:tcPr>
                <w:p w14:paraId="634BF4B8">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粉碎</w:t>
                  </w:r>
                </w:p>
              </w:tc>
              <w:tc>
                <w:tcPr>
                  <w:tcW w:w="432" w:type="pct"/>
                  <w:noWrap w:val="0"/>
                  <w:vAlign w:val="center"/>
                </w:tcPr>
                <w:p w14:paraId="6939C3F0">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G2</w:t>
                  </w:r>
                </w:p>
              </w:tc>
              <w:tc>
                <w:tcPr>
                  <w:tcW w:w="1167" w:type="pct"/>
                  <w:noWrap w:val="0"/>
                  <w:vAlign w:val="center"/>
                </w:tcPr>
                <w:p w14:paraId="623E4E0D">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颗粒物</w:t>
                  </w:r>
                </w:p>
              </w:tc>
              <w:tc>
                <w:tcPr>
                  <w:tcW w:w="1869" w:type="pct"/>
                  <w:noWrap w:val="0"/>
                  <w:vAlign w:val="center"/>
                </w:tcPr>
                <w:p w14:paraId="7CF90A56">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集气罩收集后进入布袋除尘器TA002处理后用排气筒DA002达标排放</w:t>
                  </w:r>
                </w:p>
              </w:tc>
            </w:tr>
            <w:tr w14:paraId="19960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pct"/>
                  <w:noWrap w:val="0"/>
                  <w:vAlign w:val="center"/>
                </w:tcPr>
                <w:p w14:paraId="2CD7891F">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b w:val="0"/>
                      <w:bCs w:val="0"/>
                      <w:color w:val="000000" w:themeColor="text1"/>
                      <w:sz w:val="21"/>
                      <w:szCs w:val="21"/>
                      <w:lang w:val="en-US" w:eastAsia="zh-CN"/>
                      <w14:textFill>
                        <w14:solidFill>
                          <w14:schemeClr w14:val="tx1"/>
                        </w14:solidFill>
                      </w14:textFill>
                    </w:rPr>
                    <w:t>废水</w:t>
                  </w:r>
                </w:p>
              </w:tc>
              <w:tc>
                <w:tcPr>
                  <w:tcW w:w="829" w:type="pct"/>
                  <w:noWrap w:val="0"/>
                  <w:vAlign w:val="center"/>
                </w:tcPr>
                <w:p w14:paraId="2A91BF02">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9"/>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b w:val="0"/>
                      <w:bCs w:val="0"/>
                      <w:color w:val="000000" w:themeColor="text1"/>
                      <w:sz w:val="21"/>
                      <w:szCs w:val="21"/>
                      <w:highlight w:val="none"/>
                      <w:lang w:val="en-US" w:eastAsia="zh-CN"/>
                      <w14:textFill>
                        <w14:solidFill>
                          <w14:schemeClr w14:val="tx1"/>
                        </w14:solidFill>
                      </w14:textFill>
                    </w:rPr>
                    <w:t>冷却定型</w:t>
                  </w:r>
                </w:p>
              </w:tc>
              <w:tc>
                <w:tcPr>
                  <w:tcW w:w="432" w:type="pct"/>
                  <w:noWrap w:val="0"/>
                  <w:vAlign w:val="center"/>
                </w:tcPr>
                <w:p w14:paraId="2C2A1377">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b w:val="0"/>
                      <w:bCs w:val="0"/>
                      <w:color w:val="000000" w:themeColor="text1"/>
                      <w:sz w:val="21"/>
                      <w:szCs w:val="21"/>
                      <w:highlight w:val="none"/>
                      <w:lang w:val="en-US" w:eastAsia="zh-CN"/>
                      <w14:textFill>
                        <w14:solidFill>
                          <w14:schemeClr w14:val="tx1"/>
                        </w14:solidFill>
                      </w14:textFill>
                    </w:rPr>
                    <w:t>W1</w:t>
                  </w:r>
                </w:p>
              </w:tc>
              <w:tc>
                <w:tcPr>
                  <w:tcW w:w="1167" w:type="pct"/>
                  <w:noWrap w:val="0"/>
                  <w:vAlign w:val="center"/>
                </w:tcPr>
                <w:p w14:paraId="42D47696">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b w:val="0"/>
                      <w:bCs w:val="0"/>
                      <w:color w:val="000000" w:themeColor="text1"/>
                      <w:sz w:val="21"/>
                      <w:szCs w:val="21"/>
                      <w:highlight w:val="none"/>
                      <w:lang w:val="en-US" w:eastAsia="zh-CN"/>
                      <w14:textFill>
                        <w14:solidFill>
                          <w14:schemeClr w14:val="tx1"/>
                        </w14:solidFill>
                      </w14:textFill>
                    </w:rPr>
                    <w:t>COD、SS</w:t>
                  </w:r>
                </w:p>
              </w:tc>
              <w:tc>
                <w:tcPr>
                  <w:tcW w:w="1869" w:type="pct"/>
                  <w:noWrap w:val="0"/>
                  <w:vAlign w:val="center"/>
                </w:tcPr>
                <w:p w14:paraId="0496B8DE">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eastAsia="宋体"/>
                      <w:b w:val="0"/>
                      <w:bCs w:val="0"/>
                      <w:color w:val="000000" w:themeColor="text1"/>
                      <w:sz w:val="21"/>
                      <w:szCs w:val="21"/>
                      <w:highlight w:val="yellow"/>
                      <w:lang w:val="en-US" w:eastAsia="zh-CN"/>
                      <w14:textFill>
                        <w14:solidFill>
                          <w14:schemeClr w14:val="tx1"/>
                        </w14:solidFill>
                      </w14:textFill>
                    </w:rPr>
                  </w:pPr>
                  <w:r>
                    <w:rPr>
                      <w:rFonts w:hint="eastAsia" w:ascii="Times New Roman" w:hAnsi="Times New Roman"/>
                      <w:b w:val="0"/>
                      <w:bCs w:val="0"/>
                      <w:color w:val="000000" w:themeColor="text1"/>
                      <w:sz w:val="21"/>
                      <w:szCs w:val="21"/>
                      <w:highlight w:val="none"/>
                      <w:lang w:val="en-US" w:eastAsia="zh-CN"/>
                      <w14:textFill>
                        <w14:solidFill>
                          <w14:schemeClr w14:val="tx1"/>
                        </w14:solidFill>
                      </w14:textFill>
                    </w:rPr>
                    <w:t>纳管接入市政污水管网进入淮南市潘集污水处理厂进行深度处理</w:t>
                  </w:r>
                </w:p>
              </w:tc>
            </w:tr>
            <w:tr w14:paraId="022A43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pct"/>
                  <w:vMerge w:val="restart"/>
                  <w:shd w:val="clear" w:color="auto" w:fill="auto"/>
                  <w:noWrap w:val="0"/>
                  <w:vAlign w:val="center"/>
                </w:tcPr>
                <w:p w14:paraId="19C9DB88">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b w:val="0"/>
                      <w:bCs w:val="0"/>
                      <w:color w:val="auto"/>
                      <w:sz w:val="21"/>
                      <w:szCs w:val="21"/>
                      <w:lang w:val="en-US" w:eastAsia="zh-CN"/>
                    </w:rPr>
                  </w:pPr>
                  <w:r>
                    <w:rPr>
                      <w:rFonts w:hint="eastAsia" w:ascii="Times New Roman" w:hAnsi="Times New Roman"/>
                      <w:b w:val="0"/>
                      <w:bCs w:val="0"/>
                      <w:color w:val="auto"/>
                      <w:sz w:val="21"/>
                      <w:szCs w:val="21"/>
                      <w:lang w:val="en-US" w:eastAsia="zh-CN"/>
                    </w:rPr>
                    <w:t>固废</w:t>
                  </w:r>
                </w:p>
              </w:tc>
              <w:tc>
                <w:tcPr>
                  <w:tcW w:w="829" w:type="pct"/>
                  <w:shd w:val="clear" w:color="auto" w:fill="auto"/>
                  <w:noWrap w:val="0"/>
                  <w:vAlign w:val="center"/>
                </w:tcPr>
                <w:p w14:paraId="11F71213">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9"/>
                    <w:rPr>
                      <w:rFonts w:hint="default" w:ascii="Times New Roman" w:hAnsi="Times New Roman"/>
                      <w:b w:val="0"/>
                      <w:bCs w:val="0"/>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注塑</w:t>
                  </w:r>
                </w:p>
              </w:tc>
              <w:tc>
                <w:tcPr>
                  <w:tcW w:w="432" w:type="pct"/>
                  <w:shd w:val="clear" w:color="auto" w:fill="auto"/>
                  <w:noWrap w:val="0"/>
                  <w:vAlign w:val="center"/>
                </w:tcPr>
                <w:p w14:paraId="53EB827C">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b w:val="0"/>
                      <w:bCs w:val="0"/>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S1</w:t>
                  </w:r>
                </w:p>
              </w:tc>
              <w:tc>
                <w:tcPr>
                  <w:tcW w:w="1167" w:type="pct"/>
                  <w:shd w:val="clear" w:color="auto" w:fill="auto"/>
                  <w:noWrap w:val="0"/>
                  <w:vAlign w:val="center"/>
                </w:tcPr>
                <w:p w14:paraId="1ABDA61D">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b w:val="0"/>
                      <w:bCs w:val="0"/>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边角料及不合格品</w:t>
                  </w:r>
                </w:p>
              </w:tc>
              <w:tc>
                <w:tcPr>
                  <w:tcW w:w="1869" w:type="pct"/>
                  <w:shd w:val="clear" w:color="auto" w:fill="auto"/>
                  <w:noWrap w:val="0"/>
                  <w:vAlign w:val="center"/>
                </w:tcPr>
                <w:p w14:paraId="562EAABC">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b w:val="0"/>
                      <w:bCs w:val="0"/>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破碎后回用于注塑</w:t>
                  </w:r>
                </w:p>
              </w:tc>
            </w:tr>
            <w:tr w14:paraId="455FB8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pct"/>
                  <w:vMerge w:val="continue"/>
                  <w:shd w:val="clear" w:color="auto" w:fill="auto"/>
                  <w:noWrap w:val="0"/>
                  <w:vAlign w:val="center"/>
                </w:tcPr>
                <w:p w14:paraId="58E8C8B3">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eastAsia" w:ascii="Times New Roman" w:hAnsi="Times New Roman"/>
                      <w:b w:val="0"/>
                      <w:bCs w:val="0"/>
                      <w:color w:val="auto"/>
                      <w:sz w:val="21"/>
                      <w:szCs w:val="21"/>
                      <w:lang w:val="en-US" w:eastAsia="zh-CN"/>
                    </w:rPr>
                  </w:pPr>
                </w:p>
              </w:tc>
              <w:tc>
                <w:tcPr>
                  <w:tcW w:w="829" w:type="pct"/>
                  <w:shd w:val="clear" w:color="auto" w:fill="auto"/>
                  <w:noWrap w:val="0"/>
                  <w:vAlign w:val="center"/>
                </w:tcPr>
                <w:p w14:paraId="21EE4E55">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9"/>
                    <w:rPr>
                      <w:rFonts w:hint="default" w:ascii="Times New Roman" w:hAnsi="Times New Roman"/>
                      <w:b w:val="0"/>
                      <w:bCs w:val="0"/>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废气处理</w:t>
                  </w:r>
                </w:p>
              </w:tc>
              <w:tc>
                <w:tcPr>
                  <w:tcW w:w="432" w:type="pct"/>
                  <w:shd w:val="clear" w:color="auto" w:fill="auto"/>
                  <w:noWrap w:val="0"/>
                  <w:vAlign w:val="center"/>
                </w:tcPr>
                <w:p w14:paraId="721AA3E6">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b w:val="0"/>
                      <w:bCs w:val="0"/>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w:t>
                  </w:r>
                </w:p>
              </w:tc>
              <w:tc>
                <w:tcPr>
                  <w:tcW w:w="1167" w:type="pct"/>
                  <w:shd w:val="clear" w:color="auto" w:fill="auto"/>
                  <w:noWrap w:val="0"/>
                  <w:vAlign w:val="center"/>
                </w:tcPr>
                <w:p w14:paraId="3061B73A">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b w:val="0"/>
                      <w:bCs w:val="0"/>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除尘器收集的粉尘</w:t>
                  </w:r>
                </w:p>
              </w:tc>
              <w:tc>
                <w:tcPr>
                  <w:tcW w:w="1869" w:type="pct"/>
                  <w:vMerge w:val="restart"/>
                  <w:shd w:val="clear" w:color="auto" w:fill="auto"/>
                  <w:noWrap w:val="0"/>
                  <w:vAlign w:val="center"/>
                </w:tcPr>
                <w:p w14:paraId="47E36E59">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b w:val="0"/>
                      <w:bCs w:val="0"/>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收集后外售</w:t>
                  </w:r>
                </w:p>
              </w:tc>
            </w:tr>
            <w:tr w14:paraId="750FC6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pct"/>
                  <w:vMerge w:val="continue"/>
                  <w:shd w:val="clear" w:color="auto" w:fill="auto"/>
                  <w:noWrap w:val="0"/>
                  <w:vAlign w:val="center"/>
                </w:tcPr>
                <w:p w14:paraId="7A6E65A9">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eastAsia" w:ascii="Times New Roman" w:hAnsi="Times New Roman"/>
                      <w:b w:val="0"/>
                      <w:bCs w:val="0"/>
                      <w:color w:val="auto"/>
                      <w:sz w:val="21"/>
                      <w:szCs w:val="21"/>
                      <w:lang w:val="en-US" w:eastAsia="zh-CN"/>
                    </w:rPr>
                  </w:pPr>
                </w:p>
              </w:tc>
              <w:tc>
                <w:tcPr>
                  <w:tcW w:w="829" w:type="pct"/>
                  <w:shd w:val="clear" w:color="auto" w:fill="auto"/>
                  <w:noWrap w:val="0"/>
                  <w:vAlign w:val="center"/>
                </w:tcPr>
                <w:p w14:paraId="7469026E">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9"/>
                    <w:rPr>
                      <w:rFonts w:hint="default" w:ascii="Times New Roman" w:hAnsi="Times New Roman"/>
                      <w:b w:val="0"/>
                      <w:bCs w:val="0"/>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废气处理</w:t>
                  </w:r>
                </w:p>
              </w:tc>
              <w:tc>
                <w:tcPr>
                  <w:tcW w:w="432" w:type="pct"/>
                  <w:shd w:val="clear" w:color="auto" w:fill="auto"/>
                  <w:noWrap w:val="0"/>
                  <w:vAlign w:val="center"/>
                </w:tcPr>
                <w:p w14:paraId="1D7BE1A3">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b w:val="0"/>
                      <w:bCs w:val="0"/>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w:t>
                  </w:r>
                </w:p>
              </w:tc>
              <w:tc>
                <w:tcPr>
                  <w:tcW w:w="1167" w:type="pct"/>
                  <w:shd w:val="clear" w:color="auto" w:fill="auto"/>
                  <w:noWrap w:val="0"/>
                  <w:vAlign w:val="center"/>
                </w:tcPr>
                <w:p w14:paraId="2FC9606B">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b w:val="0"/>
                      <w:bCs w:val="0"/>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含尘布袋</w:t>
                  </w:r>
                </w:p>
              </w:tc>
              <w:tc>
                <w:tcPr>
                  <w:tcW w:w="1869" w:type="pct"/>
                  <w:vMerge w:val="continue"/>
                  <w:shd w:val="clear" w:color="auto" w:fill="auto"/>
                  <w:noWrap w:val="0"/>
                  <w:vAlign w:val="center"/>
                </w:tcPr>
                <w:p w14:paraId="2110BBA9">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eastAsia" w:ascii="Times New Roman" w:hAnsi="Times New Roman"/>
                      <w:b w:val="0"/>
                      <w:bCs w:val="0"/>
                      <w:color w:val="auto"/>
                      <w:sz w:val="21"/>
                      <w:szCs w:val="21"/>
                      <w:highlight w:val="none"/>
                      <w:lang w:val="en-US" w:eastAsia="zh-CN"/>
                    </w:rPr>
                  </w:pPr>
                </w:p>
              </w:tc>
            </w:tr>
            <w:tr w14:paraId="1D04EC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pct"/>
                  <w:vMerge w:val="continue"/>
                  <w:shd w:val="clear" w:color="auto" w:fill="auto"/>
                  <w:noWrap w:val="0"/>
                  <w:vAlign w:val="center"/>
                </w:tcPr>
                <w:p w14:paraId="4B96F1FE">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eastAsia" w:ascii="Times New Roman" w:hAnsi="Times New Roman"/>
                      <w:b w:val="0"/>
                      <w:bCs w:val="0"/>
                      <w:color w:val="auto"/>
                      <w:sz w:val="21"/>
                      <w:szCs w:val="21"/>
                      <w:lang w:val="en-US" w:eastAsia="zh-CN"/>
                    </w:rPr>
                  </w:pPr>
                </w:p>
              </w:tc>
              <w:tc>
                <w:tcPr>
                  <w:tcW w:w="829" w:type="pct"/>
                  <w:shd w:val="clear" w:color="auto" w:fill="auto"/>
                  <w:noWrap w:val="0"/>
                  <w:vAlign w:val="center"/>
                </w:tcPr>
                <w:p w14:paraId="58A6A43A">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b w:val="0"/>
                      <w:bCs w:val="0"/>
                      <w:color w:val="auto"/>
                      <w:sz w:val="21"/>
                      <w:szCs w:val="21"/>
                      <w:highlight w:val="none"/>
                      <w:lang w:val="en-US" w:eastAsia="zh-CN"/>
                    </w:rPr>
                    <w:t>注塑</w:t>
                  </w:r>
                </w:p>
              </w:tc>
              <w:tc>
                <w:tcPr>
                  <w:tcW w:w="432" w:type="pct"/>
                  <w:shd w:val="clear" w:color="auto" w:fill="auto"/>
                  <w:noWrap w:val="0"/>
                  <w:vAlign w:val="center"/>
                </w:tcPr>
                <w:p w14:paraId="05D13D8B">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b w:val="0"/>
                      <w:bCs w:val="0"/>
                      <w:color w:val="auto"/>
                      <w:sz w:val="21"/>
                      <w:szCs w:val="21"/>
                      <w:highlight w:val="none"/>
                      <w:lang w:val="en-US" w:eastAsia="zh-CN"/>
                    </w:rPr>
                    <w:t>/</w:t>
                  </w:r>
                </w:p>
              </w:tc>
              <w:tc>
                <w:tcPr>
                  <w:tcW w:w="1167" w:type="pct"/>
                  <w:shd w:val="clear" w:color="auto" w:fill="auto"/>
                  <w:noWrap w:val="0"/>
                  <w:vAlign w:val="center"/>
                </w:tcPr>
                <w:p w14:paraId="49921CA7">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b w:val="0"/>
                      <w:bCs w:val="0"/>
                      <w:color w:val="auto"/>
                      <w:sz w:val="21"/>
                      <w:szCs w:val="21"/>
                      <w:highlight w:val="none"/>
                      <w:lang w:val="en-US" w:eastAsia="zh-CN"/>
                    </w:rPr>
                    <w:t>废液压油</w:t>
                  </w:r>
                </w:p>
              </w:tc>
              <w:tc>
                <w:tcPr>
                  <w:tcW w:w="1869" w:type="pct"/>
                  <w:vMerge w:val="restart"/>
                  <w:shd w:val="clear" w:color="auto" w:fill="auto"/>
                  <w:noWrap w:val="0"/>
                  <w:vAlign w:val="center"/>
                </w:tcPr>
                <w:p w14:paraId="246D8CC2">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eastAsia" w:ascii="Times New Roman" w:hAnsi="Times New Roman"/>
                      <w:b w:val="0"/>
                      <w:bCs w:val="0"/>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暂存于危废间，交给有危废处置资质的单位处理</w:t>
                  </w:r>
                </w:p>
              </w:tc>
            </w:tr>
            <w:tr w14:paraId="710138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pct"/>
                  <w:vMerge w:val="continue"/>
                  <w:shd w:val="clear" w:color="auto" w:fill="auto"/>
                  <w:noWrap w:val="0"/>
                  <w:vAlign w:val="center"/>
                </w:tcPr>
                <w:p w14:paraId="70917881">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eastAsia" w:ascii="Times New Roman" w:hAnsi="Times New Roman"/>
                      <w:b w:val="0"/>
                      <w:bCs w:val="0"/>
                      <w:color w:val="auto"/>
                      <w:sz w:val="21"/>
                      <w:szCs w:val="21"/>
                      <w:lang w:val="en-US" w:eastAsia="zh-CN"/>
                    </w:rPr>
                  </w:pPr>
                </w:p>
              </w:tc>
              <w:tc>
                <w:tcPr>
                  <w:tcW w:w="829" w:type="pct"/>
                  <w:shd w:val="clear" w:color="auto" w:fill="auto"/>
                  <w:noWrap w:val="0"/>
                  <w:vAlign w:val="center"/>
                </w:tcPr>
                <w:p w14:paraId="43C79F8B">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b w:val="0"/>
                      <w:bCs w:val="0"/>
                      <w:color w:val="auto"/>
                      <w:sz w:val="21"/>
                      <w:szCs w:val="21"/>
                      <w:highlight w:val="none"/>
                      <w:lang w:val="en-US" w:eastAsia="zh-CN"/>
                    </w:rPr>
                    <w:t>机械维护、注塑</w:t>
                  </w:r>
                </w:p>
              </w:tc>
              <w:tc>
                <w:tcPr>
                  <w:tcW w:w="432" w:type="pct"/>
                  <w:shd w:val="clear" w:color="auto" w:fill="auto"/>
                  <w:noWrap w:val="0"/>
                  <w:vAlign w:val="center"/>
                </w:tcPr>
                <w:p w14:paraId="12B04505">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b w:val="0"/>
                      <w:bCs w:val="0"/>
                      <w:color w:val="auto"/>
                      <w:sz w:val="21"/>
                      <w:szCs w:val="21"/>
                      <w:highlight w:val="none"/>
                      <w:lang w:val="en-US" w:eastAsia="zh-CN"/>
                    </w:rPr>
                    <w:t>/</w:t>
                  </w:r>
                </w:p>
              </w:tc>
              <w:tc>
                <w:tcPr>
                  <w:tcW w:w="1167" w:type="pct"/>
                  <w:shd w:val="clear" w:color="auto" w:fill="auto"/>
                  <w:noWrap w:val="0"/>
                  <w:vAlign w:val="center"/>
                </w:tcPr>
                <w:p w14:paraId="5210BB9A">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b w:val="0"/>
                      <w:bCs w:val="0"/>
                      <w:color w:val="auto"/>
                      <w:sz w:val="21"/>
                      <w:szCs w:val="21"/>
                      <w:highlight w:val="none"/>
                      <w:lang w:val="en-US" w:eastAsia="zh-CN"/>
                    </w:rPr>
                    <w:t>废油桶</w:t>
                  </w:r>
                </w:p>
              </w:tc>
              <w:tc>
                <w:tcPr>
                  <w:tcW w:w="1869" w:type="pct"/>
                  <w:vMerge w:val="continue"/>
                  <w:shd w:val="clear" w:color="auto" w:fill="auto"/>
                  <w:noWrap w:val="0"/>
                  <w:vAlign w:val="center"/>
                </w:tcPr>
                <w:p w14:paraId="3B1BF6CA">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eastAsia" w:ascii="Times New Roman" w:hAnsi="Times New Roman"/>
                      <w:b w:val="0"/>
                      <w:bCs w:val="0"/>
                      <w:color w:val="FF0000"/>
                      <w:sz w:val="21"/>
                      <w:szCs w:val="21"/>
                      <w:highlight w:val="none"/>
                      <w:lang w:val="en-US" w:eastAsia="zh-CN"/>
                    </w:rPr>
                  </w:pPr>
                </w:p>
              </w:tc>
            </w:tr>
            <w:tr w14:paraId="26973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pct"/>
                  <w:vMerge w:val="continue"/>
                  <w:shd w:val="clear" w:color="auto" w:fill="auto"/>
                  <w:noWrap w:val="0"/>
                  <w:vAlign w:val="center"/>
                </w:tcPr>
                <w:p w14:paraId="209A1232">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eastAsia" w:ascii="Times New Roman" w:hAnsi="Times New Roman"/>
                      <w:b w:val="0"/>
                      <w:bCs w:val="0"/>
                      <w:color w:val="auto"/>
                      <w:sz w:val="21"/>
                      <w:szCs w:val="21"/>
                      <w:lang w:val="en-US" w:eastAsia="zh-CN"/>
                    </w:rPr>
                  </w:pPr>
                </w:p>
              </w:tc>
              <w:tc>
                <w:tcPr>
                  <w:tcW w:w="829" w:type="pct"/>
                  <w:shd w:val="clear" w:color="auto" w:fill="auto"/>
                  <w:noWrap w:val="0"/>
                  <w:vAlign w:val="center"/>
                </w:tcPr>
                <w:p w14:paraId="38AB01CB">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废气处理</w:t>
                  </w:r>
                </w:p>
              </w:tc>
              <w:tc>
                <w:tcPr>
                  <w:tcW w:w="432" w:type="pct"/>
                  <w:shd w:val="clear" w:color="auto" w:fill="auto"/>
                  <w:noWrap w:val="0"/>
                  <w:vAlign w:val="center"/>
                </w:tcPr>
                <w:p w14:paraId="7DC81E74">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b w:val="0"/>
                      <w:bCs w:val="0"/>
                      <w:color w:val="auto"/>
                      <w:sz w:val="21"/>
                      <w:szCs w:val="21"/>
                      <w:highlight w:val="none"/>
                      <w:lang w:val="en-US" w:eastAsia="zh-CN"/>
                    </w:rPr>
                    <w:t>/</w:t>
                  </w:r>
                </w:p>
              </w:tc>
              <w:tc>
                <w:tcPr>
                  <w:tcW w:w="1167" w:type="pct"/>
                  <w:shd w:val="clear" w:color="auto" w:fill="auto"/>
                  <w:noWrap w:val="0"/>
                  <w:vAlign w:val="center"/>
                </w:tcPr>
                <w:p w14:paraId="5A601BA0">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废活性炭</w:t>
                  </w:r>
                </w:p>
              </w:tc>
              <w:tc>
                <w:tcPr>
                  <w:tcW w:w="1869" w:type="pct"/>
                  <w:vMerge w:val="continue"/>
                  <w:shd w:val="clear" w:color="auto" w:fill="auto"/>
                  <w:noWrap w:val="0"/>
                  <w:vAlign w:val="center"/>
                </w:tcPr>
                <w:p w14:paraId="26107407">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eastAsia" w:ascii="Times New Roman" w:hAnsi="Times New Roman"/>
                      <w:b w:val="0"/>
                      <w:bCs w:val="0"/>
                      <w:color w:val="FF0000"/>
                      <w:sz w:val="21"/>
                      <w:szCs w:val="21"/>
                      <w:highlight w:val="none"/>
                      <w:lang w:val="en-US" w:eastAsia="zh-CN"/>
                    </w:rPr>
                  </w:pPr>
                </w:p>
              </w:tc>
            </w:tr>
            <w:tr w14:paraId="1EB047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pct"/>
                  <w:vMerge w:val="continue"/>
                  <w:shd w:val="clear" w:color="auto" w:fill="auto"/>
                  <w:noWrap w:val="0"/>
                  <w:vAlign w:val="center"/>
                </w:tcPr>
                <w:p w14:paraId="344E0293">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eastAsia" w:ascii="Times New Roman" w:hAnsi="Times New Roman"/>
                      <w:b w:val="0"/>
                      <w:bCs w:val="0"/>
                      <w:color w:val="auto"/>
                      <w:sz w:val="21"/>
                      <w:szCs w:val="21"/>
                      <w:lang w:val="en-US" w:eastAsia="zh-CN"/>
                    </w:rPr>
                  </w:pPr>
                </w:p>
              </w:tc>
              <w:tc>
                <w:tcPr>
                  <w:tcW w:w="829" w:type="pct"/>
                  <w:shd w:val="clear" w:color="auto" w:fill="auto"/>
                  <w:noWrap w:val="0"/>
                  <w:vAlign w:val="center"/>
                </w:tcPr>
                <w:p w14:paraId="3DCA2262">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9"/>
                    <w:rPr>
                      <w:rFonts w:hint="eastAsia" w:ascii="Times New Roman" w:hAnsi="Times New Roman"/>
                      <w:b w:val="0"/>
                      <w:bCs w:val="0"/>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机械维护</w:t>
                  </w:r>
                </w:p>
              </w:tc>
              <w:tc>
                <w:tcPr>
                  <w:tcW w:w="432" w:type="pct"/>
                  <w:shd w:val="clear" w:color="auto" w:fill="auto"/>
                  <w:noWrap w:val="0"/>
                  <w:vAlign w:val="center"/>
                </w:tcPr>
                <w:p w14:paraId="5C44C741">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eastAsia" w:ascii="Times New Roman" w:hAnsi="Times New Roman"/>
                      <w:b w:val="0"/>
                      <w:bCs w:val="0"/>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w:t>
                  </w:r>
                </w:p>
              </w:tc>
              <w:tc>
                <w:tcPr>
                  <w:tcW w:w="1167" w:type="pct"/>
                  <w:shd w:val="clear" w:color="auto" w:fill="auto"/>
                  <w:noWrap w:val="0"/>
                  <w:vAlign w:val="center"/>
                </w:tcPr>
                <w:p w14:paraId="1B8109A2">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eastAsia" w:ascii="Times New Roman" w:hAnsi="Times New Roman"/>
                      <w:b w:val="0"/>
                      <w:bCs w:val="0"/>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含油抹布</w:t>
                  </w:r>
                </w:p>
              </w:tc>
              <w:tc>
                <w:tcPr>
                  <w:tcW w:w="1869" w:type="pct"/>
                  <w:vMerge w:val="continue"/>
                  <w:shd w:val="clear" w:color="auto" w:fill="auto"/>
                  <w:noWrap w:val="0"/>
                  <w:vAlign w:val="center"/>
                </w:tcPr>
                <w:p w14:paraId="0C4C483F">
                  <w:pPr>
                    <w:pStyle w:val="2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outlineLvl w:val="9"/>
                    <w:rPr>
                      <w:rFonts w:hint="eastAsia" w:ascii="Times New Roman" w:hAnsi="Times New Roman"/>
                      <w:b w:val="0"/>
                      <w:bCs w:val="0"/>
                      <w:color w:val="FF0000"/>
                      <w:sz w:val="21"/>
                      <w:szCs w:val="21"/>
                      <w:highlight w:val="none"/>
                      <w:lang w:val="en-US" w:eastAsia="zh-CN"/>
                    </w:rPr>
                  </w:pPr>
                </w:p>
              </w:tc>
            </w:tr>
          </w:tbl>
          <w:p w14:paraId="60553EBC">
            <w:pPr>
              <w:ind w:firstLine="480" w:firstLineChars="200"/>
              <w:rPr>
                <w:rFonts w:hint="eastAsia"/>
                <w:color w:val="000000" w:themeColor="text1"/>
                <w:sz w:val="24"/>
                <w:szCs w:val="24"/>
                <w:lang w:val="en-US" w:eastAsia="zh-CN"/>
                <w14:textFill>
                  <w14:solidFill>
                    <w14:schemeClr w14:val="tx1"/>
                  </w14:solidFill>
                </w14:textFill>
              </w:rPr>
            </w:pPr>
          </w:p>
        </w:tc>
      </w:tr>
      <w:tr w14:paraId="0EE32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0" w:type="pct"/>
            <w:vAlign w:val="center"/>
          </w:tcPr>
          <w:p w14:paraId="52BA29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color w:val="000000"/>
                <w:vertAlign w:val="baseline"/>
              </w:rPr>
            </w:pPr>
            <w:r>
              <w:rPr>
                <w:b w:val="0"/>
                <w:bCs/>
                <w:color w:val="000000"/>
                <w:sz w:val="24"/>
                <w:szCs w:val="24"/>
              </w:rPr>
              <w:t>与项目有关的原有环境污染问题</w:t>
            </w:r>
          </w:p>
        </w:tc>
        <w:tc>
          <w:tcPr>
            <w:tcW w:w="4609" w:type="pct"/>
            <w:vAlign w:val="top"/>
          </w:tcPr>
          <w:p w14:paraId="2CC7E575">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w:t>
            </w:r>
            <w:r>
              <w:rPr>
                <w:rFonts w:hint="eastAsia"/>
                <w:color w:val="000000" w:themeColor="text1"/>
                <w:highlight w:val="none"/>
                <w14:textFill>
                  <w14:solidFill>
                    <w14:schemeClr w14:val="tx1"/>
                  </w14:solidFill>
                </w14:textFill>
              </w:rPr>
              <w:t>租赁</w:t>
            </w:r>
            <w:r>
              <w:rPr>
                <w:rFonts w:hint="eastAsia"/>
                <w:color w:val="000000" w:themeColor="text1"/>
                <w:highlight w:val="none"/>
                <w:lang w:val="en-US" w:eastAsia="zh-CN"/>
                <w14:textFill>
                  <w14:solidFill>
                    <w14:schemeClr w14:val="tx1"/>
                  </w14:solidFill>
                </w14:textFill>
              </w:rPr>
              <w:t>淮南市潘城建设有限责任公司</w:t>
            </w:r>
            <w:r>
              <w:rPr>
                <w:rFonts w:hint="eastAsia"/>
                <w:color w:val="000000" w:themeColor="text1"/>
                <w:highlight w:val="none"/>
                <w14:textFill>
                  <w14:solidFill>
                    <w14:schemeClr w14:val="tx1"/>
                  </w14:solidFill>
                </w14:textFill>
              </w:rPr>
              <w:t>已建成</w:t>
            </w:r>
            <w:r>
              <w:rPr>
                <w:rFonts w:hint="eastAsia"/>
                <w:color w:val="000000" w:themeColor="text1"/>
                <w:highlight w:val="none"/>
                <w:lang w:eastAsia="zh-CN"/>
                <w14:textFill>
                  <w14:solidFill>
                    <w14:schemeClr w14:val="tx1"/>
                  </w14:solidFill>
                </w14:textFill>
              </w:rPr>
              <w:t>的</w:t>
            </w:r>
            <w:r>
              <w:rPr>
                <w:rFonts w:hint="eastAsia"/>
                <w:color w:val="000000" w:themeColor="text1"/>
                <w:highlight w:val="none"/>
                <w:lang w:val="en-US" w:eastAsia="zh-CN"/>
                <w14:textFill>
                  <w14:solidFill>
                    <w14:schemeClr w14:val="tx1"/>
                  </w14:solidFill>
                </w14:textFill>
              </w:rPr>
              <w:t>标准化</w:t>
            </w:r>
            <w:r>
              <w:rPr>
                <w:rFonts w:hint="eastAsia"/>
                <w:color w:val="000000" w:themeColor="text1"/>
                <w:highlight w:val="none"/>
                <w14:textFill>
                  <w14:solidFill>
                    <w14:schemeClr w14:val="tx1"/>
                  </w14:solidFill>
                </w14:textFill>
              </w:rPr>
              <w:t>厂房</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租赁之前为</w:t>
            </w:r>
            <w:r>
              <w:rPr>
                <w:rFonts w:hint="eastAsia"/>
                <w:color w:val="000000" w:themeColor="text1"/>
                <w14:textFill>
                  <w14:solidFill>
                    <w14:schemeClr w14:val="tx1"/>
                  </w14:solidFill>
                </w14:textFill>
              </w:rPr>
              <w:t>空置</w:t>
            </w:r>
            <w:r>
              <w:rPr>
                <w:rFonts w:hint="eastAsia"/>
                <w:color w:val="000000" w:themeColor="text1"/>
                <w:lang w:val="en-US" w:eastAsia="zh-CN"/>
                <w14:textFill>
                  <w14:solidFill>
                    <w14:schemeClr w14:val="tx1"/>
                  </w14:solidFill>
                </w14:textFill>
              </w:rPr>
              <w:t>状态</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因此无</w:t>
            </w:r>
            <w:r>
              <w:rPr>
                <w:b w:val="0"/>
                <w:bCs/>
                <w:color w:val="000000" w:themeColor="text1"/>
                <w:sz w:val="24"/>
                <w:szCs w:val="24"/>
                <w14:textFill>
                  <w14:solidFill>
                    <w14:schemeClr w14:val="tx1"/>
                  </w14:solidFill>
                </w14:textFill>
              </w:rPr>
              <w:t>原有环境污染问题</w:t>
            </w:r>
            <w:r>
              <w:rPr>
                <w:rFonts w:hint="eastAsia"/>
                <w:b w:val="0"/>
                <w:bCs/>
                <w:color w:val="000000" w:themeColor="text1"/>
                <w:sz w:val="24"/>
                <w:szCs w:val="24"/>
                <w:lang w:eastAsia="zh-CN"/>
                <w14:textFill>
                  <w14:solidFill>
                    <w14:schemeClr w14:val="tx1"/>
                  </w14:solidFill>
                </w14:textFill>
              </w:rPr>
              <w:t>。</w:t>
            </w:r>
          </w:p>
          <w:p w14:paraId="131FD3C2">
            <w:pPr>
              <w:pStyle w:val="12"/>
              <w:ind w:right="113" w:rightChars="0"/>
              <w:rPr>
                <w:rFonts w:hint="eastAsia" w:ascii="Times New Roman" w:hAnsi="Times New Roman" w:eastAsia="宋体" w:cs="Times New Roman"/>
                <w:kern w:val="0"/>
                <w:sz w:val="18"/>
                <w:szCs w:val="20"/>
                <w:lang w:val="en-US" w:eastAsia="zh-CN" w:bidi="ar-SA"/>
              </w:rPr>
            </w:pPr>
          </w:p>
        </w:tc>
      </w:tr>
    </w:tbl>
    <w:p w14:paraId="4A7734B6">
      <w:pPr>
        <w:rPr>
          <w:rFonts w:hint="eastAsia"/>
          <w:color w:val="000000"/>
        </w:rPr>
        <w:sectPr>
          <w:footerReference r:id="rId9" w:type="default"/>
          <w:pgSz w:w="11906" w:h="16838"/>
          <w:pgMar w:top="1531" w:right="1531" w:bottom="1531" w:left="1531" w:header="851" w:footer="851" w:gutter="0"/>
          <w:pgBorders>
            <w:top w:val="none" w:sz="0" w:space="0"/>
            <w:left w:val="none" w:sz="0" w:space="0"/>
            <w:bottom w:val="none" w:sz="0" w:space="0"/>
            <w:right w:val="none" w:sz="0" w:space="0"/>
          </w:pgBorders>
          <w:cols w:space="720" w:num="1"/>
          <w:docGrid w:linePitch="312" w:charSpace="0"/>
        </w:sectPr>
      </w:pPr>
    </w:p>
    <w:p w14:paraId="05E4C2D0">
      <w:pPr>
        <w:pStyle w:val="2"/>
        <w:spacing w:line="240" w:lineRule="auto"/>
        <w:rPr>
          <w:color w:val="000000"/>
        </w:rPr>
      </w:pPr>
      <w:r>
        <w:rPr>
          <w:rFonts w:hint="eastAsia"/>
          <w:color w:val="000000"/>
        </w:rPr>
        <w:t>三、区域环境质量现状、环境保护目标及评价标准</w:t>
      </w: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8351"/>
      </w:tblGrid>
      <w:tr w14:paraId="2A776A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2" w:type="pct"/>
            <w:noWrap w:val="0"/>
            <w:vAlign w:val="center"/>
          </w:tcPr>
          <w:p w14:paraId="734D2308">
            <w:pPr>
              <w:pStyle w:val="61"/>
              <w:ind w:firstLine="0"/>
              <w:rPr>
                <w:rFonts w:hint="eastAsia"/>
                <w:b w:val="0"/>
                <w:bCs/>
                <w:color w:val="000000"/>
                <w:sz w:val="24"/>
                <w:szCs w:val="24"/>
              </w:rPr>
            </w:pPr>
            <w:r>
              <w:rPr>
                <w:rFonts w:hint="eastAsia"/>
                <w:b w:val="0"/>
                <w:bCs/>
                <w:color w:val="000000"/>
                <w:sz w:val="24"/>
                <w:szCs w:val="24"/>
              </w:rPr>
              <w:t>区域</w:t>
            </w:r>
          </w:p>
          <w:p w14:paraId="13A049B9">
            <w:pPr>
              <w:pStyle w:val="61"/>
              <w:ind w:firstLine="0"/>
              <w:rPr>
                <w:rFonts w:hint="eastAsia"/>
                <w:b w:val="0"/>
                <w:bCs/>
                <w:color w:val="000000"/>
                <w:sz w:val="24"/>
                <w:szCs w:val="24"/>
              </w:rPr>
            </w:pPr>
            <w:r>
              <w:rPr>
                <w:rFonts w:hint="eastAsia"/>
                <w:b w:val="0"/>
                <w:bCs/>
                <w:color w:val="000000"/>
                <w:sz w:val="24"/>
                <w:szCs w:val="24"/>
              </w:rPr>
              <w:t>环境</w:t>
            </w:r>
          </w:p>
          <w:p w14:paraId="4516ED12">
            <w:pPr>
              <w:pStyle w:val="61"/>
              <w:ind w:firstLine="0"/>
              <w:rPr>
                <w:rFonts w:hint="eastAsia"/>
                <w:b w:val="0"/>
                <w:bCs/>
                <w:color w:val="000000"/>
                <w:sz w:val="24"/>
                <w:szCs w:val="24"/>
              </w:rPr>
            </w:pPr>
            <w:r>
              <w:rPr>
                <w:rFonts w:hint="eastAsia"/>
                <w:b w:val="0"/>
                <w:bCs/>
                <w:color w:val="000000"/>
                <w:sz w:val="24"/>
                <w:szCs w:val="24"/>
              </w:rPr>
              <w:t>质量</w:t>
            </w:r>
          </w:p>
          <w:p w14:paraId="692C6351">
            <w:pPr>
              <w:pStyle w:val="61"/>
              <w:ind w:firstLine="0"/>
              <w:rPr>
                <w:color w:val="000000"/>
              </w:rPr>
            </w:pPr>
            <w:r>
              <w:rPr>
                <w:rFonts w:hint="eastAsia"/>
                <w:b w:val="0"/>
                <w:bCs/>
                <w:color w:val="000000"/>
                <w:sz w:val="24"/>
                <w:szCs w:val="24"/>
              </w:rPr>
              <w:t>现状</w:t>
            </w:r>
          </w:p>
        </w:tc>
        <w:tc>
          <w:tcPr>
            <w:tcW w:w="4607" w:type="pct"/>
            <w:noWrap w:val="0"/>
            <w:vAlign w:val="top"/>
          </w:tcPr>
          <w:p w14:paraId="6A5CB811">
            <w:pPr>
              <w:ind w:firstLine="482" w:firstLineChars="200"/>
              <w:rPr>
                <w:rFonts w:hint="eastAsia"/>
                <w:b/>
                <w:bCs/>
                <w:color w:val="000000"/>
              </w:rPr>
            </w:pPr>
            <w:r>
              <w:rPr>
                <w:rFonts w:hint="eastAsia"/>
                <w:b/>
                <w:bCs/>
                <w:color w:val="000000"/>
              </w:rPr>
              <w:t>1、大气环境质量现状</w:t>
            </w:r>
          </w:p>
          <w:p w14:paraId="59BA4DC5">
            <w:pPr>
              <w:ind w:firstLine="480" w:firstLineChars="200"/>
              <w:rPr>
                <w:rFonts w:ascii="Times New Roman" w:hAnsi="Times New Roman" w:eastAsia="宋体"/>
                <w:color w:val="auto"/>
              </w:rPr>
            </w:pPr>
            <w:r>
              <w:rPr>
                <w:rFonts w:hint="eastAsia" w:ascii="Times New Roman" w:hAnsi="Times New Roman" w:eastAsia="宋体"/>
                <w:color w:val="auto"/>
              </w:rPr>
              <w:t>（1）</w:t>
            </w:r>
            <w:r>
              <w:rPr>
                <w:rFonts w:ascii="Times New Roman" w:hAnsi="Times New Roman" w:eastAsia="宋体"/>
                <w:color w:val="auto"/>
              </w:rPr>
              <w:t>基本污染物环境质量现状</w:t>
            </w:r>
          </w:p>
          <w:p w14:paraId="226E309B">
            <w:pPr>
              <w:widowControl/>
              <w:shd w:val="clear" w:color="auto" w:fill="FFFFFF"/>
              <w:ind w:firstLine="480" w:firstLineChars="200"/>
              <w:rPr>
                <w:rFonts w:ascii="Times New Roman" w:hAnsi="Times New Roman" w:eastAsia="宋体" w:cs="微软雅黑"/>
                <w:b/>
                <w:bCs/>
                <w:color w:val="auto"/>
                <w:sz w:val="36"/>
                <w:szCs w:val="36"/>
              </w:rPr>
            </w:pPr>
            <w:r>
              <w:rPr>
                <w:rFonts w:ascii="Times New Roman" w:hAnsi="Times New Roman" w:eastAsia="宋体"/>
                <w:color w:val="auto"/>
              </w:rPr>
              <w:t>根据《建设项目环境影响报告表编制技术指南》（污染影响类）（试行）相关规定：常规污染物引用与建设项目距离近的有效数据，包括近3年的规划环境影响评价的监测数据，国家、地方环境空气质量监测网数据或生态环境主管部门公开发布的质量数据等。本项目评价基准年为</w:t>
            </w:r>
            <w:r>
              <w:rPr>
                <w:rFonts w:hint="eastAsia" w:ascii="Times New Roman" w:hAnsi="Times New Roman" w:eastAsia="宋体"/>
                <w:color w:val="auto"/>
                <w:lang w:val="en-US" w:eastAsia="zh-CN"/>
              </w:rPr>
              <w:t>2024</w:t>
            </w:r>
            <w:r>
              <w:rPr>
                <w:rFonts w:ascii="Times New Roman" w:hAnsi="Times New Roman" w:eastAsia="宋体"/>
                <w:color w:val="auto"/>
              </w:rPr>
              <w:t>年。根据</w:t>
            </w:r>
            <w:r>
              <w:rPr>
                <w:rFonts w:hint="eastAsia" w:ascii="Times New Roman" w:hAnsi="Times New Roman" w:eastAsia="宋体"/>
                <w:color w:val="auto"/>
              </w:rPr>
              <w:t>《2024年淮南市生态环境质量状况公报》可知：</w:t>
            </w:r>
          </w:p>
          <w:p w14:paraId="288D64A5">
            <w:pPr>
              <w:widowControl/>
              <w:shd w:val="clear" w:color="auto" w:fill="FFFFFF"/>
              <w:ind w:firstLine="480" w:firstLineChars="200"/>
              <w:rPr>
                <w:rFonts w:ascii="Times New Roman" w:hAnsi="Times New Roman" w:eastAsia="宋体" w:cs="Times New Roman"/>
                <w:color w:val="auto"/>
              </w:rPr>
            </w:pPr>
            <w:r>
              <w:rPr>
                <w:rFonts w:hint="default" w:ascii="Times New Roman" w:hAnsi="Times New Roman" w:eastAsia="宋体" w:cs="Times New Roman"/>
                <w:color w:val="auto"/>
              </w:rPr>
              <w:t>2024</w:t>
            </w:r>
            <w:r>
              <w:rPr>
                <w:rFonts w:ascii="Times New Roman" w:hAnsi="Times New Roman" w:eastAsia="宋体" w:cs="Times New Roman"/>
                <w:color w:val="auto"/>
              </w:rPr>
              <w:t>年</w:t>
            </w:r>
            <w:r>
              <w:rPr>
                <w:rFonts w:hint="eastAsia" w:ascii="Times New Roman" w:hAnsi="Times New Roman" w:eastAsia="宋体" w:cs="Times New Roman"/>
                <w:color w:val="auto"/>
              </w:rPr>
              <w:t>，全市环境空气质量一级（优）</w:t>
            </w:r>
            <w:r>
              <w:rPr>
                <w:rFonts w:hint="default" w:ascii="Times New Roman" w:hAnsi="Times New Roman" w:eastAsia="宋体" w:cs="Times New Roman"/>
                <w:color w:val="auto"/>
              </w:rPr>
              <w:t>65</w:t>
            </w:r>
            <w:r>
              <w:rPr>
                <w:rFonts w:hint="eastAsia" w:ascii="Times New Roman" w:hAnsi="Times New Roman" w:eastAsia="宋体" w:cs="Times New Roman"/>
                <w:color w:val="auto"/>
              </w:rPr>
              <w:t>天，二级（良）</w:t>
            </w:r>
            <w:r>
              <w:rPr>
                <w:rFonts w:hint="default" w:ascii="Times New Roman" w:hAnsi="Times New Roman" w:eastAsia="宋体" w:cs="Times New Roman"/>
                <w:color w:val="auto"/>
              </w:rPr>
              <w:t>218</w:t>
            </w:r>
            <w:r>
              <w:rPr>
                <w:rFonts w:hint="eastAsia" w:ascii="Times New Roman" w:hAnsi="Times New Roman" w:eastAsia="宋体" w:cs="Times New Roman"/>
                <w:color w:val="auto"/>
              </w:rPr>
              <w:t>天，三级（轻度污染）</w:t>
            </w:r>
            <w:r>
              <w:rPr>
                <w:rFonts w:hint="default" w:ascii="Times New Roman" w:hAnsi="Times New Roman" w:eastAsia="宋体" w:cs="Times New Roman"/>
                <w:color w:val="auto"/>
              </w:rPr>
              <w:t>69</w:t>
            </w:r>
            <w:r>
              <w:rPr>
                <w:rFonts w:hint="eastAsia" w:ascii="Times New Roman" w:hAnsi="Times New Roman" w:eastAsia="宋体" w:cs="Times New Roman"/>
                <w:color w:val="auto"/>
              </w:rPr>
              <w:t>天，四级（中度污染）</w:t>
            </w:r>
            <w:r>
              <w:rPr>
                <w:rFonts w:hint="default" w:ascii="Times New Roman" w:hAnsi="Times New Roman" w:eastAsia="宋体" w:cs="Times New Roman"/>
                <w:color w:val="auto"/>
              </w:rPr>
              <w:t>13</w:t>
            </w:r>
            <w:r>
              <w:rPr>
                <w:rFonts w:hint="eastAsia" w:ascii="Times New Roman" w:hAnsi="Times New Roman" w:eastAsia="宋体" w:cs="Times New Roman"/>
                <w:color w:val="auto"/>
              </w:rPr>
              <w:t>天，五级（重度污染）</w:t>
            </w:r>
            <w:r>
              <w:rPr>
                <w:rFonts w:hint="default" w:ascii="Times New Roman" w:hAnsi="Times New Roman" w:eastAsia="宋体" w:cs="Times New Roman"/>
                <w:color w:val="auto"/>
              </w:rPr>
              <w:t>1</w:t>
            </w:r>
            <w:r>
              <w:rPr>
                <w:rFonts w:hint="eastAsia" w:ascii="Times New Roman" w:hAnsi="Times New Roman" w:eastAsia="宋体" w:cs="Times New Roman"/>
                <w:color w:val="auto"/>
              </w:rPr>
              <w:t>天；全市年度环境空气达标天数比例为</w:t>
            </w:r>
            <w:r>
              <w:rPr>
                <w:rFonts w:hint="default" w:ascii="Times New Roman" w:hAnsi="Times New Roman" w:eastAsia="宋体" w:cs="Times New Roman"/>
                <w:color w:val="auto"/>
              </w:rPr>
              <w:t>77.3%</w:t>
            </w:r>
            <w:r>
              <w:rPr>
                <w:rFonts w:hint="eastAsia" w:ascii="Times New Roman" w:hAnsi="Times New Roman" w:eastAsia="宋体" w:cs="Times New Roman"/>
                <w:color w:val="auto"/>
              </w:rPr>
              <w:t>，与上年相比下降了</w:t>
            </w:r>
            <w:r>
              <w:rPr>
                <w:rFonts w:hint="default" w:ascii="Times New Roman" w:hAnsi="Times New Roman" w:eastAsia="宋体" w:cs="Times New Roman"/>
                <w:color w:val="auto"/>
              </w:rPr>
              <w:t>3.2</w:t>
            </w:r>
            <w:r>
              <w:rPr>
                <w:rFonts w:hint="eastAsia" w:ascii="Times New Roman" w:hAnsi="Times New Roman" w:eastAsia="宋体" w:cs="Times New Roman"/>
                <w:color w:val="auto"/>
              </w:rPr>
              <w:t>个百分点；全市环境空气综合指数为</w:t>
            </w:r>
            <w:r>
              <w:rPr>
                <w:rFonts w:hint="default" w:ascii="Times New Roman" w:hAnsi="Times New Roman" w:eastAsia="宋体" w:cs="Times New Roman"/>
                <w:color w:val="auto"/>
              </w:rPr>
              <w:t>3.87</w:t>
            </w:r>
            <w:r>
              <w:rPr>
                <w:rFonts w:hint="eastAsia" w:ascii="Times New Roman" w:hAnsi="Times New Roman" w:eastAsia="宋体" w:cs="Times New Roman"/>
                <w:color w:val="auto"/>
              </w:rPr>
              <w:t>，首要污染物为细颗粒物。</w:t>
            </w:r>
          </w:p>
          <w:p w14:paraId="05D3B7DC">
            <w:pPr>
              <w:widowControl/>
              <w:shd w:val="clear" w:color="auto" w:fill="FFFFFF"/>
              <w:ind w:firstLine="480" w:firstLineChars="200"/>
              <w:rPr>
                <w:rFonts w:hint="default" w:ascii="Times New Roman" w:hAnsi="Times New Roman" w:eastAsia="宋体" w:cs="Times New Roman"/>
                <w:color w:val="auto"/>
              </w:rPr>
            </w:pPr>
            <w:r>
              <w:rPr>
                <w:rFonts w:hint="eastAsia" w:ascii="Times New Roman" w:hAnsi="Times New Roman" w:eastAsia="宋体" w:cs="Times New Roman"/>
                <w:color w:val="auto"/>
              </w:rPr>
              <w:t>细颗粒物（</w:t>
            </w: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2.5</w:t>
            </w:r>
            <w:r>
              <w:rPr>
                <w:rFonts w:hint="eastAsia" w:ascii="Times New Roman" w:hAnsi="Times New Roman" w:eastAsia="宋体" w:cs="Times New Roman"/>
                <w:color w:val="auto"/>
              </w:rPr>
              <w:t>）日均浓度范围为</w:t>
            </w:r>
            <w:r>
              <w:rPr>
                <w:rFonts w:hint="default" w:ascii="Times New Roman" w:hAnsi="Times New Roman" w:eastAsia="宋体" w:cs="Times New Roman"/>
                <w:color w:val="auto"/>
              </w:rPr>
              <w:t>7</w:t>
            </w:r>
            <w:r>
              <w:rPr>
                <w:rFonts w:hint="eastAsia" w:ascii="Times New Roman" w:hAnsi="Times New Roman" w:eastAsia="宋体" w:cs="Times New Roman"/>
                <w:color w:val="auto"/>
              </w:rPr>
              <w:t>～</w:t>
            </w:r>
            <w:r>
              <w:rPr>
                <w:rFonts w:hint="default" w:ascii="Times New Roman" w:hAnsi="Times New Roman" w:eastAsia="宋体" w:cs="Times New Roman"/>
                <w:color w:val="auto"/>
              </w:rPr>
              <w:t>156</w:t>
            </w:r>
            <w:r>
              <w:rPr>
                <w:rFonts w:hint="eastAsia" w:ascii="Times New Roman" w:hAnsi="Times New Roman" w:eastAsia="宋体" w:cs="Times New Roman"/>
                <w:color w:val="auto"/>
              </w:rPr>
              <w:t>微克</w:t>
            </w:r>
            <w:r>
              <w:rPr>
                <w:rFonts w:hint="default" w:ascii="Times New Roman" w:hAnsi="Times New Roman" w:eastAsia="宋体" w:cs="Times New Roman"/>
                <w:color w:val="auto"/>
              </w:rPr>
              <w:t>/</w:t>
            </w:r>
            <w:r>
              <w:rPr>
                <w:rFonts w:hint="eastAsia" w:ascii="Times New Roman" w:hAnsi="Times New Roman" w:eastAsia="宋体" w:cs="Times New Roman"/>
                <w:color w:val="auto"/>
              </w:rPr>
              <w:t>立方米，日均值达标率为</w:t>
            </w:r>
            <w:r>
              <w:rPr>
                <w:rFonts w:hint="default" w:ascii="Times New Roman" w:hAnsi="Times New Roman" w:eastAsia="宋体" w:cs="Times New Roman"/>
                <w:color w:val="auto"/>
              </w:rPr>
              <w:t>87.6%</w:t>
            </w:r>
            <w:r>
              <w:rPr>
                <w:rFonts w:hint="eastAsia" w:ascii="Times New Roman" w:hAnsi="Times New Roman" w:eastAsia="宋体" w:cs="Times New Roman"/>
                <w:color w:val="auto"/>
              </w:rPr>
              <w:t>。年均值为</w:t>
            </w:r>
            <w:r>
              <w:rPr>
                <w:rFonts w:hint="default" w:ascii="Times New Roman" w:hAnsi="Times New Roman" w:eastAsia="宋体" w:cs="Times New Roman"/>
                <w:color w:val="auto"/>
              </w:rPr>
              <w:t>40.0</w:t>
            </w:r>
            <w:r>
              <w:rPr>
                <w:rFonts w:hint="eastAsia" w:ascii="Times New Roman" w:hAnsi="Times New Roman" w:eastAsia="宋体" w:cs="Times New Roman"/>
                <w:color w:val="auto"/>
              </w:rPr>
              <w:t>微克</w:t>
            </w:r>
            <w:r>
              <w:rPr>
                <w:rFonts w:hint="default" w:ascii="Times New Roman" w:hAnsi="Times New Roman" w:eastAsia="宋体" w:cs="Times New Roman"/>
                <w:color w:val="auto"/>
              </w:rPr>
              <w:t>/</w:t>
            </w:r>
            <w:r>
              <w:rPr>
                <w:rFonts w:hint="eastAsia" w:ascii="Times New Roman" w:hAnsi="Times New Roman" w:eastAsia="宋体" w:cs="Times New Roman"/>
                <w:color w:val="auto"/>
              </w:rPr>
              <w:t>立方米，与上年相比上升了</w:t>
            </w:r>
            <w:r>
              <w:rPr>
                <w:rFonts w:hint="default" w:ascii="Times New Roman" w:hAnsi="Times New Roman" w:eastAsia="宋体" w:cs="Times New Roman"/>
                <w:color w:val="auto"/>
              </w:rPr>
              <w:t>3.4</w:t>
            </w:r>
            <w:r>
              <w:rPr>
                <w:rFonts w:hint="eastAsia" w:ascii="Times New Roman" w:hAnsi="Times New Roman" w:eastAsia="宋体" w:cs="Times New Roman"/>
                <w:color w:val="auto"/>
              </w:rPr>
              <w:t>个百分点。</w:t>
            </w:r>
          </w:p>
          <w:p w14:paraId="62B6966E">
            <w:pPr>
              <w:widowControl/>
              <w:shd w:val="clear" w:color="auto" w:fill="FFFFFF"/>
              <w:ind w:firstLine="480" w:firstLineChars="200"/>
              <w:rPr>
                <w:rFonts w:hint="default" w:ascii="Times New Roman" w:hAnsi="Times New Roman" w:eastAsia="宋体" w:cs="Times New Roman"/>
                <w:color w:val="auto"/>
              </w:rPr>
            </w:pPr>
            <w:r>
              <w:rPr>
                <w:rFonts w:hint="eastAsia" w:ascii="Times New Roman" w:hAnsi="Times New Roman" w:eastAsia="宋体" w:cs="Times New Roman"/>
                <w:color w:val="auto"/>
              </w:rPr>
              <w:t>可吸入颗粒物（</w:t>
            </w: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10</w:t>
            </w:r>
            <w:r>
              <w:rPr>
                <w:rFonts w:hint="eastAsia" w:ascii="Times New Roman" w:hAnsi="Times New Roman" w:eastAsia="宋体" w:cs="Times New Roman"/>
                <w:color w:val="auto"/>
              </w:rPr>
              <w:t>）日均浓度范围为</w:t>
            </w:r>
            <w:r>
              <w:rPr>
                <w:rFonts w:hint="default" w:ascii="Times New Roman" w:hAnsi="Times New Roman" w:eastAsia="宋体" w:cs="Times New Roman"/>
                <w:color w:val="auto"/>
              </w:rPr>
              <w:t>10</w:t>
            </w:r>
            <w:r>
              <w:rPr>
                <w:rFonts w:hint="eastAsia" w:ascii="Times New Roman" w:hAnsi="Times New Roman" w:eastAsia="宋体" w:cs="Times New Roman"/>
                <w:color w:val="auto"/>
              </w:rPr>
              <w:t>～</w:t>
            </w:r>
            <w:r>
              <w:rPr>
                <w:rFonts w:hint="default" w:ascii="Times New Roman" w:hAnsi="Times New Roman" w:eastAsia="宋体" w:cs="Times New Roman"/>
                <w:color w:val="auto"/>
              </w:rPr>
              <w:t>262</w:t>
            </w:r>
            <w:r>
              <w:rPr>
                <w:rFonts w:hint="eastAsia" w:ascii="Times New Roman" w:hAnsi="Times New Roman" w:eastAsia="宋体" w:cs="Times New Roman"/>
                <w:color w:val="auto"/>
              </w:rPr>
              <w:t>微克</w:t>
            </w:r>
            <w:r>
              <w:rPr>
                <w:rFonts w:hint="default" w:ascii="Times New Roman" w:hAnsi="Times New Roman" w:eastAsia="宋体" w:cs="Times New Roman"/>
                <w:color w:val="auto"/>
              </w:rPr>
              <w:t>/</w:t>
            </w:r>
            <w:r>
              <w:rPr>
                <w:rFonts w:hint="eastAsia" w:ascii="Times New Roman" w:hAnsi="Times New Roman" w:eastAsia="宋体" w:cs="Times New Roman"/>
                <w:color w:val="auto"/>
              </w:rPr>
              <w:t>立方米，日均值达标率为</w:t>
            </w:r>
            <w:r>
              <w:rPr>
                <w:rFonts w:hint="default" w:ascii="Times New Roman" w:hAnsi="Times New Roman" w:eastAsia="宋体" w:cs="Times New Roman"/>
                <w:color w:val="auto"/>
              </w:rPr>
              <w:t>96.0%</w:t>
            </w:r>
            <w:r>
              <w:rPr>
                <w:rFonts w:hint="eastAsia" w:ascii="Times New Roman" w:hAnsi="Times New Roman" w:eastAsia="宋体" w:cs="Times New Roman"/>
                <w:color w:val="auto"/>
              </w:rPr>
              <w:t>。年均值为</w:t>
            </w:r>
            <w:r>
              <w:rPr>
                <w:rFonts w:hint="default" w:ascii="Times New Roman" w:hAnsi="Times New Roman" w:eastAsia="宋体" w:cs="Times New Roman"/>
                <w:color w:val="auto"/>
              </w:rPr>
              <w:t>65.0</w:t>
            </w:r>
            <w:r>
              <w:rPr>
                <w:rFonts w:hint="eastAsia" w:ascii="Times New Roman" w:hAnsi="Times New Roman" w:eastAsia="宋体" w:cs="Times New Roman"/>
                <w:color w:val="auto"/>
              </w:rPr>
              <w:t>微克</w:t>
            </w:r>
            <w:r>
              <w:rPr>
                <w:rFonts w:hint="default" w:ascii="Times New Roman" w:hAnsi="Times New Roman" w:eastAsia="宋体" w:cs="Times New Roman"/>
                <w:color w:val="auto"/>
              </w:rPr>
              <w:t>/</w:t>
            </w:r>
            <w:r>
              <w:rPr>
                <w:rFonts w:hint="eastAsia" w:ascii="Times New Roman" w:hAnsi="Times New Roman" w:eastAsia="宋体" w:cs="Times New Roman"/>
                <w:color w:val="auto"/>
              </w:rPr>
              <w:t>立方米，与上年相比下降了</w:t>
            </w:r>
            <w:r>
              <w:rPr>
                <w:rFonts w:hint="default" w:ascii="Times New Roman" w:hAnsi="Times New Roman" w:eastAsia="宋体" w:cs="Times New Roman"/>
                <w:color w:val="auto"/>
              </w:rPr>
              <w:t>1.4</w:t>
            </w:r>
            <w:r>
              <w:rPr>
                <w:rFonts w:hint="eastAsia" w:ascii="Times New Roman" w:hAnsi="Times New Roman" w:eastAsia="宋体" w:cs="Times New Roman"/>
                <w:color w:val="auto"/>
              </w:rPr>
              <w:t>个百分点。</w:t>
            </w:r>
          </w:p>
          <w:p w14:paraId="657DE585">
            <w:pPr>
              <w:widowControl/>
              <w:shd w:val="clear" w:color="auto" w:fill="FFFFFF"/>
              <w:ind w:firstLine="480" w:firstLineChars="200"/>
              <w:rPr>
                <w:rFonts w:hint="default" w:ascii="Times New Roman" w:hAnsi="Times New Roman" w:eastAsia="宋体" w:cs="Times New Roman"/>
                <w:color w:val="auto"/>
              </w:rPr>
            </w:pPr>
            <w:r>
              <w:rPr>
                <w:rFonts w:hint="eastAsia" w:ascii="Times New Roman" w:hAnsi="Times New Roman" w:eastAsia="宋体" w:cs="Times New Roman"/>
                <w:color w:val="auto"/>
              </w:rPr>
              <w:t>二氧化氮（</w:t>
            </w:r>
            <w:r>
              <w:rPr>
                <w:rFonts w:hint="default" w:ascii="Times New Roman" w:hAnsi="Times New Roman" w:eastAsia="宋体" w:cs="Times New Roman"/>
                <w:color w:val="auto"/>
              </w:rPr>
              <w:t>NO</w:t>
            </w:r>
            <w:r>
              <w:rPr>
                <w:rFonts w:hint="default" w:ascii="Times New Roman" w:hAnsi="Times New Roman" w:eastAsia="宋体" w:cs="Times New Roman"/>
                <w:color w:val="auto"/>
                <w:vertAlign w:val="subscript"/>
              </w:rPr>
              <w:t>2</w:t>
            </w:r>
            <w:r>
              <w:rPr>
                <w:rFonts w:hint="eastAsia" w:ascii="Times New Roman" w:hAnsi="Times New Roman" w:eastAsia="宋体" w:cs="Times New Roman"/>
                <w:color w:val="auto"/>
              </w:rPr>
              <w:t>）日均浓度范围为</w:t>
            </w:r>
            <w:r>
              <w:rPr>
                <w:rFonts w:hint="default" w:ascii="Times New Roman" w:hAnsi="Times New Roman" w:eastAsia="宋体" w:cs="Times New Roman"/>
                <w:color w:val="auto"/>
              </w:rPr>
              <w:t>5</w:t>
            </w:r>
            <w:r>
              <w:rPr>
                <w:rFonts w:hint="eastAsia" w:ascii="Times New Roman" w:hAnsi="Times New Roman" w:eastAsia="宋体" w:cs="Times New Roman"/>
                <w:color w:val="auto"/>
              </w:rPr>
              <w:t>～</w:t>
            </w:r>
            <w:r>
              <w:rPr>
                <w:rFonts w:hint="default" w:ascii="Times New Roman" w:hAnsi="Times New Roman" w:eastAsia="宋体" w:cs="Times New Roman"/>
                <w:color w:val="auto"/>
              </w:rPr>
              <w:t>47</w:t>
            </w:r>
            <w:r>
              <w:rPr>
                <w:rFonts w:hint="eastAsia" w:ascii="Times New Roman" w:hAnsi="Times New Roman" w:eastAsia="宋体" w:cs="Times New Roman"/>
                <w:color w:val="auto"/>
              </w:rPr>
              <w:t>微克</w:t>
            </w:r>
            <w:r>
              <w:rPr>
                <w:rFonts w:hint="default" w:ascii="Times New Roman" w:hAnsi="Times New Roman" w:eastAsia="宋体" w:cs="Times New Roman"/>
                <w:color w:val="auto"/>
              </w:rPr>
              <w:t>/</w:t>
            </w:r>
            <w:r>
              <w:rPr>
                <w:rFonts w:hint="eastAsia" w:ascii="Times New Roman" w:hAnsi="Times New Roman" w:eastAsia="宋体" w:cs="Times New Roman"/>
                <w:color w:val="auto"/>
              </w:rPr>
              <w:t>立方米，日均值达标率为</w:t>
            </w:r>
            <w:r>
              <w:rPr>
                <w:rFonts w:hint="default" w:ascii="Times New Roman" w:hAnsi="Times New Roman" w:eastAsia="宋体" w:cs="Times New Roman"/>
                <w:color w:val="auto"/>
              </w:rPr>
              <w:t>100%</w:t>
            </w:r>
            <w:r>
              <w:rPr>
                <w:rFonts w:hint="eastAsia" w:ascii="Times New Roman" w:hAnsi="Times New Roman" w:eastAsia="宋体" w:cs="Times New Roman"/>
                <w:color w:val="auto"/>
              </w:rPr>
              <w:t>。年均浓度为</w:t>
            </w:r>
            <w:r>
              <w:rPr>
                <w:rFonts w:hint="default" w:ascii="Times New Roman" w:hAnsi="Times New Roman" w:eastAsia="宋体" w:cs="Times New Roman"/>
                <w:color w:val="auto"/>
              </w:rPr>
              <w:t>19</w:t>
            </w:r>
            <w:r>
              <w:rPr>
                <w:rFonts w:hint="eastAsia" w:ascii="Times New Roman" w:hAnsi="Times New Roman" w:eastAsia="宋体" w:cs="Times New Roman"/>
                <w:color w:val="auto"/>
              </w:rPr>
              <w:t>微克</w:t>
            </w:r>
            <w:r>
              <w:rPr>
                <w:rFonts w:hint="default" w:ascii="Times New Roman" w:hAnsi="Times New Roman" w:eastAsia="宋体" w:cs="Times New Roman"/>
                <w:color w:val="auto"/>
              </w:rPr>
              <w:t>/</w:t>
            </w:r>
            <w:r>
              <w:rPr>
                <w:rFonts w:hint="eastAsia" w:ascii="Times New Roman" w:hAnsi="Times New Roman" w:eastAsia="宋体" w:cs="Times New Roman"/>
                <w:color w:val="auto"/>
              </w:rPr>
              <w:t>立方米，与上年相比下降了</w:t>
            </w:r>
            <w:r>
              <w:rPr>
                <w:rFonts w:hint="default" w:ascii="Times New Roman" w:hAnsi="Times New Roman" w:eastAsia="宋体" w:cs="Times New Roman"/>
                <w:color w:val="auto"/>
              </w:rPr>
              <w:t>9.5</w:t>
            </w:r>
            <w:r>
              <w:rPr>
                <w:rFonts w:hint="eastAsia" w:ascii="Times New Roman" w:hAnsi="Times New Roman" w:eastAsia="宋体" w:cs="Times New Roman"/>
                <w:color w:val="auto"/>
              </w:rPr>
              <w:t>个百分点。</w:t>
            </w:r>
          </w:p>
          <w:p w14:paraId="213B47F8">
            <w:pPr>
              <w:widowControl/>
              <w:shd w:val="clear" w:color="auto" w:fill="FFFFFF"/>
              <w:ind w:firstLine="480" w:firstLineChars="200"/>
              <w:rPr>
                <w:rFonts w:hint="default" w:ascii="Times New Roman" w:hAnsi="Times New Roman" w:eastAsia="宋体" w:cs="Times New Roman"/>
                <w:color w:val="auto"/>
              </w:rPr>
            </w:pPr>
            <w:r>
              <w:rPr>
                <w:rFonts w:hint="eastAsia" w:ascii="Times New Roman" w:hAnsi="Times New Roman" w:eastAsia="宋体" w:cs="Times New Roman"/>
                <w:color w:val="auto"/>
              </w:rPr>
              <w:t>二氧化硫（</w:t>
            </w:r>
            <w:r>
              <w:rPr>
                <w:rFonts w:hint="default" w:ascii="Times New Roman" w:hAnsi="Times New Roman" w:eastAsia="宋体" w:cs="Times New Roman"/>
                <w:color w:val="auto"/>
              </w:rPr>
              <w:t>SO</w:t>
            </w:r>
            <w:r>
              <w:rPr>
                <w:rFonts w:hint="default" w:ascii="Times New Roman" w:hAnsi="Times New Roman" w:eastAsia="宋体" w:cs="Times New Roman"/>
                <w:color w:val="auto"/>
                <w:vertAlign w:val="subscript"/>
              </w:rPr>
              <w:t>2</w:t>
            </w:r>
            <w:r>
              <w:rPr>
                <w:rFonts w:hint="eastAsia" w:ascii="Times New Roman" w:hAnsi="Times New Roman" w:eastAsia="宋体" w:cs="Times New Roman"/>
                <w:color w:val="auto"/>
              </w:rPr>
              <w:t>）日均浓度范围为</w:t>
            </w:r>
            <w:r>
              <w:rPr>
                <w:rFonts w:hint="default" w:ascii="Times New Roman" w:hAnsi="Times New Roman" w:eastAsia="宋体" w:cs="Times New Roman"/>
                <w:color w:val="auto"/>
              </w:rPr>
              <w:t>2</w:t>
            </w:r>
            <w:r>
              <w:rPr>
                <w:rFonts w:hint="eastAsia" w:ascii="Times New Roman" w:hAnsi="Times New Roman" w:eastAsia="宋体" w:cs="Times New Roman"/>
                <w:color w:val="auto"/>
              </w:rPr>
              <w:t>～</w:t>
            </w:r>
            <w:r>
              <w:rPr>
                <w:rFonts w:hint="default" w:ascii="Times New Roman" w:hAnsi="Times New Roman" w:eastAsia="宋体" w:cs="Times New Roman"/>
                <w:color w:val="auto"/>
              </w:rPr>
              <w:t>13</w:t>
            </w:r>
            <w:r>
              <w:rPr>
                <w:rFonts w:hint="eastAsia" w:ascii="Times New Roman" w:hAnsi="Times New Roman" w:eastAsia="宋体" w:cs="Times New Roman"/>
                <w:color w:val="auto"/>
              </w:rPr>
              <w:t>微克</w:t>
            </w:r>
            <w:r>
              <w:rPr>
                <w:rFonts w:hint="default" w:ascii="Times New Roman" w:hAnsi="Times New Roman" w:eastAsia="宋体" w:cs="Times New Roman"/>
                <w:color w:val="auto"/>
              </w:rPr>
              <w:t>/</w:t>
            </w:r>
            <w:r>
              <w:rPr>
                <w:rFonts w:hint="eastAsia" w:ascii="Times New Roman" w:hAnsi="Times New Roman" w:eastAsia="宋体" w:cs="Times New Roman"/>
                <w:color w:val="auto"/>
              </w:rPr>
              <w:t>立方米，日均值达标率为</w:t>
            </w:r>
            <w:r>
              <w:rPr>
                <w:rFonts w:hint="default" w:ascii="Times New Roman" w:hAnsi="Times New Roman" w:eastAsia="宋体" w:cs="Times New Roman"/>
                <w:color w:val="auto"/>
              </w:rPr>
              <w:t>100%</w:t>
            </w:r>
            <w:r>
              <w:rPr>
                <w:rFonts w:hint="eastAsia" w:ascii="Times New Roman" w:hAnsi="Times New Roman" w:eastAsia="宋体" w:cs="Times New Roman"/>
                <w:color w:val="auto"/>
              </w:rPr>
              <w:t>。年均浓度为</w:t>
            </w:r>
            <w:r>
              <w:rPr>
                <w:rFonts w:hint="default" w:ascii="Times New Roman" w:hAnsi="Times New Roman" w:eastAsia="宋体" w:cs="Times New Roman"/>
                <w:color w:val="auto"/>
              </w:rPr>
              <w:t>7</w:t>
            </w:r>
            <w:r>
              <w:rPr>
                <w:rFonts w:hint="eastAsia" w:ascii="Times New Roman" w:hAnsi="Times New Roman" w:eastAsia="宋体" w:cs="Times New Roman"/>
                <w:color w:val="auto"/>
              </w:rPr>
              <w:t>微克</w:t>
            </w:r>
            <w:r>
              <w:rPr>
                <w:rFonts w:hint="default" w:ascii="Times New Roman" w:hAnsi="Times New Roman" w:eastAsia="宋体" w:cs="Times New Roman"/>
                <w:color w:val="auto"/>
              </w:rPr>
              <w:t>/</w:t>
            </w:r>
            <w:r>
              <w:rPr>
                <w:rFonts w:hint="eastAsia" w:ascii="Times New Roman" w:hAnsi="Times New Roman" w:eastAsia="宋体" w:cs="Times New Roman"/>
                <w:color w:val="auto"/>
              </w:rPr>
              <w:t>立方米，与上年相比下降了</w:t>
            </w:r>
            <w:r>
              <w:rPr>
                <w:rFonts w:hint="default" w:ascii="Times New Roman" w:hAnsi="Times New Roman" w:eastAsia="宋体" w:cs="Times New Roman"/>
                <w:color w:val="auto"/>
              </w:rPr>
              <w:t>12.5</w:t>
            </w:r>
            <w:r>
              <w:rPr>
                <w:rFonts w:hint="eastAsia" w:ascii="Times New Roman" w:hAnsi="Times New Roman" w:eastAsia="宋体" w:cs="Times New Roman"/>
                <w:color w:val="auto"/>
              </w:rPr>
              <w:t>个百分点。</w:t>
            </w:r>
          </w:p>
          <w:p w14:paraId="34ED2FC6">
            <w:pPr>
              <w:widowControl/>
              <w:shd w:val="clear" w:color="auto" w:fill="FFFFFF"/>
              <w:ind w:firstLine="480" w:firstLineChars="200"/>
              <w:rPr>
                <w:rFonts w:hint="default" w:ascii="Times New Roman" w:hAnsi="Times New Roman" w:eastAsia="宋体" w:cs="Times New Roman"/>
                <w:color w:val="auto"/>
              </w:rPr>
            </w:pPr>
            <w:r>
              <w:rPr>
                <w:rFonts w:hint="eastAsia" w:ascii="Times New Roman" w:hAnsi="Times New Roman" w:eastAsia="宋体" w:cs="Times New Roman"/>
                <w:color w:val="auto"/>
              </w:rPr>
              <w:t>一氧化碳（</w:t>
            </w:r>
            <w:r>
              <w:rPr>
                <w:rFonts w:hint="default" w:ascii="Times New Roman" w:hAnsi="Times New Roman" w:eastAsia="宋体" w:cs="Times New Roman"/>
                <w:color w:val="auto"/>
              </w:rPr>
              <w:t>CO</w:t>
            </w:r>
            <w:r>
              <w:rPr>
                <w:rFonts w:hint="eastAsia" w:ascii="Times New Roman" w:hAnsi="Times New Roman" w:eastAsia="宋体" w:cs="Times New Roman"/>
                <w:color w:val="auto"/>
              </w:rPr>
              <w:t>）日均浓度范围为</w:t>
            </w:r>
            <w:r>
              <w:rPr>
                <w:rFonts w:hint="default" w:ascii="Times New Roman" w:hAnsi="Times New Roman" w:eastAsia="宋体" w:cs="Times New Roman"/>
                <w:color w:val="auto"/>
              </w:rPr>
              <w:t>0.2</w:t>
            </w:r>
            <w:r>
              <w:rPr>
                <w:rFonts w:hint="eastAsia" w:ascii="Times New Roman" w:hAnsi="Times New Roman" w:eastAsia="宋体" w:cs="Times New Roman"/>
                <w:color w:val="auto"/>
              </w:rPr>
              <w:t>～</w:t>
            </w:r>
            <w:r>
              <w:rPr>
                <w:rFonts w:hint="default" w:ascii="Times New Roman" w:hAnsi="Times New Roman" w:eastAsia="宋体" w:cs="Times New Roman"/>
                <w:color w:val="auto"/>
              </w:rPr>
              <w:t>1.1</w:t>
            </w:r>
            <w:r>
              <w:rPr>
                <w:rFonts w:hint="eastAsia" w:ascii="Times New Roman" w:hAnsi="Times New Roman" w:eastAsia="宋体" w:cs="Times New Roman"/>
                <w:color w:val="auto"/>
              </w:rPr>
              <w:t>毫克</w:t>
            </w:r>
            <w:r>
              <w:rPr>
                <w:rFonts w:hint="default" w:ascii="Times New Roman" w:hAnsi="Times New Roman" w:eastAsia="宋体" w:cs="Times New Roman"/>
                <w:color w:val="auto"/>
              </w:rPr>
              <w:t>/</w:t>
            </w:r>
            <w:r>
              <w:rPr>
                <w:rFonts w:hint="eastAsia" w:ascii="Times New Roman" w:hAnsi="Times New Roman" w:eastAsia="宋体" w:cs="Times New Roman"/>
                <w:color w:val="auto"/>
              </w:rPr>
              <w:t>立方米，日均值达标率为</w:t>
            </w:r>
            <w:r>
              <w:rPr>
                <w:rFonts w:hint="default" w:ascii="Times New Roman" w:hAnsi="Times New Roman" w:eastAsia="宋体" w:cs="Times New Roman"/>
                <w:color w:val="auto"/>
              </w:rPr>
              <w:t>100%</w:t>
            </w:r>
            <w:r>
              <w:rPr>
                <w:rFonts w:hint="eastAsia" w:ascii="Times New Roman" w:hAnsi="Times New Roman" w:eastAsia="宋体" w:cs="Times New Roman"/>
                <w:color w:val="auto"/>
              </w:rPr>
              <w:t>。日均值第</w:t>
            </w:r>
            <w:r>
              <w:rPr>
                <w:rFonts w:hint="default" w:ascii="Times New Roman" w:hAnsi="Times New Roman" w:eastAsia="宋体" w:cs="Times New Roman"/>
                <w:color w:val="auto"/>
              </w:rPr>
              <w:t>95</w:t>
            </w:r>
            <w:r>
              <w:rPr>
                <w:rFonts w:hint="eastAsia" w:ascii="Times New Roman" w:hAnsi="Times New Roman" w:eastAsia="宋体" w:cs="Times New Roman"/>
                <w:color w:val="auto"/>
              </w:rPr>
              <w:t>百分位数为</w:t>
            </w:r>
            <w:r>
              <w:rPr>
                <w:rFonts w:hint="default" w:ascii="Times New Roman" w:hAnsi="Times New Roman" w:eastAsia="宋体" w:cs="Times New Roman"/>
                <w:color w:val="auto"/>
              </w:rPr>
              <w:t>0.8</w:t>
            </w:r>
            <w:r>
              <w:rPr>
                <w:rFonts w:hint="eastAsia" w:ascii="Times New Roman" w:hAnsi="Times New Roman" w:eastAsia="宋体" w:cs="Times New Roman"/>
                <w:color w:val="auto"/>
              </w:rPr>
              <w:t>毫克</w:t>
            </w:r>
            <w:r>
              <w:rPr>
                <w:rFonts w:hint="default" w:ascii="Times New Roman" w:hAnsi="Times New Roman" w:eastAsia="宋体" w:cs="Times New Roman"/>
                <w:color w:val="auto"/>
              </w:rPr>
              <w:t>/</w:t>
            </w:r>
            <w:r>
              <w:rPr>
                <w:rFonts w:hint="eastAsia" w:ascii="Times New Roman" w:hAnsi="Times New Roman" w:eastAsia="宋体" w:cs="Times New Roman"/>
                <w:color w:val="auto"/>
              </w:rPr>
              <w:t>立方米，与上年相比上升了</w:t>
            </w:r>
            <w:r>
              <w:rPr>
                <w:rFonts w:hint="default" w:ascii="Times New Roman" w:hAnsi="Times New Roman" w:eastAsia="宋体" w:cs="Times New Roman"/>
                <w:color w:val="auto"/>
              </w:rPr>
              <w:t>14.3</w:t>
            </w:r>
            <w:r>
              <w:rPr>
                <w:rFonts w:hint="eastAsia" w:ascii="Times New Roman" w:hAnsi="Times New Roman" w:eastAsia="宋体" w:cs="Times New Roman"/>
                <w:color w:val="auto"/>
              </w:rPr>
              <w:t>个百分点。</w:t>
            </w:r>
          </w:p>
          <w:p w14:paraId="309E1539">
            <w:pPr>
              <w:widowControl/>
              <w:shd w:val="clear" w:color="auto" w:fill="FFFFFF"/>
              <w:ind w:firstLine="480" w:firstLineChars="200"/>
              <w:rPr>
                <w:rFonts w:hint="default" w:ascii="Times New Roman" w:hAnsi="Times New Roman" w:eastAsia="宋体"/>
                <w:b/>
                <w:bCs/>
                <w:color w:val="auto"/>
                <w:sz w:val="21"/>
                <w:szCs w:val="21"/>
              </w:rPr>
            </w:pPr>
            <w:r>
              <w:rPr>
                <w:rFonts w:hint="eastAsia" w:ascii="Times New Roman" w:hAnsi="Times New Roman" w:eastAsia="宋体" w:cs="Times New Roman"/>
                <w:color w:val="auto"/>
              </w:rPr>
              <w:t>臭氧日最大</w:t>
            </w:r>
            <w:r>
              <w:rPr>
                <w:rFonts w:hint="default" w:ascii="Times New Roman" w:hAnsi="Times New Roman" w:eastAsia="宋体" w:cs="Times New Roman"/>
                <w:color w:val="auto"/>
              </w:rPr>
              <w:t>8</w:t>
            </w:r>
            <w:r>
              <w:rPr>
                <w:rFonts w:hint="eastAsia" w:ascii="Times New Roman" w:hAnsi="Times New Roman" w:eastAsia="宋体" w:cs="Times New Roman"/>
                <w:color w:val="auto"/>
              </w:rPr>
              <w:t>小时（</w:t>
            </w:r>
            <w:r>
              <w:rPr>
                <w:rFonts w:hint="default" w:ascii="Times New Roman" w:hAnsi="Times New Roman" w:eastAsia="宋体" w:cs="Times New Roman"/>
                <w:color w:val="auto"/>
              </w:rPr>
              <w:t>O</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-8h</w:t>
            </w:r>
            <w:r>
              <w:rPr>
                <w:rFonts w:hint="eastAsia" w:ascii="Times New Roman" w:hAnsi="Times New Roman" w:eastAsia="宋体" w:cs="Times New Roman"/>
                <w:color w:val="auto"/>
              </w:rPr>
              <w:t>）滑动平均值范围为</w:t>
            </w:r>
            <w:r>
              <w:rPr>
                <w:rFonts w:hint="default" w:ascii="Times New Roman" w:hAnsi="Times New Roman" w:eastAsia="宋体" w:cs="Times New Roman"/>
                <w:color w:val="auto"/>
              </w:rPr>
              <w:t>16</w:t>
            </w:r>
            <w:r>
              <w:rPr>
                <w:rFonts w:hint="eastAsia" w:ascii="Times New Roman" w:hAnsi="Times New Roman" w:eastAsia="宋体" w:cs="Times New Roman"/>
                <w:color w:val="auto"/>
              </w:rPr>
              <w:t>～</w:t>
            </w:r>
            <w:r>
              <w:rPr>
                <w:rFonts w:hint="default" w:ascii="Times New Roman" w:hAnsi="Times New Roman" w:eastAsia="宋体" w:cs="Times New Roman"/>
                <w:color w:val="auto"/>
              </w:rPr>
              <w:t>227</w:t>
            </w:r>
            <w:r>
              <w:rPr>
                <w:rFonts w:hint="eastAsia" w:ascii="Times New Roman" w:hAnsi="Times New Roman" w:eastAsia="宋体" w:cs="Times New Roman"/>
                <w:color w:val="auto"/>
              </w:rPr>
              <w:t>微克</w:t>
            </w:r>
            <w:r>
              <w:rPr>
                <w:rFonts w:hint="default" w:ascii="Times New Roman" w:hAnsi="Times New Roman" w:eastAsia="宋体" w:cs="Times New Roman"/>
                <w:color w:val="auto"/>
              </w:rPr>
              <w:t>/</w:t>
            </w:r>
            <w:r>
              <w:rPr>
                <w:rFonts w:hint="eastAsia" w:ascii="Times New Roman" w:hAnsi="Times New Roman" w:eastAsia="宋体" w:cs="Times New Roman"/>
                <w:color w:val="auto"/>
              </w:rPr>
              <w:t>立方米，达标率为</w:t>
            </w:r>
            <w:r>
              <w:rPr>
                <w:rFonts w:hint="default" w:ascii="Times New Roman" w:hAnsi="Times New Roman" w:eastAsia="宋体" w:cs="Times New Roman"/>
                <w:color w:val="auto"/>
              </w:rPr>
              <w:t>90.4%</w:t>
            </w:r>
            <w:r>
              <w:rPr>
                <w:rFonts w:hint="eastAsia" w:ascii="Times New Roman" w:hAnsi="Times New Roman" w:eastAsia="宋体" w:cs="Times New Roman"/>
                <w:color w:val="auto"/>
              </w:rPr>
              <w:t>。日最大</w:t>
            </w:r>
            <w:r>
              <w:rPr>
                <w:rFonts w:hint="default" w:ascii="Times New Roman" w:hAnsi="Times New Roman" w:eastAsia="宋体" w:cs="Times New Roman"/>
                <w:color w:val="auto"/>
              </w:rPr>
              <w:t>8</w:t>
            </w:r>
            <w:r>
              <w:rPr>
                <w:rFonts w:hint="eastAsia" w:ascii="Times New Roman" w:hAnsi="Times New Roman" w:eastAsia="宋体" w:cs="Times New Roman"/>
                <w:color w:val="auto"/>
              </w:rPr>
              <w:t>小时滑动平均值第</w:t>
            </w:r>
            <w:r>
              <w:rPr>
                <w:rFonts w:hint="default" w:ascii="Times New Roman" w:hAnsi="Times New Roman" w:eastAsia="宋体" w:cs="Times New Roman"/>
                <w:color w:val="auto"/>
              </w:rPr>
              <w:t>90</w:t>
            </w:r>
            <w:r>
              <w:rPr>
                <w:rFonts w:hint="eastAsia" w:ascii="Times New Roman" w:hAnsi="Times New Roman" w:eastAsia="宋体" w:cs="Times New Roman"/>
                <w:color w:val="auto"/>
              </w:rPr>
              <w:t>百分位数为</w:t>
            </w:r>
            <w:r>
              <w:rPr>
                <w:rFonts w:hint="default" w:ascii="Times New Roman" w:hAnsi="Times New Roman" w:eastAsia="宋体" w:cs="Times New Roman"/>
                <w:color w:val="auto"/>
              </w:rPr>
              <w:t>160</w:t>
            </w:r>
            <w:r>
              <w:rPr>
                <w:rFonts w:hint="eastAsia" w:ascii="Times New Roman" w:hAnsi="Times New Roman" w:eastAsia="宋体" w:cs="Times New Roman"/>
                <w:color w:val="auto"/>
              </w:rPr>
              <w:t>微克</w:t>
            </w:r>
            <w:r>
              <w:rPr>
                <w:rFonts w:hint="default" w:ascii="Times New Roman" w:hAnsi="Times New Roman" w:eastAsia="宋体" w:cs="Times New Roman"/>
                <w:color w:val="auto"/>
              </w:rPr>
              <w:t>/</w:t>
            </w:r>
            <w:r>
              <w:rPr>
                <w:rFonts w:hint="eastAsia" w:ascii="Times New Roman" w:hAnsi="Times New Roman" w:eastAsia="宋体" w:cs="Times New Roman"/>
                <w:color w:val="auto"/>
              </w:rPr>
              <w:t>立方米，与上年相比上升了</w:t>
            </w:r>
            <w:r>
              <w:rPr>
                <w:rFonts w:hint="default" w:ascii="Times New Roman" w:hAnsi="Times New Roman" w:eastAsia="宋体" w:cs="Times New Roman"/>
                <w:color w:val="auto"/>
              </w:rPr>
              <w:t>1.9</w:t>
            </w:r>
            <w:r>
              <w:rPr>
                <w:rFonts w:hint="eastAsia" w:ascii="Times New Roman" w:hAnsi="Times New Roman" w:eastAsia="宋体" w:cs="Times New Roman"/>
                <w:color w:val="auto"/>
              </w:rPr>
              <w:t>个百分点。</w:t>
            </w:r>
          </w:p>
          <w:p w14:paraId="17EB85B1">
            <w:pPr>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 xml:space="preserve">表3-1 </w:t>
            </w:r>
            <w:r>
              <w:rPr>
                <w:rFonts w:hint="eastAsia" w:ascii="Times New Roman" w:hAnsi="Times New Roman" w:eastAsia="宋体"/>
                <w:b/>
                <w:bCs/>
                <w:color w:val="auto"/>
                <w:sz w:val="21"/>
                <w:szCs w:val="21"/>
                <w:lang w:val="en-US" w:eastAsia="zh-CN"/>
              </w:rPr>
              <w:t xml:space="preserve"> </w:t>
            </w:r>
            <w:r>
              <w:rPr>
                <w:rFonts w:ascii="Times New Roman" w:hAnsi="Times New Roman" w:eastAsia="宋体"/>
                <w:b/>
                <w:bCs/>
                <w:color w:val="auto"/>
                <w:sz w:val="21"/>
                <w:szCs w:val="21"/>
              </w:rPr>
              <w:t>区域大气污染物浓度值</w:t>
            </w:r>
            <w:r>
              <w:rPr>
                <w:rFonts w:hint="eastAsia" w:ascii="Times New Roman" w:hAnsi="Times New Roman" w:eastAsia="宋体"/>
                <w:b/>
                <w:bCs/>
                <w:color w:val="auto"/>
                <w:sz w:val="21"/>
                <w:szCs w:val="21"/>
              </w:rPr>
              <w:t xml:space="preserve"> （</w:t>
            </w:r>
            <w:r>
              <w:rPr>
                <w:rFonts w:ascii="Times New Roman" w:hAnsi="Times New Roman" w:eastAsia="宋体"/>
                <w:b/>
                <w:bCs/>
                <w:color w:val="auto"/>
                <w:sz w:val="21"/>
                <w:szCs w:val="21"/>
              </w:rPr>
              <w:t>单位：µg/m</w:t>
            </w:r>
            <w:r>
              <w:rPr>
                <w:rFonts w:ascii="Times New Roman" w:hAnsi="Times New Roman" w:eastAsia="宋体"/>
                <w:b/>
                <w:bCs/>
                <w:color w:val="auto"/>
                <w:sz w:val="21"/>
                <w:szCs w:val="21"/>
                <w:vertAlign w:val="superscript"/>
              </w:rPr>
              <w:t>3</w:t>
            </w:r>
            <w:r>
              <w:rPr>
                <w:rFonts w:ascii="Times New Roman" w:hAnsi="Times New Roman" w:eastAsia="宋体"/>
                <w:b/>
                <w:bCs/>
                <w:color w:val="auto"/>
                <w:sz w:val="21"/>
                <w:szCs w:val="21"/>
              </w:rPr>
              <w:t>）</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9"/>
              <w:gridCol w:w="2497"/>
              <w:gridCol w:w="1516"/>
              <w:gridCol w:w="1564"/>
              <w:gridCol w:w="1083"/>
              <w:gridCol w:w="736"/>
            </w:tblGrid>
            <w:tr w14:paraId="4D136D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tcBorders>
                    <w:tl2br w:val="nil"/>
                    <w:tr2bl w:val="nil"/>
                  </w:tcBorders>
                  <w:noWrap/>
                  <w:vAlign w:val="center"/>
                </w:tcPr>
                <w:p w14:paraId="798B1C8F">
                  <w:pPr>
                    <w:autoSpaceDE w:val="0"/>
                    <w:autoSpaceDN w:val="0"/>
                    <w:adjustRightInd w:val="0"/>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污染物</w:t>
                  </w:r>
                </w:p>
              </w:tc>
              <w:tc>
                <w:tcPr>
                  <w:tcW w:w="1534" w:type="pct"/>
                  <w:tcBorders>
                    <w:tl2br w:val="nil"/>
                    <w:tr2bl w:val="nil"/>
                  </w:tcBorders>
                  <w:noWrap/>
                  <w:vAlign w:val="center"/>
                </w:tcPr>
                <w:p w14:paraId="4D315F81">
                  <w:pPr>
                    <w:autoSpaceDE w:val="0"/>
                    <w:autoSpaceDN w:val="0"/>
                    <w:adjustRightInd w:val="0"/>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年评价指标</w:t>
                  </w:r>
                </w:p>
              </w:tc>
              <w:tc>
                <w:tcPr>
                  <w:tcW w:w="931" w:type="pct"/>
                  <w:tcBorders>
                    <w:tl2br w:val="nil"/>
                    <w:tr2bl w:val="nil"/>
                  </w:tcBorders>
                  <w:noWrap/>
                  <w:vAlign w:val="center"/>
                </w:tcPr>
                <w:p w14:paraId="5FB835C7">
                  <w:pPr>
                    <w:autoSpaceDE w:val="0"/>
                    <w:autoSpaceDN w:val="0"/>
                    <w:adjustRightInd w:val="0"/>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现状浓度（µg/m</w:t>
                  </w:r>
                  <w:r>
                    <w:rPr>
                      <w:rFonts w:ascii="Times New Roman" w:hAnsi="Times New Roman" w:eastAsia="宋体"/>
                      <w:b/>
                      <w:bCs/>
                      <w:color w:val="auto"/>
                      <w:sz w:val="21"/>
                      <w:szCs w:val="21"/>
                      <w:vertAlign w:val="superscript"/>
                    </w:rPr>
                    <w:t>3</w:t>
                  </w:r>
                  <w:r>
                    <w:rPr>
                      <w:rFonts w:ascii="Times New Roman" w:hAnsi="Times New Roman" w:eastAsia="宋体"/>
                      <w:b/>
                      <w:bCs/>
                      <w:color w:val="auto"/>
                      <w:sz w:val="21"/>
                      <w:szCs w:val="21"/>
                    </w:rPr>
                    <w:t>）</w:t>
                  </w:r>
                </w:p>
              </w:tc>
              <w:tc>
                <w:tcPr>
                  <w:tcW w:w="961" w:type="pct"/>
                  <w:tcBorders>
                    <w:tl2br w:val="nil"/>
                    <w:tr2bl w:val="nil"/>
                  </w:tcBorders>
                  <w:noWrap/>
                  <w:vAlign w:val="center"/>
                </w:tcPr>
                <w:p w14:paraId="686E2907">
                  <w:pPr>
                    <w:autoSpaceDE w:val="0"/>
                    <w:autoSpaceDN w:val="0"/>
                    <w:adjustRightInd w:val="0"/>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标准值（µg/m</w:t>
                  </w:r>
                  <w:r>
                    <w:rPr>
                      <w:rFonts w:ascii="Times New Roman" w:hAnsi="Times New Roman" w:eastAsia="宋体"/>
                      <w:b/>
                      <w:bCs/>
                      <w:color w:val="auto"/>
                      <w:sz w:val="21"/>
                      <w:szCs w:val="21"/>
                      <w:vertAlign w:val="superscript"/>
                    </w:rPr>
                    <w:t>3</w:t>
                  </w:r>
                  <w:r>
                    <w:rPr>
                      <w:rFonts w:ascii="Times New Roman" w:hAnsi="Times New Roman" w:eastAsia="宋体"/>
                      <w:b/>
                      <w:bCs/>
                      <w:color w:val="auto"/>
                      <w:sz w:val="21"/>
                      <w:szCs w:val="21"/>
                    </w:rPr>
                    <w:t>）</w:t>
                  </w:r>
                </w:p>
              </w:tc>
              <w:tc>
                <w:tcPr>
                  <w:tcW w:w="665" w:type="pct"/>
                  <w:tcBorders>
                    <w:tl2br w:val="nil"/>
                    <w:tr2bl w:val="nil"/>
                  </w:tcBorders>
                  <w:noWrap/>
                  <w:vAlign w:val="center"/>
                </w:tcPr>
                <w:p w14:paraId="02F2EDCA">
                  <w:pPr>
                    <w:autoSpaceDE w:val="0"/>
                    <w:autoSpaceDN w:val="0"/>
                    <w:adjustRightInd w:val="0"/>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占标率%</w:t>
                  </w:r>
                </w:p>
              </w:tc>
              <w:tc>
                <w:tcPr>
                  <w:tcW w:w="452" w:type="pct"/>
                  <w:tcBorders>
                    <w:tl2br w:val="nil"/>
                    <w:tr2bl w:val="nil"/>
                  </w:tcBorders>
                  <w:noWrap/>
                  <w:vAlign w:val="center"/>
                </w:tcPr>
                <w:p w14:paraId="40A5C1D3">
                  <w:pPr>
                    <w:autoSpaceDE w:val="0"/>
                    <w:autoSpaceDN w:val="0"/>
                    <w:adjustRightInd w:val="0"/>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达标</w:t>
                  </w:r>
                </w:p>
                <w:p w14:paraId="4216E004">
                  <w:pPr>
                    <w:autoSpaceDE w:val="0"/>
                    <w:autoSpaceDN w:val="0"/>
                    <w:adjustRightInd w:val="0"/>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情况</w:t>
                  </w:r>
                </w:p>
              </w:tc>
            </w:tr>
            <w:tr w14:paraId="4517B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tcBorders>
                    <w:tl2br w:val="nil"/>
                    <w:tr2bl w:val="nil"/>
                  </w:tcBorders>
                  <w:noWrap/>
                  <w:vAlign w:val="center"/>
                </w:tcPr>
                <w:p w14:paraId="6655B7D1">
                  <w:pPr>
                    <w:autoSpaceDE w:val="0"/>
                    <w:autoSpaceDN w:val="0"/>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SO</w:t>
                  </w:r>
                  <w:r>
                    <w:rPr>
                      <w:rFonts w:ascii="Times New Roman" w:hAnsi="Times New Roman" w:eastAsia="宋体"/>
                      <w:color w:val="auto"/>
                      <w:sz w:val="21"/>
                      <w:szCs w:val="21"/>
                      <w:vertAlign w:val="subscript"/>
                    </w:rPr>
                    <w:t>2</w:t>
                  </w:r>
                </w:p>
              </w:tc>
              <w:tc>
                <w:tcPr>
                  <w:tcW w:w="1534" w:type="pct"/>
                  <w:tcBorders>
                    <w:tl2br w:val="nil"/>
                    <w:tr2bl w:val="nil"/>
                  </w:tcBorders>
                  <w:noWrap/>
                  <w:vAlign w:val="center"/>
                </w:tcPr>
                <w:p w14:paraId="5D23C8D6">
                  <w:pPr>
                    <w:autoSpaceDE w:val="0"/>
                    <w:autoSpaceDN w:val="0"/>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年平均质量浓度</w:t>
                  </w:r>
                </w:p>
              </w:tc>
              <w:tc>
                <w:tcPr>
                  <w:tcW w:w="931" w:type="pct"/>
                  <w:tcBorders>
                    <w:tl2br w:val="nil"/>
                    <w:tr2bl w:val="nil"/>
                  </w:tcBorders>
                  <w:noWrap/>
                  <w:vAlign w:val="center"/>
                </w:tcPr>
                <w:p w14:paraId="4DC000DC">
                  <w:pPr>
                    <w:autoSpaceDE w:val="0"/>
                    <w:autoSpaceDN w:val="0"/>
                    <w:adjustRightInd w:val="0"/>
                    <w:spacing w:line="240" w:lineRule="auto"/>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7</w:t>
                  </w:r>
                </w:p>
              </w:tc>
              <w:tc>
                <w:tcPr>
                  <w:tcW w:w="961" w:type="pct"/>
                  <w:tcBorders>
                    <w:tl2br w:val="nil"/>
                    <w:tr2bl w:val="nil"/>
                  </w:tcBorders>
                  <w:noWrap/>
                  <w:vAlign w:val="center"/>
                </w:tcPr>
                <w:p w14:paraId="56C880F2">
                  <w:pPr>
                    <w:autoSpaceDE w:val="0"/>
                    <w:autoSpaceDN w:val="0"/>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60</w:t>
                  </w:r>
                </w:p>
              </w:tc>
              <w:tc>
                <w:tcPr>
                  <w:tcW w:w="665" w:type="pct"/>
                  <w:tcBorders>
                    <w:tl2br w:val="nil"/>
                    <w:tr2bl w:val="nil"/>
                  </w:tcBorders>
                  <w:noWrap/>
                  <w:vAlign w:val="center"/>
                </w:tcPr>
                <w:p w14:paraId="25C8AFB8">
                  <w:pPr>
                    <w:autoSpaceDE w:val="0"/>
                    <w:autoSpaceDN w:val="0"/>
                    <w:adjustRightInd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11.67</w:t>
                  </w:r>
                  <w:r>
                    <w:rPr>
                      <w:rFonts w:ascii="Times New Roman" w:hAnsi="Times New Roman" w:eastAsia="宋体"/>
                      <w:color w:val="auto"/>
                      <w:sz w:val="21"/>
                      <w:szCs w:val="21"/>
                    </w:rPr>
                    <w:t>%</w:t>
                  </w:r>
                </w:p>
              </w:tc>
              <w:tc>
                <w:tcPr>
                  <w:tcW w:w="452" w:type="pct"/>
                  <w:tcBorders>
                    <w:tl2br w:val="nil"/>
                    <w:tr2bl w:val="nil"/>
                  </w:tcBorders>
                  <w:noWrap/>
                  <w:vAlign w:val="center"/>
                </w:tcPr>
                <w:p w14:paraId="3F511F8D">
                  <w:pPr>
                    <w:autoSpaceDE w:val="0"/>
                    <w:autoSpaceDN w:val="0"/>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达标</w:t>
                  </w:r>
                </w:p>
              </w:tc>
            </w:tr>
            <w:tr w14:paraId="04361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tcBorders>
                    <w:tl2br w:val="nil"/>
                    <w:tr2bl w:val="nil"/>
                  </w:tcBorders>
                  <w:noWrap/>
                  <w:vAlign w:val="center"/>
                </w:tcPr>
                <w:p w14:paraId="2686405A">
                  <w:pPr>
                    <w:autoSpaceDE w:val="0"/>
                    <w:autoSpaceDN w:val="0"/>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NO</w:t>
                  </w:r>
                  <w:r>
                    <w:rPr>
                      <w:rFonts w:ascii="Times New Roman" w:hAnsi="Times New Roman" w:eastAsia="宋体"/>
                      <w:color w:val="auto"/>
                      <w:sz w:val="21"/>
                      <w:szCs w:val="21"/>
                      <w:vertAlign w:val="subscript"/>
                    </w:rPr>
                    <w:t>2</w:t>
                  </w:r>
                </w:p>
              </w:tc>
              <w:tc>
                <w:tcPr>
                  <w:tcW w:w="1534" w:type="pct"/>
                  <w:tcBorders>
                    <w:tl2br w:val="nil"/>
                    <w:tr2bl w:val="nil"/>
                  </w:tcBorders>
                  <w:noWrap/>
                  <w:vAlign w:val="center"/>
                </w:tcPr>
                <w:p w14:paraId="796BD858">
                  <w:pPr>
                    <w:autoSpaceDE w:val="0"/>
                    <w:autoSpaceDN w:val="0"/>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年平均质量浓度</w:t>
                  </w:r>
                </w:p>
              </w:tc>
              <w:tc>
                <w:tcPr>
                  <w:tcW w:w="931" w:type="pct"/>
                  <w:tcBorders>
                    <w:tl2br w:val="nil"/>
                    <w:tr2bl w:val="nil"/>
                  </w:tcBorders>
                  <w:noWrap/>
                  <w:vAlign w:val="center"/>
                </w:tcPr>
                <w:p w14:paraId="1282BE69">
                  <w:pPr>
                    <w:autoSpaceDE w:val="0"/>
                    <w:autoSpaceDN w:val="0"/>
                    <w:adjustRightIn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19</w:t>
                  </w:r>
                </w:p>
              </w:tc>
              <w:tc>
                <w:tcPr>
                  <w:tcW w:w="961" w:type="pct"/>
                  <w:tcBorders>
                    <w:tl2br w:val="nil"/>
                    <w:tr2bl w:val="nil"/>
                  </w:tcBorders>
                  <w:noWrap/>
                  <w:vAlign w:val="center"/>
                </w:tcPr>
                <w:p w14:paraId="6433F567">
                  <w:pPr>
                    <w:autoSpaceDE w:val="0"/>
                    <w:autoSpaceDN w:val="0"/>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40</w:t>
                  </w:r>
                </w:p>
              </w:tc>
              <w:tc>
                <w:tcPr>
                  <w:tcW w:w="665" w:type="pct"/>
                  <w:tcBorders>
                    <w:tl2br w:val="nil"/>
                    <w:tr2bl w:val="nil"/>
                  </w:tcBorders>
                  <w:noWrap/>
                  <w:vAlign w:val="center"/>
                </w:tcPr>
                <w:p w14:paraId="5B47DFF2">
                  <w:pPr>
                    <w:autoSpaceDE w:val="0"/>
                    <w:autoSpaceDN w:val="0"/>
                    <w:adjustRightInd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47.50</w:t>
                  </w:r>
                  <w:r>
                    <w:rPr>
                      <w:rFonts w:ascii="Times New Roman" w:hAnsi="Times New Roman" w:eastAsia="宋体"/>
                      <w:color w:val="auto"/>
                      <w:sz w:val="21"/>
                      <w:szCs w:val="21"/>
                    </w:rPr>
                    <w:t>%</w:t>
                  </w:r>
                </w:p>
              </w:tc>
              <w:tc>
                <w:tcPr>
                  <w:tcW w:w="452" w:type="pct"/>
                  <w:tcBorders>
                    <w:tl2br w:val="nil"/>
                    <w:tr2bl w:val="nil"/>
                  </w:tcBorders>
                  <w:noWrap/>
                  <w:vAlign w:val="center"/>
                </w:tcPr>
                <w:p w14:paraId="07985EB8">
                  <w:pPr>
                    <w:autoSpaceDE w:val="0"/>
                    <w:autoSpaceDN w:val="0"/>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达标</w:t>
                  </w:r>
                </w:p>
              </w:tc>
            </w:tr>
            <w:tr w14:paraId="64626C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tcBorders>
                    <w:tl2br w:val="nil"/>
                    <w:tr2bl w:val="nil"/>
                  </w:tcBorders>
                  <w:noWrap/>
                  <w:vAlign w:val="center"/>
                </w:tcPr>
                <w:p w14:paraId="56824E35">
                  <w:pPr>
                    <w:autoSpaceDE w:val="0"/>
                    <w:autoSpaceDN w:val="0"/>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PM</w:t>
                  </w:r>
                  <w:r>
                    <w:rPr>
                      <w:rFonts w:ascii="Times New Roman" w:hAnsi="Times New Roman" w:eastAsia="宋体"/>
                      <w:color w:val="auto"/>
                      <w:sz w:val="21"/>
                      <w:szCs w:val="21"/>
                      <w:vertAlign w:val="subscript"/>
                    </w:rPr>
                    <w:t>10</w:t>
                  </w:r>
                </w:p>
              </w:tc>
              <w:tc>
                <w:tcPr>
                  <w:tcW w:w="1534" w:type="pct"/>
                  <w:tcBorders>
                    <w:tl2br w:val="nil"/>
                    <w:tr2bl w:val="nil"/>
                  </w:tcBorders>
                  <w:noWrap/>
                  <w:vAlign w:val="center"/>
                </w:tcPr>
                <w:p w14:paraId="2BC3A3B1">
                  <w:pPr>
                    <w:autoSpaceDE w:val="0"/>
                    <w:autoSpaceDN w:val="0"/>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年平均质量浓度</w:t>
                  </w:r>
                </w:p>
              </w:tc>
              <w:tc>
                <w:tcPr>
                  <w:tcW w:w="931" w:type="pct"/>
                  <w:tcBorders>
                    <w:tl2br w:val="nil"/>
                    <w:tr2bl w:val="nil"/>
                  </w:tcBorders>
                  <w:noWrap/>
                  <w:vAlign w:val="center"/>
                </w:tcPr>
                <w:p w14:paraId="347738FC">
                  <w:pPr>
                    <w:autoSpaceDE w:val="0"/>
                    <w:autoSpaceDN w:val="0"/>
                    <w:adjustRightIn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65.0</w:t>
                  </w:r>
                </w:p>
              </w:tc>
              <w:tc>
                <w:tcPr>
                  <w:tcW w:w="961" w:type="pct"/>
                  <w:tcBorders>
                    <w:tl2br w:val="nil"/>
                    <w:tr2bl w:val="nil"/>
                  </w:tcBorders>
                  <w:noWrap/>
                  <w:vAlign w:val="center"/>
                </w:tcPr>
                <w:p w14:paraId="461A8A70">
                  <w:pPr>
                    <w:autoSpaceDE w:val="0"/>
                    <w:autoSpaceDN w:val="0"/>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70</w:t>
                  </w:r>
                </w:p>
              </w:tc>
              <w:tc>
                <w:tcPr>
                  <w:tcW w:w="665" w:type="pct"/>
                  <w:tcBorders>
                    <w:tl2br w:val="nil"/>
                    <w:tr2bl w:val="nil"/>
                  </w:tcBorders>
                  <w:noWrap/>
                  <w:vAlign w:val="center"/>
                </w:tcPr>
                <w:p w14:paraId="43EF181A">
                  <w:pPr>
                    <w:autoSpaceDE w:val="0"/>
                    <w:autoSpaceDN w:val="0"/>
                    <w:adjustRightInd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92.86</w:t>
                  </w:r>
                  <w:r>
                    <w:rPr>
                      <w:rFonts w:ascii="Times New Roman" w:hAnsi="Times New Roman" w:eastAsia="宋体"/>
                      <w:color w:val="auto"/>
                      <w:sz w:val="21"/>
                      <w:szCs w:val="21"/>
                    </w:rPr>
                    <w:t>%</w:t>
                  </w:r>
                </w:p>
              </w:tc>
              <w:tc>
                <w:tcPr>
                  <w:tcW w:w="452" w:type="pct"/>
                  <w:tcBorders>
                    <w:tl2br w:val="nil"/>
                    <w:tr2bl w:val="nil"/>
                  </w:tcBorders>
                  <w:noWrap/>
                  <w:vAlign w:val="center"/>
                </w:tcPr>
                <w:p w14:paraId="62CFFF47">
                  <w:pPr>
                    <w:autoSpaceDE w:val="0"/>
                    <w:autoSpaceDN w:val="0"/>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达标</w:t>
                  </w:r>
                </w:p>
              </w:tc>
            </w:tr>
            <w:tr w14:paraId="19DE4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tcBorders>
                    <w:tl2br w:val="nil"/>
                    <w:tr2bl w:val="nil"/>
                  </w:tcBorders>
                  <w:noWrap/>
                  <w:vAlign w:val="center"/>
                </w:tcPr>
                <w:p w14:paraId="5A95291F">
                  <w:pPr>
                    <w:autoSpaceDE w:val="0"/>
                    <w:autoSpaceDN w:val="0"/>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PM</w:t>
                  </w:r>
                  <w:r>
                    <w:rPr>
                      <w:rFonts w:ascii="Times New Roman" w:hAnsi="Times New Roman" w:eastAsia="宋体"/>
                      <w:color w:val="auto"/>
                      <w:sz w:val="21"/>
                      <w:szCs w:val="21"/>
                      <w:vertAlign w:val="subscript"/>
                    </w:rPr>
                    <w:t>2.5</w:t>
                  </w:r>
                </w:p>
              </w:tc>
              <w:tc>
                <w:tcPr>
                  <w:tcW w:w="1534" w:type="pct"/>
                  <w:tcBorders>
                    <w:tl2br w:val="nil"/>
                    <w:tr2bl w:val="nil"/>
                  </w:tcBorders>
                  <w:noWrap/>
                  <w:vAlign w:val="center"/>
                </w:tcPr>
                <w:p w14:paraId="10D38AA1">
                  <w:pPr>
                    <w:autoSpaceDE w:val="0"/>
                    <w:autoSpaceDN w:val="0"/>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年平均质量浓度</w:t>
                  </w:r>
                </w:p>
              </w:tc>
              <w:tc>
                <w:tcPr>
                  <w:tcW w:w="931" w:type="pct"/>
                  <w:tcBorders>
                    <w:tl2br w:val="nil"/>
                    <w:tr2bl w:val="nil"/>
                  </w:tcBorders>
                  <w:noWrap/>
                  <w:vAlign w:val="center"/>
                </w:tcPr>
                <w:p w14:paraId="3DFFAC98">
                  <w:pPr>
                    <w:autoSpaceDE w:val="0"/>
                    <w:autoSpaceDN w:val="0"/>
                    <w:adjustRightIn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40.0</w:t>
                  </w:r>
                </w:p>
              </w:tc>
              <w:tc>
                <w:tcPr>
                  <w:tcW w:w="961" w:type="pct"/>
                  <w:tcBorders>
                    <w:tl2br w:val="nil"/>
                    <w:tr2bl w:val="nil"/>
                  </w:tcBorders>
                  <w:noWrap/>
                  <w:vAlign w:val="center"/>
                </w:tcPr>
                <w:p w14:paraId="03769011">
                  <w:pPr>
                    <w:autoSpaceDE w:val="0"/>
                    <w:autoSpaceDN w:val="0"/>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35</w:t>
                  </w:r>
                </w:p>
              </w:tc>
              <w:tc>
                <w:tcPr>
                  <w:tcW w:w="665" w:type="pct"/>
                  <w:tcBorders>
                    <w:tl2br w:val="nil"/>
                    <w:tr2bl w:val="nil"/>
                  </w:tcBorders>
                  <w:noWrap/>
                  <w:vAlign w:val="center"/>
                </w:tcPr>
                <w:p w14:paraId="3F827E54">
                  <w:pPr>
                    <w:autoSpaceDE w:val="0"/>
                    <w:autoSpaceDN w:val="0"/>
                    <w:adjustRightInd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114.29</w:t>
                  </w:r>
                  <w:r>
                    <w:rPr>
                      <w:rFonts w:ascii="Times New Roman" w:hAnsi="Times New Roman" w:eastAsia="宋体"/>
                      <w:color w:val="auto"/>
                      <w:sz w:val="21"/>
                      <w:szCs w:val="21"/>
                    </w:rPr>
                    <w:t>%</w:t>
                  </w:r>
                </w:p>
              </w:tc>
              <w:tc>
                <w:tcPr>
                  <w:tcW w:w="452" w:type="pct"/>
                  <w:tcBorders>
                    <w:tl2br w:val="nil"/>
                    <w:tr2bl w:val="nil"/>
                  </w:tcBorders>
                  <w:noWrap/>
                  <w:vAlign w:val="center"/>
                </w:tcPr>
                <w:p w14:paraId="7E346D9C">
                  <w:pPr>
                    <w:autoSpaceDE w:val="0"/>
                    <w:autoSpaceDN w:val="0"/>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不达标</w:t>
                  </w:r>
                </w:p>
              </w:tc>
            </w:tr>
            <w:tr w14:paraId="09B78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tcBorders>
                    <w:tl2br w:val="nil"/>
                    <w:tr2bl w:val="nil"/>
                  </w:tcBorders>
                  <w:noWrap/>
                  <w:vAlign w:val="center"/>
                </w:tcPr>
                <w:p w14:paraId="4CD8FB1C">
                  <w:pPr>
                    <w:autoSpaceDE w:val="0"/>
                    <w:autoSpaceDN w:val="0"/>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CO</w:t>
                  </w:r>
                </w:p>
              </w:tc>
              <w:tc>
                <w:tcPr>
                  <w:tcW w:w="1534" w:type="pct"/>
                  <w:tcBorders>
                    <w:tl2br w:val="nil"/>
                    <w:tr2bl w:val="nil"/>
                  </w:tcBorders>
                  <w:noWrap/>
                  <w:vAlign w:val="center"/>
                </w:tcPr>
                <w:p w14:paraId="099CEA37">
                  <w:pPr>
                    <w:autoSpaceDE w:val="0"/>
                    <w:autoSpaceDN w:val="0"/>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第95百分位数日平均质量浓度</w:t>
                  </w:r>
                </w:p>
              </w:tc>
              <w:tc>
                <w:tcPr>
                  <w:tcW w:w="931" w:type="pct"/>
                  <w:tcBorders>
                    <w:tl2br w:val="nil"/>
                    <w:tr2bl w:val="nil"/>
                  </w:tcBorders>
                  <w:noWrap/>
                  <w:vAlign w:val="center"/>
                </w:tcPr>
                <w:p w14:paraId="091ED445">
                  <w:pPr>
                    <w:autoSpaceDE w:val="0"/>
                    <w:autoSpaceDN w:val="0"/>
                    <w:adjustRightIn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800</w:t>
                  </w:r>
                </w:p>
              </w:tc>
              <w:tc>
                <w:tcPr>
                  <w:tcW w:w="961" w:type="pct"/>
                  <w:tcBorders>
                    <w:tl2br w:val="nil"/>
                    <w:tr2bl w:val="nil"/>
                  </w:tcBorders>
                  <w:noWrap/>
                  <w:vAlign w:val="center"/>
                </w:tcPr>
                <w:p w14:paraId="4535AFD4">
                  <w:pPr>
                    <w:autoSpaceDE w:val="0"/>
                    <w:autoSpaceDN w:val="0"/>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4000</w:t>
                  </w:r>
                </w:p>
              </w:tc>
              <w:tc>
                <w:tcPr>
                  <w:tcW w:w="665" w:type="pct"/>
                  <w:tcBorders>
                    <w:tl2br w:val="nil"/>
                    <w:tr2bl w:val="nil"/>
                  </w:tcBorders>
                  <w:noWrap/>
                  <w:vAlign w:val="center"/>
                </w:tcPr>
                <w:p w14:paraId="48EB9F0B">
                  <w:pPr>
                    <w:autoSpaceDE w:val="0"/>
                    <w:autoSpaceDN w:val="0"/>
                    <w:adjustRightInd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20.00</w:t>
                  </w:r>
                  <w:r>
                    <w:rPr>
                      <w:rFonts w:ascii="Times New Roman" w:hAnsi="Times New Roman" w:eastAsia="宋体"/>
                      <w:color w:val="auto"/>
                      <w:sz w:val="21"/>
                      <w:szCs w:val="21"/>
                    </w:rPr>
                    <w:t>%</w:t>
                  </w:r>
                </w:p>
              </w:tc>
              <w:tc>
                <w:tcPr>
                  <w:tcW w:w="452" w:type="pct"/>
                  <w:tcBorders>
                    <w:tl2br w:val="nil"/>
                    <w:tr2bl w:val="nil"/>
                  </w:tcBorders>
                  <w:noWrap/>
                  <w:vAlign w:val="center"/>
                </w:tcPr>
                <w:p w14:paraId="2EFA90FC">
                  <w:pPr>
                    <w:autoSpaceDE w:val="0"/>
                    <w:autoSpaceDN w:val="0"/>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达标</w:t>
                  </w:r>
                </w:p>
              </w:tc>
            </w:tr>
            <w:tr w14:paraId="025FC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tcBorders>
                    <w:tl2br w:val="nil"/>
                    <w:tr2bl w:val="nil"/>
                  </w:tcBorders>
                  <w:noWrap/>
                  <w:vAlign w:val="center"/>
                </w:tcPr>
                <w:p w14:paraId="465F4C9B">
                  <w:pPr>
                    <w:autoSpaceDE w:val="0"/>
                    <w:autoSpaceDN w:val="0"/>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O</w:t>
                  </w:r>
                  <w:r>
                    <w:rPr>
                      <w:rFonts w:ascii="Times New Roman" w:hAnsi="Times New Roman" w:eastAsia="宋体"/>
                      <w:color w:val="auto"/>
                      <w:sz w:val="21"/>
                      <w:szCs w:val="21"/>
                      <w:vertAlign w:val="subscript"/>
                    </w:rPr>
                    <w:t>3</w:t>
                  </w:r>
                </w:p>
              </w:tc>
              <w:tc>
                <w:tcPr>
                  <w:tcW w:w="1534" w:type="pct"/>
                  <w:tcBorders>
                    <w:tl2br w:val="nil"/>
                    <w:tr2bl w:val="nil"/>
                  </w:tcBorders>
                  <w:noWrap/>
                  <w:vAlign w:val="center"/>
                </w:tcPr>
                <w:p w14:paraId="46C51312">
                  <w:pPr>
                    <w:autoSpaceDE w:val="0"/>
                    <w:autoSpaceDN w:val="0"/>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第90百分位数8h平均质量浓度</w:t>
                  </w:r>
                </w:p>
              </w:tc>
              <w:tc>
                <w:tcPr>
                  <w:tcW w:w="931" w:type="pct"/>
                  <w:tcBorders>
                    <w:tl2br w:val="nil"/>
                    <w:tr2bl w:val="nil"/>
                  </w:tcBorders>
                  <w:noWrap/>
                  <w:vAlign w:val="center"/>
                </w:tcPr>
                <w:p w14:paraId="563BE031">
                  <w:pPr>
                    <w:autoSpaceDE w:val="0"/>
                    <w:autoSpaceDN w:val="0"/>
                    <w:adjustRightIn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160</w:t>
                  </w:r>
                </w:p>
              </w:tc>
              <w:tc>
                <w:tcPr>
                  <w:tcW w:w="961" w:type="pct"/>
                  <w:tcBorders>
                    <w:tl2br w:val="nil"/>
                    <w:tr2bl w:val="nil"/>
                  </w:tcBorders>
                  <w:noWrap/>
                  <w:vAlign w:val="center"/>
                </w:tcPr>
                <w:p w14:paraId="7A4B7D51">
                  <w:pPr>
                    <w:autoSpaceDE w:val="0"/>
                    <w:autoSpaceDN w:val="0"/>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160</w:t>
                  </w:r>
                </w:p>
              </w:tc>
              <w:tc>
                <w:tcPr>
                  <w:tcW w:w="665" w:type="pct"/>
                  <w:tcBorders>
                    <w:tl2br w:val="nil"/>
                    <w:tr2bl w:val="nil"/>
                  </w:tcBorders>
                  <w:noWrap/>
                  <w:vAlign w:val="center"/>
                </w:tcPr>
                <w:p w14:paraId="151E178F">
                  <w:pPr>
                    <w:autoSpaceDE w:val="0"/>
                    <w:autoSpaceDN w:val="0"/>
                    <w:adjustRightInd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100.00</w:t>
                  </w:r>
                  <w:r>
                    <w:rPr>
                      <w:rFonts w:ascii="Times New Roman" w:hAnsi="Times New Roman" w:eastAsia="宋体"/>
                      <w:color w:val="auto"/>
                      <w:sz w:val="21"/>
                      <w:szCs w:val="21"/>
                    </w:rPr>
                    <w:t>%</w:t>
                  </w:r>
                </w:p>
              </w:tc>
              <w:tc>
                <w:tcPr>
                  <w:tcW w:w="452" w:type="pct"/>
                  <w:tcBorders>
                    <w:tl2br w:val="nil"/>
                    <w:tr2bl w:val="nil"/>
                  </w:tcBorders>
                  <w:noWrap/>
                  <w:vAlign w:val="center"/>
                </w:tcPr>
                <w:p w14:paraId="6C4EA1A5">
                  <w:pPr>
                    <w:autoSpaceDE w:val="0"/>
                    <w:autoSpaceDN w:val="0"/>
                    <w:adjustRightIn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达标</w:t>
                  </w:r>
                </w:p>
              </w:tc>
            </w:tr>
          </w:tbl>
          <w:p w14:paraId="4A6F57EB">
            <w:pPr>
              <w:ind w:firstLine="480" w:firstLineChars="200"/>
              <w:rPr>
                <w:rFonts w:ascii="Times New Roman" w:hAnsi="Times New Roman" w:eastAsia="宋体"/>
                <w:color w:val="auto"/>
              </w:rPr>
            </w:pPr>
            <w:r>
              <w:rPr>
                <w:rFonts w:hint="eastAsia" w:ascii="Times New Roman" w:hAnsi="Times New Roman" w:eastAsia="宋体"/>
                <w:color w:val="auto"/>
              </w:rPr>
              <w:t>由以上数据可知，细颗粒物（PM</w:t>
            </w:r>
            <w:r>
              <w:rPr>
                <w:rFonts w:hint="eastAsia" w:ascii="Times New Roman" w:hAnsi="Times New Roman" w:eastAsia="宋体"/>
                <w:color w:val="auto"/>
                <w:vertAlign w:val="subscript"/>
              </w:rPr>
              <w:t>2.5</w:t>
            </w:r>
            <w:r>
              <w:rPr>
                <w:rFonts w:hint="eastAsia" w:ascii="Times New Roman" w:hAnsi="Times New Roman" w:eastAsia="宋体"/>
                <w:color w:val="auto"/>
              </w:rPr>
              <w:t>）不达标，因此判定项目所在区域城市环境空气质量不达标。</w:t>
            </w:r>
          </w:p>
          <w:p w14:paraId="6A9D400B">
            <w:pPr>
              <w:ind w:firstLine="480" w:firstLineChars="200"/>
              <w:rPr>
                <w:rFonts w:ascii="Times New Roman" w:hAnsi="Times New Roman" w:eastAsia="宋体"/>
                <w:color w:val="auto"/>
              </w:rPr>
            </w:pPr>
            <w:r>
              <w:rPr>
                <w:rFonts w:hint="eastAsia" w:ascii="Times New Roman" w:hAnsi="Times New Roman" w:eastAsia="宋体"/>
                <w:color w:val="auto"/>
              </w:rPr>
              <w:t>目前，淮南市已制订《淮南市“十四五”大气污染防治规划（2021-2025年）》，围绕工业大气污染治理、扬（烟）尘污染防治等开展专项治理活动，进一步削减大气污染物排放。</w:t>
            </w:r>
          </w:p>
          <w:p w14:paraId="58FAAA57">
            <w:pPr>
              <w:ind w:firstLine="480" w:firstLineChars="200"/>
              <w:rPr>
                <w:rFonts w:ascii="Times New Roman" w:hAnsi="Times New Roman" w:eastAsia="宋体" w:cs="Times New Roman"/>
                <w:color w:val="auto"/>
              </w:rPr>
            </w:pPr>
            <w:r>
              <w:rPr>
                <w:rFonts w:hint="eastAsia" w:ascii="Times New Roman" w:hAnsi="Times New Roman" w:eastAsia="宋体" w:cs="Times New Roman"/>
                <w:color w:val="auto"/>
              </w:rPr>
              <w:t>（2）其他污染物环境空气质量现状</w:t>
            </w:r>
          </w:p>
          <w:p w14:paraId="72C6E626">
            <w:pPr>
              <w:ind w:firstLine="48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本</w:t>
            </w:r>
            <w:r>
              <w:rPr>
                <w:rFonts w:hint="eastAsia" w:ascii="Times New Roman" w:hAnsi="Times New Roman" w:eastAsia="宋体" w:cs="Times New Roman"/>
                <w:color w:val="auto"/>
                <w:szCs w:val="24"/>
              </w:rPr>
              <w:t>项目</w:t>
            </w:r>
            <w:r>
              <w:rPr>
                <w:rFonts w:hint="eastAsia" w:cs="Times New Roman"/>
                <w:color w:val="auto"/>
                <w:szCs w:val="24"/>
                <w:lang w:val="en-US" w:eastAsia="zh-CN"/>
              </w:rPr>
              <w:t>有</w:t>
            </w:r>
            <w:r>
              <w:rPr>
                <w:rFonts w:hint="eastAsia" w:ascii="Times New Roman" w:hAnsi="Times New Roman" w:eastAsia="宋体" w:cs="Times New Roman"/>
                <w:color w:val="auto"/>
                <w:szCs w:val="24"/>
                <w:lang w:val="en-US" w:eastAsia="zh-CN"/>
              </w:rPr>
              <w:t>国家、地方环境质量标准</w:t>
            </w:r>
            <w:r>
              <w:rPr>
                <w:rFonts w:hint="eastAsia" w:cs="Times New Roman"/>
                <w:color w:val="auto"/>
                <w:szCs w:val="24"/>
                <w:lang w:val="en-US" w:eastAsia="zh-CN"/>
              </w:rPr>
              <w:t>的</w:t>
            </w:r>
            <w:r>
              <w:rPr>
                <w:rFonts w:hint="eastAsia" w:ascii="Times New Roman" w:hAnsi="Times New Roman" w:eastAsia="宋体" w:cs="Times New Roman"/>
                <w:color w:val="auto"/>
                <w:szCs w:val="24"/>
              </w:rPr>
              <w:t>其</w:t>
            </w:r>
            <w:r>
              <w:rPr>
                <w:rFonts w:hint="eastAsia" w:ascii="Times New Roman" w:hAnsi="Times New Roman" w:eastAsia="宋体" w:cs="Times New Roman"/>
                <w:color w:val="auto"/>
                <w:szCs w:val="24"/>
                <w:lang w:val="en-US" w:eastAsia="zh-CN"/>
              </w:rPr>
              <w:t>他特征污染物</w:t>
            </w:r>
            <w:r>
              <w:rPr>
                <w:rFonts w:hint="eastAsia" w:ascii="Times New Roman" w:hAnsi="Times New Roman" w:eastAsia="宋体" w:cs="Times New Roman"/>
                <w:color w:val="auto"/>
                <w:szCs w:val="24"/>
              </w:rPr>
              <w:t>为</w:t>
            </w:r>
            <w:r>
              <w:rPr>
                <w:rFonts w:ascii="Times New Roman" w:hAnsi="Times New Roman" w:eastAsia="宋体" w:cs="Times New Roman"/>
                <w:color w:val="auto"/>
              </w:rPr>
              <w:t>TSP</w:t>
            </w:r>
            <w:r>
              <w:rPr>
                <w:rFonts w:hint="eastAsia" w:cs="Times New Roman"/>
                <w:color w:val="auto"/>
                <w:lang w:eastAsia="zh-CN"/>
              </w:rPr>
              <w:t>，</w:t>
            </w:r>
            <w:r>
              <w:rPr>
                <w:rFonts w:ascii="Times New Roman" w:hAnsi="Times New Roman" w:eastAsia="宋体" w:cs="Times New Roman"/>
                <w:color w:val="auto"/>
                <w:szCs w:val="24"/>
              </w:rPr>
              <w:t>TSP环境空气质量监测数据引用</w:t>
            </w:r>
            <w:r>
              <w:rPr>
                <w:rFonts w:hint="eastAsia" w:ascii="Times New Roman" w:hAnsi="Times New Roman" w:eastAsia="宋体" w:cs="Times New Roman"/>
                <w:color w:val="auto"/>
              </w:rPr>
              <w:t>《</w:t>
            </w:r>
            <w:r>
              <w:rPr>
                <w:rFonts w:hint="eastAsia" w:ascii="Times New Roman" w:hAnsi="Times New Roman" w:eastAsia="宋体" w:cs="Times New Roman"/>
                <w:color w:val="auto"/>
                <w:lang w:val="zh-CN"/>
              </w:rPr>
              <w:t>安徽衍蓉新材料科技有限公司</w:t>
            </w:r>
            <w:r>
              <w:rPr>
                <w:rFonts w:hint="eastAsia" w:ascii="Times New Roman" w:hAnsi="Times New Roman" w:eastAsia="宋体" w:cs="Times New Roman"/>
                <w:color w:val="auto"/>
              </w:rPr>
              <w:t>环境现状监测》</w:t>
            </w:r>
            <w:r>
              <w:rPr>
                <w:rFonts w:ascii="Times New Roman" w:hAnsi="Times New Roman" w:eastAsia="宋体" w:cs="Times New Roman"/>
                <w:color w:val="auto"/>
                <w:szCs w:val="24"/>
              </w:rPr>
              <w:t>中G</w:t>
            </w:r>
            <w:r>
              <w:rPr>
                <w:rFonts w:hint="eastAsia" w:ascii="Times New Roman" w:hAnsi="Times New Roman" w:eastAsia="宋体" w:cs="Times New Roman"/>
                <w:color w:val="auto"/>
                <w:szCs w:val="24"/>
                <w:lang w:val="en-US" w:eastAsia="zh-CN"/>
              </w:rPr>
              <w:t>1项目厂区内</w:t>
            </w:r>
            <w:r>
              <w:rPr>
                <w:rFonts w:ascii="Times New Roman" w:hAnsi="Times New Roman" w:eastAsia="宋体" w:cs="Times New Roman"/>
                <w:color w:val="auto"/>
                <w:szCs w:val="24"/>
              </w:rPr>
              <w:t>环境质量监测点位数据，监测时间为</w:t>
            </w:r>
            <w:r>
              <w:rPr>
                <w:rFonts w:ascii="Times New Roman" w:hAnsi="Times New Roman" w:eastAsia="宋体" w:cs="Times New Roman"/>
                <w:color w:val="auto"/>
              </w:rPr>
              <w:t>2023年</w:t>
            </w:r>
            <w:r>
              <w:rPr>
                <w:rFonts w:hint="eastAsia" w:ascii="Times New Roman" w:hAnsi="Times New Roman" w:eastAsia="宋体" w:cs="Times New Roman"/>
                <w:color w:val="auto"/>
              </w:rPr>
              <w:t>11</w:t>
            </w:r>
            <w:r>
              <w:rPr>
                <w:rFonts w:ascii="Times New Roman" w:hAnsi="Times New Roman" w:eastAsia="宋体" w:cs="Times New Roman"/>
                <w:color w:val="auto"/>
              </w:rPr>
              <w:t>月</w:t>
            </w:r>
            <w:r>
              <w:rPr>
                <w:rFonts w:hint="eastAsia" w:ascii="Times New Roman" w:hAnsi="Times New Roman" w:eastAsia="宋体" w:cs="Times New Roman"/>
                <w:color w:val="auto"/>
              </w:rPr>
              <w:t>13</w:t>
            </w:r>
            <w:r>
              <w:rPr>
                <w:rFonts w:ascii="Times New Roman" w:hAnsi="Times New Roman" w:eastAsia="宋体" w:cs="Times New Roman"/>
                <w:color w:val="auto"/>
              </w:rPr>
              <w:t>日～2023年</w:t>
            </w:r>
            <w:r>
              <w:rPr>
                <w:rFonts w:hint="eastAsia" w:ascii="Times New Roman" w:hAnsi="Times New Roman" w:eastAsia="宋体" w:cs="Times New Roman"/>
                <w:color w:val="auto"/>
              </w:rPr>
              <w:t>11</w:t>
            </w:r>
            <w:r>
              <w:rPr>
                <w:rFonts w:ascii="Times New Roman" w:hAnsi="Times New Roman" w:eastAsia="宋体" w:cs="Times New Roman"/>
                <w:color w:val="auto"/>
              </w:rPr>
              <w:t>月</w:t>
            </w:r>
            <w:r>
              <w:rPr>
                <w:rFonts w:hint="eastAsia" w:ascii="Times New Roman" w:hAnsi="Times New Roman" w:eastAsia="宋体" w:cs="Times New Roman"/>
                <w:color w:val="auto"/>
              </w:rPr>
              <w:t>19</w:t>
            </w:r>
            <w:r>
              <w:rPr>
                <w:rFonts w:ascii="Times New Roman" w:hAnsi="Times New Roman" w:eastAsia="宋体" w:cs="Times New Roman"/>
                <w:color w:val="auto"/>
              </w:rPr>
              <w:t>日</w:t>
            </w:r>
            <w:r>
              <w:rPr>
                <w:rFonts w:ascii="Times New Roman" w:hAnsi="Times New Roman" w:eastAsia="宋体" w:cs="Times New Roman"/>
                <w:color w:val="auto"/>
                <w:szCs w:val="24"/>
              </w:rPr>
              <w:t>，监测点</w:t>
            </w:r>
            <w:r>
              <w:rPr>
                <w:rFonts w:hint="eastAsia" w:ascii="Times New Roman" w:hAnsi="Times New Roman" w:eastAsia="宋体" w:cs="Times New Roman"/>
                <w:color w:val="auto"/>
                <w:szCs w:val="24"/>
                <w:lang w:eastAsia="zh-CN"/>
              </w:rPr>
              <w:t>位于</w:t>
            </w:r>
            <w:r>
              <w:rPr>
                <w:rFonts w:ascii="Times New Roman" w:hAnsi="Times New Roman" w:eastAsia="宋体" w:cs="Times New Roman"/>
                <w:color w:val="auto"/>
                <w:szCs w:val="24"/>
              </w:rPr>
              <w:t>本项目</w:t>
            </w:r>
            <w:r>
              <w:rPr>
                <w:rFonts w:hint="eastAsia" w:ascii="Times New Roman" w:hAnsi="Times New Roman" w:eastAsia="宋体" w:cs="Times New Roman"/>
                <w:color w:val="auto"/>
                <w:szCs w:val="24"/>
                <w:lang w:val="en-US" w:eastAsia="zh-CN"/>
              </w:rPr>
              <w:t>NW6</w:t>
            </w:r>
            <w:r>
              <w:rPr>
                <w:rFonts w:hint="eastAsia" w:cs="Times New Roman"/>
                <w:color w:val="auto"/>
                <w:szCs w:val="24"/>
                <w:lang w:val="en-US" w:eastAsia="zh-CN"/>
              </w:rPr>
              <w:t>14</w:t>
            </w:r>
            <w:r>
              <w:rPr>
                <w:rFonts w:ascii="Times New Roman" w:hAnsi="Times New Roman" w:eastAsia="宋体" w:cs="Times New Roman"/>
                <w:color w:val="auto"/>
                <w:szCs w:val="24"/>
              </w:rPr>
              <w:t>m，满足引用条件。</w:t>
            </w:r>
          </w:p>
          <w:p w14:paraId="79C0745E">
            <w:pPr>
              <w:widowControl w:val="0"/>
              <w:spacing w:line="240" w:lineRule="auto"/>
              <w:ind w:firstLine="422" w:firstLineChars="200"/>
              <w:jc w:val="center"/>
              <w:rPr>
                <w:rFonts w:ascii="Times New Roman" w:hAnsi="Times New Roman" w:eastAsia="宋体" w:cs="Times New Roman"/>
                <w:b/>
                <w:color w:val="auto"/>
                <w:kern w:val="2"/>
                <w:sz w:val="21"/>
                <w:szCs w:val="21"/>
                <w:lang w:val="en-US" w:eastAsia="zh-CN" w:bidi="ar-SA"/>
              </w:rPr>
            </w:pPr>
            <w:r>
              <w:rPr>
                <w:rFonts w:ascii="Times New Roman" w:hAnsi="Times New Roman" w:eastAsia="宋体" w:cs="Times New Roman"/>
                <w:b/>
                <w:color w:val="auto"/>
                <w:kern w:val="2"/>
                <w:sz w:val="21"/>
                <w:szCs w:val="21"/>
                <w:lang w:val="en-US" w:eastAsia="zh-CN" w:bidi="ar-SA"/>
              </w:rPr>
              <w:t>表3-2  大气环境质量现状因子评价结果</w:t>
            </w:r>
          </w:p>
          <w:tbl>
            <w:tblPr>
              <w:tblStyle w:val="29"/>
              <w:tblW w:w="0" w:type="auto"/>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817"/>
              <w:gridCol w:w="1104"/>
              <w:gridCol w:w="1007"/>
              <w:gridCol w:w="582"/>
              <w:gridCol w:w="572"/>
              <w:gridCol w:w="1084"/>
              <w:gridCol w:w="1084"/>
              <w:gridCol w:w="960"/>
              <w:gridCol w:w="630"/>
              <w:gridCol w:w="572"/>
            </w:tblGrid>
            <w:tr w14:paraId="5F5A7E3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817" w:type="dxa"/>
                  <w:vMerge w:val="restart"/>
                  <w:tcBorders>
                    <w:tl2br w:val="nil"/>
                    <w:tr2bl w:val="nil"/>
                  </w:tcBorders>
                  <w:noWrap w:val="0"/>
                  <w:vAlign w:val="center"/>
                </w:tcPr>
                <w:p w14:paraId="33088C6B">
                  <w:pPr>
                    <w:spacing w:line="300" w:lineRule="exact"/>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点位名称</w:t>
                  </w:r>
                </w:p>
              </w:tc>
              <w:tc>
                <w:tcPr>
                  <w:tcW w:w="2111" w:type="dxa"/>
                  <w:gridSpan w:val="2"/>
                  <w:tcBorders>
                    <w:tl2br w:val="nil"/>
                    <w:tr2bl w:val="nil"/>
                  </w:tcBorders>
                  <w:noWrap w:val="0"/>
                  <w:vAlign w:val="center"/>
                </w:tcPr>
                <w:p w14:paraId="407AEAF0">
                  <w:pPr>
                    <w:spacing w:line="300" w:lineRule="exact"/>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经纬度</w:t>
                  </w:r>
                </w:p>
              </w:tc>
              <w:tc>
                <w:tcPr>
                  <w:tcW w:w="582" w:type="dxa"/>
                  <w:vMerge w:val="restart"/>
                  <w:tcBorders>
                    <w:tl2br w:val="nil"/>
                    <w:tr2bl w:val="nil"/>
                  </w:tcBorders>
                  <w:noWrap w:val="0"/>
                  <w:vAlign w:val="center"/>
                </w:tcPr>
                <w:p w14:paraId="4490AD98">
                  <w:pPr>
                    <w:spacing w:line="300" w:lineRule="exact"/>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污染物</w:t>
                  </w:r>
                </w:p>
              </w:tc>
              <w:tc>
                <w:tcPr>
                  <w:tcW w:w="572" w:type="dxa"/>
                  <w:vMerge w:val="restart"/>
                  <w:tcBorders>
                    <w:tl2br w:val="nil"/>
                    <w:tr2bl w:val="nil"/>
                  </w:tcBorders>
                  <w:noWrap w:val="0"/>
                  <w:vAlign w:val="center"/>
                </w:tcPr>
                <w:p w14:paraId="7F93FBA6">
                  <w:pPr>
                    <w:spacing w:line="300" w:lineRule="exact"/>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平均时间</w:t>
                  </w:r>
                </w:p>
              </w:tc>
              <w:tc>
                <w:tcPr>
                  <w:tcW w:w="1084" w:type="dxa"/>
                  <w:vMerge w:val="restart"/>
                  <w:tcBorders>
                    <w:tl2br w:val="nil"/>
                    <w:tr2bl w:val="nil"/>
                  </w:tcBorders>
                  <w:noWrap w:val="0"/>
                  <w:vAlign w:val="center"/>
                </w:tcPr>
                <w:p w14:paraId="0A3B3743">
                  <w:pPr>
                    <w:spacing w:line="300" w:lineRule="exact"/>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评价标准/mg/m</w:t>
                  </w:r>
                  <w:r>
                    <w:rPr>
                      <w:rFonts w:ascii="Times New Roman" w:hAnsi="Times New Roman" w:eastAsia="宋体" w:cs="Times New Roman"/>
                      <w:b/>
                      <w:bCs/>
                      <w:sz w:val="21"/>
                      <w:szCs w:val="21"/>
                      <w:vertAlign w:val="superscript"/>
                    </w:rPr>
                    <w:t>3</w:t>
                  </w:r>
                </w:p>
              </w:tc>
              <w:tc>
                <w:tcPr>
                  <w:tcW w:w="1084" w:type="dxa"/>
                  <w:vMerge w:val="restart"/>
                  <w:tcBorders>
                    <w:tl2br w:val="nil"/>
                    <w:tr2bl w:val="nil"/>
                  </w:tcBorders>
                  <w:noWrap w:val="0"/>
                  <w:vAlign w:val="center"/>
                </w:tcPr>
                <w:p w14:paraId="4530EE2A">
                  <w:pPr>
                    <w:spacing w:line="300" w:lineRule="exact"/>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最大浓度/mg/m</w:t>
                  </w:r>
                  <w:r>
                    <w:rPr>
                      <w:rFonts w:ascii="Times New Roman" w:hAnsi="Times New Roman" w:eastAsia="宋体" w:cs="Times New Roman"/>
                      <w:b/>
                      <w:bCs/>
                      <w:sz w:val="21"/>
                      <w:szCs w:val="21"/>
                      <w:vertAlign w:val="superscript"/>
                    </w:rPr>
                    <w:t>3</w:t>
                  </w:r>
                </w:p>
              </w:tc>
              <w:tc>
                <w:tcPr>
                  <w:tcW w:w="960" w:type="dxa"/>
                  <w:vMerge w:val="restart"/>
                  <w:tcBorders>
                    <w:tl2br w:val="nil"/>
                    <w:tr2bl w:val="nil"/>
                  </w:tcBorders>
                  <w:noWrap w:val="0"/>
                  <w:vAlign w:val="center"/>
                </w:tcPr>
                <w:p w14:paraId="6D383E12">
                  <w:pPr>
                    <w:spacing w:line="300" w:lineRule="exact"/>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最大浓度占标率/%</w:t>
                  </w:r>
                </w:p>
              </w:tc>
              <w:tc>
                <w:tcPr>
                  <w:tcW w:w="630" w:type="dxa"/>
                  <w:vMerge w:val="restart"/>
                  <w:tcBorders>
                    <w:tl2br w:val="nil"/>
                    <w:tr2bl w:val="nil"/>
                  </w:tcBorders>
                  <w:noWrap w:val="0"/>
                  <w:vAlign w:val="center"/>
                </w:tcPr>
                <w:p w14:paraId="0C7B4518">
                  <w:pPr>
                    <w:spacing w:line="300" w:lineRule="exact"/>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超标率/%</w:t>
                  </w:r>
                </w:p>
              </w:tc>
              <w:tc>
                <w:tcPr>
                  <w:tcW w:w="572" w:type="dxa"/>
                  <w:vMerge w:val="restart"/>
                  <w:tcBorders>
                    <w:tl2br w:val="nil"/>
                    <w:tr2bl w:val="nil"/>
                  </w:tcBorders>
                  <w:noWrap w:val="0"/>
                  <w:vAlign w:val="center"/>
                </w:tcPr>
                <w:p w14:paraId="11A233DC">
                  <w:pPr>
                    <w:spacing w:line="300" w:lineRule="exact"/>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达标情况</w:t>
                  </w:r>
                </w:p>
              </w:tc>
            </w:tr>
            <w:tr w14:paraId="4F2B166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817" w:type="dxa"/>
                  <w:vMerge w:val="continue"/>
                  <w:tcBorders>
                    <w:tl2br w:val="nil"/>
                    <w:tr2bl w:val="nil"/>
                  </w:tcBorders>
                  <w:noWrap w:val="0"/>
                  <w:vAlign w:val="center"/>
                </w:tcPr>
                <w:p w14:paraId="7DA8A01F">
                  <w:pPr>
                    <w:spacing w:line="300" w:lineRule="exact"/>
                    <w:jc w:val="center"/>
                    <w:rPr>
                      <w:rFonts w:ascii="Times New Roman" w:hAnsi="Times New Roman" w:eastAsia="宋体" w:cs="Times New Roman"/>
                      <w:sz w:val="21"/>
                      <w:szCs w:val="21"/>
                    </w:rPr>
                  </w:pPr>
                </w:p>
              </w:tc>
              <w:tc>
                <w:tcPr>
                  <w:tcW w:w="1104" w:type="dxa"/>
                  <w:tcBorders>
                    <w:tl2br w:val="nil"/>
                    <w:tr2bl w:val="nil"/>
                  </w:tcBorders>
                  <w:noWrap w:val="0"/>
                  <w:vAlign w:val="center"/>
                </w:tcPr>
                <w:p w14:paraId="4F2B7E00">
                  <w:pPr>
                    <w:spacing w:line="300" w:lineRule="exact"/>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经度</w:t>
                  </w:r>
                </w:p>
              </w:tc>
              <w:tc>
                <w:tcPr>
                  <w:tcW w:w="1007" w:type="dxa"/>
                  <w:tcBorders>
                    <w:tl2br w:val="nil"/>
                    <w:tr2bl w:val="nil"/>
                  </w:tcBorders>
                  <w:noWrap w:val="0"/>
                  <w:vAlign w:val="center"/>
                </w:tcPr>
                <w:p w14:paraId="0680C542">
                  <w:pPr>
                    <w:spacing w:line="300" w:lineRule="exact"/>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纬度</w:t>
                  </w:r>
                </w:p>
              </w:tc>
              <w:tc>
                <w:tcPr>
                  <w:tcW w:w="582" w:type="dxa"/>
                  <w:vMerge w:val="continue"/>
                  <w:tcBorders>
                    <w:tl2br w:val="nil"/>
                    <w:tr2bl w:val="nil"/>
                  </w:tcBorders>
                  <w:noWrap w:val="0"/>
                  <w:vAlign w:val="center"/>
                </w:tcPr>
                <w:p w14:paraId="79892180">
                  <w:pPr>
                    <w:spacing w:line="300" w:lineRule="exact"/>
                    <w:jc w:val="center"/>
                    <w:rPr>
                      <w:rFonts w:ascii="Times New Roman" w:hAnsi="Times New Roman" w:eastAsia="宋体" w:cs="Times New Roman"/>
                      <w:sz w:val="21"/>
                      <w:szCs w:val="21"/>
                    </w:rPr>
                  </w:pPr>
                </w:p>
              </w:tc>
              <w:tc>
                <w:tcPr>
                  <w:tcW w:w="572" w:type="dxa"/>
                  <w:vMerge w:val="continue"/>
                  <w:tcBorders>
                    <w:tl2br w:val="nil"/>
                    <w:tr2bl w:val="nil"/>
                  </w:tcBorders>
                  <w:noWrap w:val="0"/>
                  <w:vAlign w:val="center"/>
                </w:tcPr>
                <w:p w14:paraId="71BDAEED">
                  <w:pPr>
                    <w:spacing w:line="300" w:lineRule="exact"/>
                    <w:jc w:val="center"/>
                    <w:rPr>
                      <w:rFonts w:ascii="Times New Roman" w:hAnsi="Times New Roman" w:eastAsia="宋体" w:cs="Times New Roman"/>
                      <w:sz w:val="21"/>
                      <w:szCs w:val="21"/>
                    </w:rPr>
                  </w:pPr>
                </w:p>
              </w:tc>
              <w:tc>
                <w:tcPr>
                  <w:tcW w:w="1084" w:type="dxa"/>
                  <w:vMerge w:val="continue"/>
                  <w:tcBorders>
                    <w:tl2br w:val="nil"/>
                    <w:tr2bl w:val="nil"/>
                  </w:tcBorders>
                  <w:noWrap w:val="0"/>
                  <w:vAlign w:val="center"/>
                </w:tcPr>
                <w:p w14:paraId="135BBEF4">
                  <w:pPr>
                    <w:spacing w:line="300" w:lineRule="exact"/>
                    <w:jc w:val="center"/>
                    <w:rPr>
                      <w:rFonts w:ascii="Times New Roman" w:hAnsi="Times New Roman" w:eastAsia="宋体" w:cs="Times New Roman"/>
                      <w:sz w:val="21"/>
                      <w:szCs w:val="21"/>
                    </w:rPr>
                  </w:pPr>
                </w:p>
              </w:tc>
              <w:tc>
                <w:tcPr>
                  <w:tcW w:w="1084" w:type="dxa"/>
                  <w:vMerge w:val="continue"/>
                  <w:tcBorders>
                    <w:tl2br w:val="nil"/>
                    <w:tr2bl w:val="nil"/>
                  </w:tcBorders>
                  <w:noWrap w:val="0"/>
                  <w:vAlign w:val="center"/>
                </w:tcPr>
                <w:p w14:paraId="5E2DE94E">
                  <w:pPr>
                    <w:spacing w:line="300" w:lineRule="exact"/>
                    <w:jc w:val="center"/>
                    <w:rPr>
                      <w:rFonts w:ascii="Times New Roman" w:hAnsi="Times New Roman" w:eastAsia="宋体" w:cs="Times New Roman"/>
                      <w:sz w:val="21"/>
                      <w:szCs w:val="21"/>
                    </w:rPr>
                  </w:pPr>
                </w:p>
              </w:tc>
              <w:tc>
                <w:tcPr>
                  <w:tcW w:w="960" w:type="dxa"/>
                  <w:vMerge w:val="continue"/>
                  <w:tcBorders>
                    <w:tl2br w:val="nil"/>
                    <w:tr2bl w:val="nil"/>
                  </w:tcBorders>
                  <w:noWrap w:val="0"/>
                  <w:vAlign w:val="center"/>
                </w:tcPr>
                <w:p w14:paraId="795C14FD">
                  <w:pPr>
                    <w:spacing w:line="300" w:lineRule="exact"/>
                    <w:jc w:val="center"/>
                    <w:rPr>
                      <w:rFonts w:ascii="Times New Roman" w:hAnsi="Times New Roman" w:eastAsia="宋体" w:cs="Times New Roman"/>
                      <w:sz w:val="21"/>
                      <w:szCs w:val="21"/>
                    </w:rPr>
                  </w:pPr>
                </w:p>
              </w:tc>
              <w:tc>
                <w:tcPr>
                  <w:tcW w:w="630" w:type="dxa"/>
                  <w:vMerge w:val="continue"/>
                  <w:tcBorders>
                    <w:tl2br w:val="nil"/>
                    <w:tr2bl w:val="nil"/>
                  </w:tcBorders>
                  <w:noWrap w:val="0"/>
                  <w:vAlign w:val="center"/>
                </w:tcPr>
                <w:p w14:paraId="31529083">
                  <w:pPr>
                    <w:spacing w:line="300" w:lineRule="exact"/>
                    <w:jc w:val="center"/>
                    <w:rPr>
                      <w:rFonts w:ascii="Times New Roman" w:hAnsi="Times New Roman" w:eastAsia="宋体" w:cs="Times New Roman"/>
                      <w:sz w:val="21"/>
                      <w:szCs w:val="21"/>
                    </w:rPr>
                  </w:pPr>
                </w:p>
              </w:tc>
              <w:tc>
                <w:tcPr>
                  <w:tcW w:w="572" w:type="dxa"/>
                  <w:vMerge w:val="continue"/>
                  <w:tcBorders>
                    <w:tl2br w:val="nil"/>
                    <w:tr2bl w:val="nil"/>
                  </w:tcBorders>
                  <w:noWrap w:val="0"/>
                  <w:vAlign w:val="center"/>
                </w:tcPr>
                <w:p w14:paraId="4F3197B6">
                  <w:pPr>
                    <w:spacing w:line="300" w:lineRule="exact"/>
                    <w:jc w:val="center"/>
                    <w:rPr>
                      <w:rFonts w:ascii="Times New Roman" w:hAnsi="Times New Roman" w:eastAsia="宋体" w:cs="Times New Roman"/>
                      <w:sz w:val="21"/>
                      <w:szCs w:val="21"/>
                    </w:rPr>
                  </w:pPr>
                </w:p>
              </w:tc>
            </w:tr>
            <w:tr w14:paraId="2C579B8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817" w:type="dxa"/>
                  <w:tcBorders>
                    <w:tl2br w:val="nil"/>
                    <w:tr2bl w:val="nil"/>
                  </w:tcBorders>
                  <w:noWrap w:val="0"/>
                  <w:vAlign w:val="center"/>
                </w:tcPr>
                <w:p w14:paraId="742BCCE8">
                  <w:pPr>
                    <w:spacing w:line="30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衍蓉</w:t>
                  </w:r>
                  <w:r>
                    <w:rPr>
                      <w:rFonts w:hint="eastAsia" w:ascii="Times New Roman" w:hAnsi="Times New Roman" w:eastAsia="宋体" w:cs="Times New Roman"/>
                      <w:sz w:val="21"/>
                      <w:szCs w:val="21"/>
                      <w:lang w:val="en-US" w:eastAsia="zh-CN"/>
                    </w:rPr>
                    <w:t>项目厂区内</w:t>
                  </w:r>
                </w:p>
              </w:tc>
              <w:tc>
                <w:tcPr>
                  <w:tcW w:w="1104" w:type="dxa"/>
                  <w:tcBorders>
                    <w:tl2br w:val="nil"/>
                    <w:tr2bl w:val="nil"/>
                  </w:tcBorders>
                  <w:noWrap w:val="0"/>
                  <w:vAlign w:val="center"/>
                </w:tcPr>
                <w:p w14:paraId="05DE8032">
                  <w:pPr>
                    <w:spacing w:line="30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116.903464</w:t>
                  </w:r>
                </w:p>
              </w:tc>
              <w:tc>
                <w:tcPr>
                  <w:tcW w:w="1007" w:type="dxa"/>
                  <w:tcBorders>
                    <w:tl2br w:val="nil"/>
                    <w:tr2bl w:val="nil"/>
                  </w:tcBorders>
                  <w:noWrap w:val="0"/>
                  <w:vAlign w:val="center"/>
                </w:tcPr>
                <w:p w14:paraId="618FBE76">
                  <w:pPr>
                    <w:spacing w:line="30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32.707062</w:t>
                  </w:r>
                </w:p>
              </w:tc>
              <w:tc>
                <w:tcPr>
                  <w:tcW w:w="582" w:type="dxa"/>
                  <w:tcBorders>
                    <w:tl2br w:val="nil"/>
                    <w:tr2bl w:val="nil"/>
                  </w:tcBorders>
                  <w:noWrap w:val="0"/>
                  <w:vAlign w:val="center"/>
                </w:tcPr>
                <w:p w14:paraId="6559E9E7">
                  <w:pPr>
                    <w:spacing w:line="30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TSP</w:t>
                  </w:r>
                </w:p>
              </w:tc>
              <w:tc>
                <w:tcPr>
                  <w:tcW w:w="572" w:type="dxa"/>
                  <w:tcBorders>
                    <w:tl2br w:val="nil"/>
                    <w:tr2bl w:val="nil"/>
                  </w:tcBorders>
                  <w:noWrap w:val="0"/>
                  <w:vAlign w:val="center"/>
                </w:tcPr>
                <w:p w14:paraId="61077CBC">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日均值</w:t>
                  </w:r>
                </w:p>
              </w:tc>
              <w:tc>
                <w:tcPr>
                  <w:tcW w:w="1084" w:type="dxa"/>
                  <w:tcBorders>
                    <w:tl2br w:val="nil"/>
                    <w:tr2bl w:val="nil"/>
                  </w:tcBorders>
                  <w:noWrap w:val="0"/>
                  <w:vAlign w:val="center"/>
                </w:tcPr>
                <w:p w14:paraId="66DF9A1B">
                  <w:pPr>
                    <w:spacing w:line="30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w:t>
                  </w:r>
                </w:p>
              </w:tc>
              <w:tc>
                <w:tcPr>
                  <w:tcW w:w="1084" w:type="dxa"/>
                  <w:tcBorders>
                    <w:tl2br w:val="nil"/>
                    <w:tr2bl w:val="nil"/>
                  </w:tcBorders>
                  <w:noWrap w:val="0"/>
                  <w:vAlign w:val="center"/>
                </w:tcPr>
                <w:p w14:paraId="32ABF834">
                  <w:pPr>
                    <w:widowControl w:val="0"/>
                    <w:adjustRightInd w:val="0"/>
                    <w:snapToGrid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0.068</w:t>
                  </w:r>
                </w:p>
              </w:tc>
              <w:tc>
                <w:tcPr>
                  <w:tcW w:w="960" w:type="dxa"/>
                  <w:tcBorders>
                    <w:tl2br w:val="nil"/>
                    <w:tr2bl w:val="nil"/>
                  </w:tcBorders>
                  <w:noWrap w:val="0"/>
                  <w:vAlign w:val="center"/>
                </w:tcPr>
                <w:p w14:paraId="510E4835">
                  <w:pPr>
                    <w:widowControl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23</w:t>
                  </w:r>
                </w:p>
              </w:tc>
              <w:tc>
                <w:tcPr>
                  <w:tcW w:w="630" w:type="dxa"/>
                  <w:tcBorders>
                    <w:tl2br w:val="nil"/>
                    <w:tr2bl w:val="nil"/>
                  </w:tcBorders>
                  <w:noWrap w:val="0"/>
                  <w:vAlign w:val="center"/>
                </w:tcPr>
                <w:p w14:paraId="3B63085C">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572" w:type="dxa"/>
                  <w:tcBorders>
                    <w:tl2br w:val="nil"/>
                    <w:tr2bl w:val="nil"/>
                  </w:tcBorders>
                  <w:noWrap w:val="0"/>
                  <w:vAlign w:val="center"/>
                </w:tcPr>
                <w:p w14:paraId="4350B001">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达标</w:t>
                  </w:r>
                </w:p>
              </w:tc>
            </w:tr>
          </w:tbl>
          <w:p w14:paraId="279A87E8">
            <w:pPr>
              <w:widowControl w:val="0"/>
              <w:tabs>
                <w:tab w:val="center" w:pos="4153"/>
                <w:tab w:val="right" w:pos="8306"/>
              </w:tabs>
              <w:snapToGrid w:val="0"/>
              <w:spacing w:line="240" w:lineRule="auto"/>
              <w:jc w:val="center"/>
              <w:rPr>
                <w:rFonts w:ascii="Times New Roman" w:hAnsi="Times New Roman" w:eastAsia="宋体" w:cs="宋体"/>
                <w:b/>
                <w:bCs/>
                <w:kern w:val="2"/>
                <w:sz w:val="21"/>
                <w:szCs w:val="20"/>
                <w:u w:val="none" w:color="000000"/>
                <w:lang w:val="en-US" w:eastAsia="zh-CN" w:bidi="ar-SA"/>
              </w:rPr>
            </w:pPr>
            <w:r>
              <w:rPr>
                <w:rFonts w:ascii="Times New Roman" w:hAnsi="Times New Roman" w:eastAsia="宋体" w:cs="Times New Roman"/>
                <w:sz w:val="20"/>
              </w:rPr>
              <mc:AlternateContent>
                <mc:Choice Requires="wps">
                  <w:drawing>
                    <wp:anchor distT="0" distB="0" distL="114300" distR="114300" simplePos="0" relativeHeight="251666432" behindDoc="0" locked="0" layoutInCell="1" allowOverlap="1">
                      <wp:simplePos x="0" y="0"/>
                      <wp:positionH relativeFrom="column">
                        <wp:posOffset>1802130</wp:posOffset>
                      </wp:positionH>
                      <wp:positionV relativeFrom="paragraph">
                        <wp:posOffset>1285240</wp:posOffset>
                      </wp:positionV>
                      <wp:extent cx="622300" cy="311150"/>
                      <wp:effectExtent l="4445" t="4445" r="20955" b="8255"/>
                      <wp:wrapNone/>
                      <wp:docPr id="41" name="文本框 41"/>
                      <wp:cNvGraphicFramePr/>
                      <a:graphic xmlns:a="http://schemas.openxmlformats.org/drawingml/2006/main">
                        <a:graphicData uri="http://schemas.microsoft.com/office/word/2010/wordprocessingShape">
                          <wps:wsp>
                            <wps:cNvSpPr txBox="1"/>
                            <wps:spPr>
                              <a:xfrm>
                                <a:off x="0" y="0"/>
                                <a:ext cx="622300" cy="311150"/>
                              </a:xfrm>
                              <a:prstGeom prst="rect">
                                <a:avLst/>
                              </a:prstGeom>
                              <a:solidFill>
                                <a:srgbClr val="FFFFFF"/>
                              </a:solidFill>
                              <a:ln w="6350">
                                <a:solidFill>
                                  <a:prstClr val="black"/>
                                </a:solidFill>
                              </a:ln>
                              <a:effectLst/>
                            </wps:spPr>
                            <wps:txbx>
                              <w:txbxContent>
                                <w:p w14:paraId="6FE7F44C">
                                  <w:pPr>
                                    <w:spacing w:line="240" w:lineRule="auto"/>
                                    <w:rPr>
                                      <w:rFonts w:hint="default" w:ascii="Times New Roman" w:hAnsi="Times New Roman" w:eastAsia="宋体" w:cs="Times New Roman"/>
                                      <w:color w:val="FF0000"/>
                                      <w:lang w:val="en-US" w:eastAsia="zh-CN"/>
                                    </w:rPr>
                                  </w:pPr>
                                  <w:r>
                                    <w:rPr>
                                      <w:rFonts w:hint="eastAsia" w:cs="Times New Roman"/>
                                      <w:color w:val="FF0000"/>
                                      <w:sz w:val="21"/>
                                      <w:szCs w:val="21"/>
                                      <w:lang w:val="en-US" w:eastAsia="zh-CN"/>
                                    </w:rPr>
                                    <w:t>614</w:t>
                                  </w:r>
                                  <w:r>
                                    <w:rPr>
                                      <w:rFonts w:hint="eastAsia" w:ascii="Times New Roman" w:hAnsi="Times New Roman" w:eastAsia="宋体" w:cs="Times New Roman"/>
                                      <w:color w:val="FF0000"/>
                                      <w:lang w:val="en-US" w:eastAsia="zh-CN"/>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9pt;margin-top:101.2pt;height:24.5pt;width:49pt;z-index:251666432;mso-width-relative:page;mso-height-relative:page;" fillcolor="#FFFFFF" filled="t" stroked="t" coordsize="21600,21600" o:gfxdata="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ql&#10;IzHXAAAACwEAAA8AAAAAAAAAAQAgAAAAIgAAAGRycy9kb3ducmV2LnhtbFBLAQIUABQAAAAIAIdO&#10;4kCI1GG+XQIAAMYEAAAOAAAAAAAAAAEAIAAAACYBAABkcnMvZTJvRG9jLnhtbFBLBQYAAAAABgAG&#10;AFkBAAD1BQAAAAA=&#10;">
                      <v:fill on="t" focussize="0,0"/>
                      <v:stroke weight="0.5pt" color="#000000" joinstyle="round"/>
                      <v:imagedata o:title=""/>
                      <o:lock v:ext="edit" aspectratio="f"/>
                      <v:textbox>
                        <w:txbxContent>
                          <w:p w14:paraId="6FE7F44C">
                            <w:pPr>
                              <w:spacing w:line="240" w:lineRule="auto"/>
                              <w:rPr>
                                <w:rFonts w:hint="default" w:ascii="Times New Roman" w:hAnsi="Times New Roman" w:eastAsia="宋体" w:cs="Times New Roman"/>
                                <w:color w:val="FF0000"/>
                                <w:lang w:val="en-US" w:eastAsia="zh-CN"/>
                              </w:rPr>
                            </w:pPr>
                            <w:r>
                              <w:rPr>
                                <w:rFonts w:hint="eastAsia" w:cs="Times New Roman"/>
                                <w:color w:val="FF0000"/>
                                <w:sz w:val="21"/>
                                <w:szCs w:val="21"/>
                                <w:lang w:val="en-US" w:eastAsia="zh-CN"/>
                              </w:rPr>
                              <w:t>614</w:t>
                            </w:r>
                            <w:r>
                              <w:rPr>
                                <w:rFonts w:hint="eastAsia" w:ascii="Times New Roman" w:hAnsi="Times New Roman" w:eastAsia="宋体" w:cs="Times New Roman"/>
                                <w:color w:val="FF0000"/>
                                <w:lang w:val="en-US" w:eastAsia="zh-CN"/>
                              </w:rPr>
                              <w:t>m</w:t>
                            </w:r>
                          </w:p>
                        </w:txbxContent>
                      </v:textbox>
                    </v:shape>
                  </w:pict>
                </mc:Fallback>
              </mc:AlternateContent>
            </w:r>
            <w:r>
              <w:rPr>
                <w:rFonts w:ascii="Times New Roman" w:hAnsi="Times New Roman" w:eastAsia="宋体" w:cs="Times New Roman"/>
                <w:sz w:val="20"/>
              </w:rPr>
              <mc:AlternateContent>
                <mc:Choice Requires="wps">
                  <w:drawing>
                    <wp:anchor distT="0" distB="0" distL="114300" distR="114300" simplePos="0" relativeHeight="251664384" behindDoc="0" locked="0" layoutInCell="1" allowOverlap="1">
                      <wp:simplePos x="0" y="0"/>
                      <wp:positionH relativeFrom="column">
                        <wp:posOffset>3967480</wp:posOffset>
                      </wp:positionH>
                      <wp:positionV relativeFrom="paragraph">
                        <wp:posOffset>1291590</wp:posOffset>
                      </wp:positionV>
                      <wp:extent cx="1054100" cy="311150"/>
                      <wp:effectExtent l="1350645" t="12700" r="14605" b="666750"/>
                      <wp:wrapNone/>
                      <wp:docPr id="11" name="矩形标注 11"/>
                      <wp:cNvGraphicFramePr/>
                      <a:graphic xmlns:a="http://schemas.openxmlformats.org/drawingml/2006/main">
                        <a:graphicData uri="http://schemas.microsoft.com/office/word/2010/wordprocessingShape">
                          <wps:wsp>
                            <wps:cNvSpPr/>
                            <wps:spPr>
                              <a:xfrm>
                                <a:off x="5291455" y="1656080"/>
                                <a:ext cx="1054100" cy="311150"/>
                              </a:xfrm>
                              <a:prstGeom prst="wedgeRectCallout">
                                <a:avLst>
                                  <a:gd name="adj1" fmla="val -176927"/>
                                  <a:gd name="adj2" fmla="val 255918"/>
                                </a:avLst>
                              </a:prstGeom>
                              <a:solidFill>
                                <a:srgbClr val="4F81BD"/>
                              </a:solidFill>
                              <a:ln w="25400" cap="flat" cmpd="sng" algn="ctr">
                                <a:solidFill>
                                  <a:srgbClr val="376092">
                                    <a:lumMod val="75000"/>
                                  </a:srgbClr>
                                </a:solidFill>
                                <a:prstDash val="solid"/>
                              </a:ln>
                              <a:effectLst/>
                            </wps:spPr>
                            <wps:txbx>
                              <w:txbxContent>
                                <w:p w14:paraId="180DF85F">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2.4pt;margin-top:101.7pt;height:24.5pt;width:83pt;z-index:251664384;v-text-anchor:middle;mso-width-relative:page;mso-height-relative:page;" fillcolor="#4F81BD" filled="t" stroked="t" coordsize="21600,21600" o:gfxdata="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P87tWPWAAAA&#10;CwEAAA8AAAAAAAAAAQAgAAAAIgAAAGRycy9kb3ducmV2LnhtbFBLAQIUABQAAAAIAIdO4kC4GMp3&#10;ygIAAIwFAAAOAAAAAAAAAAEAIAAAACUBAABkcnMvZTJvRG9jLnhtbFBLBQYAAAAABgAGAFkBAABh&#10;BgAAAAA=&#10;" adj="-27416,66078">
                      <v:fill on="t" focussize="0,0"/>
                      <v:stroke weight="2pt" color="#29486E" joinstyle="round"/>
                      <v:imagedata o:title=""/>
                      <o:lock v:ext="edit" aspectratio="f"/>
                      <v:textbox>
                        <w:txbxContent>
                          <w:p w14:paraId="180DF85F">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项目所在地</w:t>
                            </w:r>
                          </w:p>
                        </w:txbxContent>
                      </v:textbox>
                    </v:shape>
                  </w:pict>
                </mc:Fallback>
              </mc:AlternateContent>
            </w:r>
            <w:r>
              <w:rPr>
                <w:rFonts w:ascii="Times New Roman" w:hAnsi="Times New Roman" w:eastAsia="宋体" w:cs="Times New Roman"/>
                <w:sz w:val="20"/>
              </w:rPr>
              <mc:AlternateContent>
                <mc:Choice Requires="wps">
                  <w:drawing>
                    <wp:anchor distT="0" distB="0" distL="114300" distR="114300" simplePos="0" relativeHeight="251665408" behindDoc="0" locked="0" layoutInCell="1" allowOverlap="1">
                      <wp:simplePos x="0" y="0"/>
                      <wp:positionH relativeFrom="column">
                        <wp:posOffset>2550160</wp:posOffset>
                      </wp:positionH>
                      <wp:positionV relativeFrom="paragraph">
                        <wp:posOffset>827405</wp:posOffset>
                      </wp:positionV>
                      <wp:extent cx="19685" cy="1310005"/>
                      <wp:effectExtent l="55880" t="0" r="38735" b="4445"/>
                      <wp:wrapNone/>
                      <wp:docPr id="46" name="直接箭头连接符 46"/>
                      <wp:cNvGraphicFramePr/>
                      <a:graphic xmlns:a="http://schemas.openxmlformats.org/drawingml/2006/main">
                        <a:graphicData uri="http://schemas.microsoft.com/office/word/2010/wordprocessingShape">
                          <wps:wsp>
                            <wps:cNvCnPr/>
                            <wps:spPr>
                              <a:xfrm flipH="1" flipV="1">
                                <a:off x="0" y="0"/>
                                <a:ext cx="19685" cy="1310005"/>
                              </a:xfrm>
                              <a:prstGeom prst="straightConnector1">
                                <a:avLst/>
                              </a:prstGeom>
                              <a:ln w="25400" cap="flat" cmpd="sng">
                                <a:solidFill>
                                  <a:srgbClr val="FF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 y;margin-left:200.8pt;margin-top:65.15pt;height:103.15pt;width:1.55pt;z-index:251665408;mso-width-relative:page;mso-height-relative:page;" filled="f" stroked="t" coordsize="21600,21600" o:gfxdata="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5Q/kjZAAAA&#10;CwEAAA8AAAAAAAAAAQAgAAAAIgAAAGRycy9kb3ducmV2LnhtbFBLAQIUABQAAAAIAIdO4kBWVNuw&#10;HAIAABIEAAAOAAAAAAAAAAEAIAAAACgBAABkcnMvZTJvRG9jLnhtbFBLBQYAAAAABgAGAFkBAAC2&#10;BQAAAAA=&#10;">
                      <v:fill on="f" focussize="0,0"/>
                      <v:stroke weight="2pt" color="#FF0000" joinstyle="round" endarrow="open"/>
                      <v:imagedata o:title=""/>
                      <o:lock v:ext="edit" aspectratio="f"/>
                    </v:shape>
                  </w:pict>
                </mc:Fallback>
              </mc:AlternateContent>
            </w:r>
            <w:r>
              <w:rPr>
                <w:rFonts w:ascii="Times New Roman" w:hAnsi="Times New Roman" w:eastAsia="宋体" w:cs="宋体"/>
                <w:b/>
                <w:bCs/>
                <w:kern w:val="2"/>
                <w:sz w:val="21"/>
                <w:szCs w:val="20"/>
                <w:u w:val="none" w:color="000000"/>
                <w:lang w:val="en-US" w:eastAsia="zh-CN" w:bidi="ar-SA"/>
              </w:rPr>
              <w:drawing>
                <wp:anchor distT="0" distB="0" distL="114300" distR="114300" simplePos="0" relativeHeight="251667456" behindDoc="0" locked="0" layoutInCell="1" allowOverlap="1">
                  <wp:simplePos x="0" y="0"/>
                  <wp:positionH relativeFrom="column">
                    <wp:posOffset>4716145</wp:posOffset>
                  </wp:positionH>
                  <wp:positionV relativeFrom="paragraph">
                    <wp:posOffset>18415</wp:posOffset>
                  </wp:positionV>
                  <wp:extent cx="461010" cy="586105"/>
                  <wp:effectExtent l="0" t="0" r="15240" b="4445"/>
                  <wp:wrapNone/>
                  <wp:docPr id="42" name="图片 18"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descr="指北针"/>
                          <pic:cNvPicPr>
                            <a:picLocks noChangeAspect="1"/>
                          </pic:cNvPicPr>
                        </pic:nvPicPr>
                        <pic:blipFill>
                          <a:blip r:embed="rId17"/>
                          <a:stretch>
                            <a:fillRect/>
                          </a:stretch>
                        </pic:blipFill>
                        <pic:spPr>
                          <a:xfrm>
                            <a:off x="0" y="0"/>
                            <a:ext cx="461010" cy="586105"/>
                          </a:xfrm>
                          <a:prstGeom prst="rect">
                            <a:avLst/>
                          </a:prstGeom>
                          <a:noFill/>
                          <a:ln>
                            <a:noFill/>
                          </a:ln>
                        </pic:spPr>
                      </pic:pic>
                    </a:graphicData>
                  </a:graphic>
                </wp:anchor>
              </w:drawing>
            </w:r>
            <w:r>
              <w:rPr>
                <w:rFonts w:ascii="Times New Roman" w:hAnsi="Times New Roman" w:eastAsia="宋体" w:cs="Times New Roman"/>
                <w:sz w:val="20"/>
              </w:rPr>
              <w:drawing>
                <wp:inline distT="0" distB="0" distL="114300" distR="114300">
                  <wp:extent cx="5340350" cy="3334385"/>
                  <wp:effectExtent l="0" t="0" r="12700" b="18415"/>
                  <wp:docPr id="1" name="图片 1" descr="6353b31e8d4949ca38d6fb55bd8757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353b31e8d4949ca38d6fb55bd8757bf"/>
                          <pic:cNvPicPr>
                            <a:picLocks noChangeAspect="1"/>
                          </pic:cNvPicPr>
                        </pic:nvPicPr>
                        <pic:blipFill>
                          <a:blip r:embed="rId18"/>
                          <a:stretch>
                            <a:fillRect/>
                          </a:stretch>
                        </pic:blipFill>
                        <pic:spPr>
                          <a:xfrm>
                            <a:off x="0" y="0"/>
                            <a:ext cx="5340350" cy="3334385"/>
                          </a:xfrm>
                          <a:prstGeom prst="rect">
                            <a:avLst/>
                          </a:prstGeom>
                        </pic:spPr>
                      </pic:pic>
                    </a:graphicData>
                  </a:graphic>
                </wp:inline>
              </w:drawing>
            </w:r>
            <w:r>
              <w:rPr>
                <w:rFonts w:ascii="Times New Roman" w:hAnsi="Times New Roman" w:eastAsia="宋体" w:cs="Times New Roman"/>
                <w:sz w:val="20"/>
              </w:rPr>
              <mc:AlternateContent>
                <mc:Choice Requires="wps">
                  <w:drawing>
                    <wp:anchor distT="0" distB="0" distL="114300" distR="114300" simplePos="0" relativeHeight="251663360" behindDoc="0" locked="0" layoutInCell="1" allowOverlap="1">
                      <wp:simplePos x="0" y="0"/>
                      <wp:positionH relativeFrom="column">
                        <wp:posOffset>3091815</wp:posOffset>
                      </wp:positionH>
                      <wp:positionV relativeFrom="paragraph">
                        <wp:posOffset>154305</wp:posOffset>
                      </wp:positionV>
                      <wp:extent cx="1447165" cy="337820"/>
                      <wp:effectExtent l="94615" t="12700" r="20320" b="392430"/>
                      <wp:wrapNone/>
                      <wp:docPr id="45" name="矩形标注 45"/>
                      <wp:cNvGraphicFramePr/>
                      <a:graphic xmlns:a="http://schemas.openxmlformats.org/drawingml/2006/main">
                        <a:graphicData uri="http://schemas.microsoft.com/office/word/2010/wordprocessingShape">
                          <wps:wsp>
                            <wps:cNvSpPr/>
                            <wps:spPr>
                              <a:xfrm>
                                <a:off x="0" y="0"/>
                                <a:ext cx="1447165" cy="337820"/>
                              </a:xfrm>
                              <a:prstGeom prst="wedgeRectCallout">
                                <a:avLst>
                                  <a:gd name="adj1" fmla="val -55657"/>
                                  <a:gd name="adj2" fmla="val 162218"/>
                                </a:avLst>
                              </a:prstGeom>
                              <a:solidFill>
                                <a:srgbClr val="4F81BD"/>
                              </a:solidFill>
                              <a:ln w="25400" cap="flat" cmpd="sng">
                                <a:solidFill>
                                  <a:srgbClr val="376092"/>
                                </a:solidFill>
                                <a:prstDash val="solid"/>
                                <a:round/>
                                <a:headEnd type="none" w="med" len="med"/>
                                <a:tailEnd type="none" w="med" len="med"/>
                              </a:ln>
                            </wps:spPr>
                            <wps:txbx>
                              <w:txbxContent>
                                <w:p w14:paraId="25F3668B">
                                  <w:pPr>
                                    <w:spacing w:line="240" w:lineRule="auto"/>
                                    <w:rPr>
                                      <w:rFonts w:hint="default" w:ascii="Times New Roman" w:hAnsi="Times New Roman" w:eastAsia="宋体" w:cs="Times New Roman"/>
                                      <w:lang w:val="en-US" w:eastAsia="zh-CN"/>
                                    </w:rPr>
                                  </w:pPr>
                                  <w:r>
                                    <w:rPr>
                                      <w:rFonts w:hint="eastAsia" w:ascii="Times New Roman" w:hAnsi="Times New Roman" w:eastAsia="宋体" w:cs="Times New Roman"/>
                                      <w:sz w:val="21"/>
                                      <w:szCs w:val="21"/>
                                    </w:rPr>
                                    <w:t>衍蓉</w:t>
                                  </w:r>
                                  <w:r>
                                    <w:rPr>
                                      <w:rFonts w:hint="eastAsia" w:ascii="Times New Roman" w:hAnsi="Times New Roman" w:eastAsia="宋体" w:cs="Times New Roman"/>
                                      <w:sz w:val="21"/>
                                      <w:szCs w:val="21"/>
                                      <w:lang w:val="en-US" w:eastAsia="zh-CN"/>
                                    </w:rPr>
                                    <w:t>项目厂区内</w:t>
                                  </w:r>
                                </w:p>
                              </w:txbxContent>
                            </wps:txbx>
                            <wps:bodyPr anchor="ctr" anchorCtr="0" upright="1"/>
                          </wps:wsp>
                        </a:graphicData>
                      </a:graphic>
                    </wp:anchor>
                  </w:drawing>
                </mc:Choice>
                <mc:Fallback>
                  <w:pict>
                    <v:shape id="_x0000_s1026" o:spid="_x0000_s1026" o:spt="61" type="#_x0000_t61" style="position:absolute;left:0pt;margin-left:243.45pt;margin-top:12.15pt;height:26.6pt;width:113.95pt;z-index:251663360;v-text-anchor:middle;mso-width-relative:page;mso-height-relative:page;" fillcolor="#4F81BD" filled="t" stroked="t" coordsize="21600,21600" o:gfxdata="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ux77/aAAAACQEAAA8A&#10;AAAAAAAAAQAgAAAAIgAAAGRycy9kb3ducmV2LnhtbFBLAQIUABQAAAAIAIdO4kBo5wUnTgIAAKwE&#10;AAAOAAAAAAAAAAEAIAAAACkBAABkcnMvZTJvRG9jLnhtbFBLBQYAAAAABgAGAFkBAADpBQAAAAA=&#10;" adj="-1222,45839">
                      <v:fill on="t" focussize="0,0"/>
                      <v:stroke weight="2pt" color="#376092" joinstyle="round"/>
                      <v:imagedata o:title=""/>
                      <o:lock v:ext="edit" aspectratio="f"/>
                      <v:textbox>
                        <w:txbxContent>
                          <w:p w14:paraId="25F3668B">
                            <w:pPr>
                              <w:spacing w:line="240" w:lineRule="auto"/>
                              <w:rPr>
                                <w:rFonts w:hint="default" w:ascii="Times New Roman" w:hAnsi="Times New Roman" w:eastAsia="宋体" w:cs="Times New Roman"/>
                                <w:lang w:val="en-US" w:eastAsia="zh-CN"/>
                              </w:rPr>
                            </w:pPr>
                            <w:r>
                              <w:rPr>
                                <w:rFonts w:hint="eastAsia" w:ascii="Times New Roman" w:hAnsi="Times New Roman" w:eastAsia="宋体" w:cs="Times New Roman"/>
                                <w:sz w:val="21"/>
                                <w:szCs w:val="21"/>
                              </w:rPr>
                              <w:t>衍蓉</w:t>
                            </w:r>
                            <w:r>
                              <w:rPr>
                                <w:rFonts w:hint="eastAsia" w:ascii="Times New Roman" w:hAnsi="Times New Roman" w:eastAsia="宋体" w:cs="Times New Roman"/>
                                <w:sz w:val="21"/>
                                <w:szCs w:val="21"/>
                                <w:lang w:val="en-US" w:eastAsia="zh-CN"/>
                              </w:rPr>
                              <w:t>项目厂区内</w:t>
                            </w:r>
                          </w:p>
                        </w:txbxContent>
                      </v:textbox>
                    </v:shape>
                  </w:pict>
                </mc:Fallback>
              </mc:AlternateContent>
            </w:r>
          </w:p>
          <w:p w14:paraId="08C9ED78">
            <w:pPr>
              <w:widowControl w:val="0"/>
              <w:tabs>
                <w:tab w:val="center" w:pos="4153"/>
                <w:tab w:val="right" w:pos="8306"/>
              </w:tabs>
              <w:snapToGrid w:val="0"/>
              <w:spacing w:line="240" w:lineRule="auto"/>
              <w:jc w:val="center"/>
              <w:rPr>
                <w:rFonts w:hint="eastAsia" w:ascii="Times New Roman" w:hAnsi="Times New Roman" w:eastAsia="宋体" w:cs="Times New Roman"/>
                <w:color w:val="auto"/>
              </w:rPr>
            </w:pPr>
            <w:r>
              <w:rPr>
                <w:rFonts w:ascii="Times New Roman" w:hAnsi="Times New Roman" w:eastAsia="宋体" w:cs="宋体"/>
                <w:b/>
                <w:bCs/>
                <w:kern w:val="2"/>
                <w:sz w:val="21"/>
                <w:szCs w:val="20"/>
                <w:u w:val="none" w:color="000000"/>
                <w:lang w:val="en-US" w:eastAsia="zh-CN" w:bidi="ar-SA"/>
              </w:rPr>
              <w:t>图</w:t>
            </w:r>
            <w:r>
              <w:rPr>
                <w:rFonts w:hint="eastAsia" w:ascii="Times New Roman" w:hAnsi="Times New Roman" w:eastAsia="宋体" w:cs="宋体"/>
                <w:b/>
                <w:bCs/>
                <w:kern w:val="2"/>
                <w:sz w:val="21"/>
                <w:szCs w:val="20"/>
                <w:u w:val="none" w:color="000000"/>
                <w:lang w:val="en-US" w:eastAsia="zh-CN" w:bidi="ar-SA"/>
              </w:rPr>
              <w:t>3</w:t>
            </w:r>
            <w:r>
              <w:rPr>
                <w:rFonts w:ascii="Times New Roman" w:hAnsi="Times New Roman" w:eastAsia="宋体" w:cs="宋体"/>
                <w:b/>
                <w:bCs/>
                <w:kern w:val="2"/>
                <w:sz w:val="21"/>
                <w:szCs w:val="20"/>
                <w:u w:val="none" w:color="000000"/>
                <w:lang w:val="en-US" w:eastAsia="zh-CN" w:bidi="ar-SA"/>
              </w:rPr>
              <w:t>-1 本项目大气</w:t>
            </w:r>
            <w:r>
              <w:rPr>
                <w:rFonts w:hint="eastAsia" w:ascii="Times New Roman" w:hAnsi="Times New Roman" w:eastAsia="宋体" w:cs="宋体"/>
                <w:b/>
                <w:bCs/>
                <w:kern w:val="2"/>
                <w:sz w:val="21"/>
                <w:szCs w:val="20"/>
                <w:u w:val="none" w:color="000000"/>
                <w:lang w:val="en-US" w:eastAsia="zh-CN" w:bidi="ar-SA"/>
              </w:rPr>
              <w:t>监测点位</w:t>
            </w:r>
            <w:r>
              <w:rPr>
                <w:rFonts w:ascii="Times New Roman" w:hAnsi="Times New Roman" w:eastAsia="宋体" w:cs="宋体"/>
                <w:b/>
                <w:bCs/>
                <w:kern w:val="2"/>
                <w:sz w:val="21"/>
                <w:szCs w:val="20"/>
                <w:u w:val="none" w:color="000000"/>
                <w:lang w:val="en-US" w:eastAsia="zh-CN" w:bidi="ar-SA"/>
              </w:rPr>
              <w:t>引用点位图</w:t>
            </w:r>
          </w:p>
          <w:p w14:paraId="2BC4652C">
            <w:pPr>
              <w:ind w:firstLine="480" w:firstLineChars="200"/>
              <w:rPr>
                <w:rFonts w:ascii="Times New Roman" w:hAnsi="Times New Roman" w:eastAsia="宋体" w:cs="Times New Roman"/>
                <w:b/>
                <w:bCs/>
                <w:color w:val="auto"/>
              </w:rPr>
            </w:pPr>
            <w:r>
              <w:rPr>
                <w:rFonts w:hint="eastAsia" w:ascii="Times New Roman" w:hAnsi="Times New Roman" w:eastAsia="宋体" w:cs="Times New Roman"/>
                <w:color w:val="auto"/>
              </w:rPr>
              <w:t>监测结果可知：</w:t>
            </w:r>
            <w:r>
              <w:rPr>
                <w:rFonts w:ascii="Times New Roman" w:hAnsi="Times New Roman" w:eastAsia="宋体" w:cs="Times New Roman"/>
              </w:rPr>
              <w:t>项目所在区域TSP满足《环境空气质量标准》中二级标准。</w:t>
            </w:r>
          </w:p>
          <w:p w14:paraId="69245EBA">
            <w:pPr>
              <w:ind w:firstLine="482" w:firstLineChars="200"/>
              <w:rPr>
                <w:rFonts w:hint="eastAsia" w:eastAsia="宋体"/>
                <w:b/>
                <w:bCs/>
                <w:color w:val="000000"/>
                <w:lang w:eastAsia="zh-CN"/>
              </w:rPr>
            </w:pPr>
            <w:r>
              <w:rPr>
                <w:rFonts w:hint="eastAsia"/>
                <w:b/>
                <w:bCs/>
                <w:color w:val="000000"/>
              </w:rPr>
              <w:t>2、地表水环境质量现状</w:t>
            </w:r>
          </w:p>
          <w:p w14:paraId="5AEBBC8B">
            <w:pPr>
              <w:ind w:firstLine="480" w:firstLineChars="200"/>
              <w:rPr>
                <w:rFonts w:ascii="Times New Roman" w:hAnsi="Times New Roman" w:eastAsia="宋体"/>
                <w:color w:val="auto"/>
              </w:rPr>
            </w:pPr>
            <w:r>
              <w:rPr>
                <w:rFonts w:ascii="Times New Roman" w:hAnsi="Times New Roman" w:eastAsia="宋体"/>
                <w:color w:val="auto"/>
              </w:rPr>
              <w:t>本项目纳污水体为</w:t>
            </w:r>
            <w:r>
              <w:rPr>
                <w:rFonts w:hint="eastAsia" w:ascii="Times New Roman" w:hAnsi="Times New Roman" w:eastAsia="宋体"/>
                <w:color w:val="auto"/>
                <w:lang w:val="en-US" w:eastAsia="zh-CN"/>
              </w:rPr>
              <w:t>泥河</w:t>
            </w:r>
            <w:r>
              <w:rPr>
                <w:rFonts w:ascii="Times New Roman" w:hAnsi="Times New Roman" w:eastAsia="宋体"/>
                <w:color w:val="auto"/>
              </w:rPr>
              <w:t>。根据《</w:t>
            </w:r>
            <w:r>
              <w:rPr>
                <w:rFonts w:hint="eastAsia" w:ascii="Times New Roman" w:hAnsi="Times New Roman" w:eastAsia="宋体"/>
                <w:color w:val="auto"/>
                <w:lang w:eastAsia="zh-CN"/>
              </w:rPr>
              <w:t>202</w:t>
            </w:r>
            <w:r>
              <w:rPr>
                <w:rFonts w:hint="eastAsia" w:ascii="Times New Roman" w:hAnsi="Times New Roman" w:eastAsia="宋体"/>
                <w:color w:val="auto"/>
                <w:lang w:val="en-US" w:eastAsia="zh-CN"/>
              </w:rPr>
              <w:t>4</w:t>
            </w:r>
            <w:r>
              <w:rPr>
                <w:rFonts w:hint="eastAsia" w:ascii="Times New Roman" w:hAnsi="Times New Roman" w:eastAsia="宋体"/>
                <w:color w:val="auto"/>
                <w:lang w:eastAsia="zh-CN"/>
              </w:rPr>
              <w:t>年淮南市环境质量状况公报</w:t>
            </w:r>
            <w:r>
              <w:rPr>
                <w:rFonts w:ascii="Times New Roman" w:hAnsi="Times New Roman" w:eastAsia="宋体"/>
                <w:color w:val="auto"/>
              </w:rPr>
              <w:t>》可知：</w:t>
            </w:r>
          </w:p>
          <w:p w14:paraId="3993FF8C">
            <w:pPr>
              <w:ind w:firstLine="480" w:firstLineChars="200"/>
              <w:rPr>
                <w:rFonts w:ascii="Times New Roman" w:hAnsi="Times New Roman" w:eastAsia="宋体" w:cs="Times New Roman"/>
                <w:color w:val="auto"/>
              </w:rPr>
            </w:pPr>
            <w:r>
              <w:rPr>
                <w:rFonts w:hint="default" w:ascii="Times New Roman" w:hAnsi="Times New Roman" w:eastAsia="宋体" w:cs="Times New Roman"/>
                <w:color w:val="auto"/>
              </w:rPr>
              <w:t>2024</w:t>
            </w:r>
            <w:r>
              <w:rPr>
                <w:rFonts w:ascii="Times New Roman" w:hAnsi="Times New Roman" w:eastAsia="宋体" w:cs="Times New Roman"/>
                <w:color w:val="auto"/>
              </w:rPr>
              <w:t>年，全市地表水</w:t>
            </w:r>
            <w:r>
              <w:rPr>
                <w:rFonts w:hint="default" w:ascii="Times New Roman" w:hAnsi="Times New Roman" w:eastAsia="宋体" w:cs="Times New Roman"/>
                <w:color w:val="auto"/>
              </w:rPr>
              <w:t>24</w:t>
            </w:r>
            <w:r>
              <w:rPr>
                <w:rFonts w:hint="eastAsia" w:ascii="Times New Roman" w:hAnsi="Times New Roman" w:eastAsia="宋体" w:cs="Times New Roman"/>
                <w:color w:val="auto"/>
              </w:rPr>
              <w:t>个监测断面中优良水质比例为</w:t>
            </w:r>
            <w:r>
              <w:rPr>
                <w:rFonts w:hint="default" w:ascii="Times New Roman" w:hAnsi="Times New Roman" w:eastAsia="宋体" w:cs="Times New Roman"/>
                <w:color w:val="auto"/>
              </w:rPr>
              <w:t>91.7%</w:t>
            </w:r>
            <w:r>
              <w:rPr>
                <w:rFonts w:hint="eastAsia" w:ascii="Times New Roman" w:hAnsi="Times New Roman" w:eastAsia="宋体" w:cs="Times New Roman"/>
                <w:color w:val="auto"/>
              </w:rPr>
              <w:t>，比上年下降了</w:t>
            </w:r>
            <w:r>
              <w:rPr>
                <w:rFonts w:hint="default" w:ascii="Times New Roman" w:hAnsi="Times New Roman" w:eastAsia="宋体" w:cs="Times New Roman"/>
                <w:color w:val="auto"/>
              </w:rPr>
              <w:t>4.1</w:t>
            </w:r>
            <w:r>
              <w:rPr>
                <w:rFonts w:hint="eastAsia" w:ascii="Times New Roman" w:hAnsi="Times New Roman" w:eastAsia="宋体" w:cs="Times New Roman"/>
                <w:color w:val="auto"/>
              </w:rPr>
              <w:t>个百分点，</w:t>
            </w:r>
            <w:r>
              <w:rPr>
                <w:rFonts w:hint="default" w:ascii="Times New Roman" w:hAnsi="Times New Roman" w:eastAsia="宋体" w:cs="Times New Roman"/>
                <w:color w:val="auto"/>
              </w:rPr>
              <w:t>Ⅳ</w:t>
            </w:r>
            <w:r>
              <w:rPr>
                <w:rFonts w:hint="eastAsia" w:ascii="Times New Roman" w:hAnsi="Times New Roman" w:eastAsia="宋体" w:cs="Times New Roman"/>
                <w:color w:val="auto"/>
              </w:rPr>
              <w:t>类水质比例</w:t>
            </w:r>
            <w:r>
              <w:rPr>
                <w:rFonts w:hint="default" w:ascii="Times New Roman" w:hAnsi="Times New Roman" w:eastAsia="宋体" w:cs="Times New Roman"/>
                <w:color w:val="auto"/>
              </w:rPr>
              <w:t>8.3%</w:t>
            </w:r>
            <w:r>
              <w:rPr>
                <w:rFonts w:hint="eastAsia" w:ascii="Times New Roman" w:hAnsi="Times New Roman" w:eastAsia="宋体" w:cs="Times New Roman"/>
                <w:color w:val="auto"/>
              </w:rPr>
              <w:t>，总体水质状况优。</w:t>
            </w:r>
          </w:p>
          <w:p w14:paraId="72C4B739">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8</w:t>
            </w:r>
            <w:r>
              <w:rPr>
                <w:rFonts w:hint="eastAsia" w:ascii="Times New Roman" w:hAnsi="Times New Roman" w:eastAsia="宋体" w:cs="Times New Roman"/>
                <w:color w:val="auto"/>
              </w:rPr>
              <w:t>个国控断面中优良水质比例为</w:t>
            </w:r>
            <w:r>
              <w:rPr>
                <w:rFonts w:hint="default" w:ascii="Times New Roman" w:hAnsi="Times New Roman" w:eastAsia="宋体" w:cs="Times New Roman"/>
                <w:color w:val="auto"/>
              </w:rPr>
              <w:t>87.5%</w:t>
            </w:r>
            <w:r>
              <w:rPr>
                <w:rFonts w:hint="eastAsia" w:ascii="Times New Roman" w:hAnsi="Times New Roman" w:eastAsia="宋体" w:cs="Times New Roman"/>
                <w:color w:val="auto"/>
              </w:rPr>
              <w:t>，</w:t>
            </w:r>
            <w:r>
              <w:rPr>
                <w:rFonts w:hint="default" w:ascii="Times New Roman" w:hAnsi="Times New Roman" w:eastAsia="宋体" w:cs="Times New Roman"/>
                <w:color w:val="auto"/>
              </w:rPr>
              <w:t>Ⅳ</w:t>
            </w:r>
            <w:r>
              <w:rPr>
                <w:rFonts w:hint="eastAsia" w:ascii="Times New Roman" w:hAnsi="Times New Roman" w:eastAsia="宋体" w:cs="Times New Roman"/>
                <w:color w:val="auto"/>
              </w:rPr>
              <w:t>类水质比例</w:t>
            </w:r>
            <w:r>
              <w:rPr>
                <w:rFonts w:hint="default" w:ascii="Times New Roman" w:hAnsi="Times New Roman" w:eastAsia="宋体" w:cs="Times New Roman"/>
                <w:color w:val="auto"/>
              </w:rPr>
              <w:t>12.5%</w:t>
            </w:r>
            <w:r>
              <w:rPr>
                <w:rFonts w:hint="eastAsia" w:ascii="Times New Roman" w:hAnsi="Times New Roman" w:eastAsia="宋体" w:cs="Times New Roman"/>
                <w:color w:val="auto"/>
              </w:rPr>
              <w:t>，水质总体状况良好；</w:t>
            </w:r>
            <w:r>
              <w:rPr>
                <w:rFonts w:hint="default" w:ascii="Times New Roman" w:hAnsi="Times New Roman" w:eastAsia="宋体" w:cs="Times New Roman"/>
                <w:color w:val="auto"/>
              </w:rPr>
              <w:t>11</w:t>
            </w:r>
            <w:r>
              <w:rPr>
                <w:rFonts w:hint="eastAsia" w:ascii="Times New Roman" w:hAnsi="Times New Roman" w:eastAsia="宋体" w:cs="Times New Roman"/>
                <w:color w:val="auto"/>
              </w:rPr>
              <w:t>个省控断面中优良水质比例为</w:t>
            </w:r>
            <w:r>
              <w:rPr>
                <w:rFonts w:hint="default" w:ascii="Times New Roman" w:hAnsi="Times New Roman" w:eastAsia="宋体" w:cs="Times New Roman"/>
                <w:color w:val="auto"/>
              </w:rPr>
              <w:t>90.9%</w:t>
            </w:r>
            <w:r>
              <w:rPr>
                <w:rFonts w:hint="eastAsia" w:ascii="Times New Roman" w:hAnsi="Times New Roman" w:eastAsia="宋体" w:cs="Times New Roman"/>
                <w:color w:val="auto"/>
              </w:rPr>
              <w:t>，水质总体状况优。</w:t>
            </w:r>
          </w:p>
          <w:p w14:paraId="5214FFBF">
            <w:pPr>
              <w:ind w:firstLine="480" w:firstLineChars="200"/>
              <w:rPr>
                <w:rFonts w:hint="default" w:ascii="Times New Roman" w:hAnsi="Times New Roman" w:eastAsia="宋体" w:cs="Times New Roman"/>
                <w:color w:val="auto"/>
              </w:rPr>
            </w:pPr>
            <w:r>
              <w:rPr>
                <w:rFonts w:hint="eastAsia" w:ascii="Times New Roman" w:hAnsi="Times New Roman" w:eastAsia="宋体" w:cs="Times New Roman"/>
                <w:color w:val="auto"/>
              </w:rPr>
              <w:t>河流：全市辖区内淮河干流水质状况为优，永幸河和丁家沟水质状况为优，西淝河、东淝河、架河、泥河、万小河、瓦西干渠、陡涧河和便民沟水质状况为良好。</w:t>
            </w:r>
            <w:r>
              <w:rPr>
                <w:rFonts w:hint="default" w:ascii="Times New Roman" w:hAnsi="Times New Roman" w:eastAsia="宋体" w:cs="Times New Roman"/>
                <w:color w:val="auto"/>
              </w:rPr>
              <w:t>20</w:t>
            </w:r>
            <w:r>
              <w:rPr>
                <w:rFonts w:hint="eastAsia" w:ascii="Times New Roman" w:hAnsi="Times New Roman" w:eastAsia="宋体" w:cs="Times New Roman"/>
                <w:color w:val="auto"/>
              </w:rPr>
              <w:t>个监测断面中优良水质比例为</w:t>
            </w:r>
            <w:r>
              <w:rPr>
                <w:rFonts w:hint="default" w:ascii="Times New Roman" w:hAnsi="Times New Roman" w:eastAsia="宋体" w:cs="Times New Roman"/>
                <w:color w:val="auto"/>
              </w:rPr>
              <w:t>100%</w:t>
            </w:r>
            <w:r>
              <w:rPr>
                <w:rFonts w:hint="eastAsia" w:ascii="Times New Roman" w:hAnsi="Times New Roman" w:eastAsia="宋体" w:cs="Times New Roman"/>
                <w:color w:val="auto"/>
              </w:rPr>
              <w:t>，与去年持平。其中黄圩和丁家沟河口断面水质均有所好转（</w:t>
            </w:r>
            <w:r>
              <w:rPr>
                <w:rFonts w:hint="default" w:ascii="Times New Roman" w:hAnsi="Times New Roman" w:eastAsia="宋体" w:cs="Times New Roman"/>
                <w:color w:val="auto"/>
              </w:rPr>
              <w:t>Ⅲ</w:t>
            </w:r>
            <w:r>
              <w:rPr>
                <w:rFonts w:hint="eastAsia" w:ascii="Times New Roman" w:hAnsi="Times New Roman" w:eastAsia="宋体" w:cs="Times New Roman"/>
                <w:color w:val="auto"/>
              </w:rPr>
              <w:t>类</w:t>
            </w:r>
            <w:r>
              <w:rPr>
                <w:rFonts w:hint="default" w:ascii="Times New Roman" w:hAnsi="Times New Roman" w:eastAsia="宋体" w:cs="Times New Roman"/>
                <w:color w:val="auto"/>
              </w:rPr>
              <w:t>→Ⅱ</w:t>
            </w:r>
            <w:r>
              <w:rPr>
                <w:rFonts w:hint="eastAsia" w:ascii="Times New Roman" w:hAnsi="Times New Roman" w:eastAsia="宋体" w:cs="Times New Roman"/>
                <w:color w:val="auto"/>
              </w:rPr>
              <w:t>类），五里闸（</w:t>
            </w:r>
            <w:r>
              <w:rPr>
                <w:rFonts w:hint="default" w:ascii="Times New Roman" w:hAnsi="Times New Roman" w:eastAsia="宋体" w:cs="Times New Roman"/>
                <w:color w:val="auto"/>
              </w:rPr>
              <w:t>II</w:t>
            </w:r>
            <w:r>
              <w:rPr>
                <w:rFonts w:hint="eastAsia" w:ascii="Times New Roman" w:hAnsi="Times New Roman" w:eastAsia="宋体" w:cs="Times New Roman"/>
                <w:color w:val="auto"/>
              </w:rPr>
              <w:t>类</w:t>
            </w:r>
            <w:r>
              <w:rPr>
                <w:rFonts w:hint="default" w:ascii="Times New Roman" w:hAnsi="Times New Roman" w:eastAsia="宋体" w:cs="Times New Roman"/>
                <w:color w:val="auto"/>
              </w:rPr>
              <w:t>→Ⅲ</w:t>
            </w:r>
            <w:r>
              <w:rPr>
                <w:rFonts w:hint="eastAsia" w:ascii="Times New Roman" w:hAnsi="Times New Roman" w:eastAsia="宋体" w:cs="Times New Roman"/>
                <w:color w:val="auto"/>
              </w:rPr>
              <w:t>类）和西淝河闸下（</w:t>
            </w:r>
            <w:r>
              <w:rPr>
                <w:rFonts w:hint="default" w:ascii="Times New Roman" w:hAnsi="Times New Roman" w:eastAsia="宋体" w:cs="Times New Roman"/>
                <w:color w:val="auto"/>
              </w:rPr>
              <w:t>II</w:t>
            </w:r>
            <w:r>
              <w:rPr>
                <w:rFonts w:hint="eastAsia" w:ascii="Times New Roman" w:hAnsi="Times New Roman" w:eastAsia="宋体" w:cs="Times New Roman"/>
                <w:color w:val="auto"/>
              </w:rPr>
              <w:t>类</w:t>
            </w:r>
            <w:r>
              <w:rPr>
                <w:rFonts w:hint="default" w:ascii="Times New Roman" w:hAnsi="Times New Roman" w:eastAsia="宋体" w:cs="Times New Roman"/>
                <w:color w:val="auto"/>
              </w:rPr>
              <w:t>→Ⅲ</w:t>
            </w:r>
            <w:r>
              <w:rPr>
                <w:rFonts w:hint="eastAsia" w:ascii="Times New Roman" w:hAnsi="Times New Roman" w:eastAsia="宋体" w:cs="Times New Roman"/>
                <w:color w:val="auto"/>
              </w:rPr>
              <w:t>类）水质均有所下降，其他断面水质保持稳定。</w:t>
            </w:r>
          </w:p>
          <w:p w14:paraId="1F6B5D46">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color w:val="000000"/>
              </w:rPr>
            </w:pPr>
            <w:r>
              <w:rPr>
                <w:rFonts w:hint="eastAsia"/>
                <w:b/>
                <w:bCs/>
                <w:color w:val="000000"/>
              </w:rPr>
              <w:t>3、声环境质量现状</w:t>
            </w:r>
          </w:p>
          <w:p w14:paraId="5B2C60EA">
            <w:pPr>
              <w:ind w:firstLine="480" w:firstLineChars="200"/>
              <w:rPr>
                <w:rFonts w:hint="eastAsia"/>
                <w:b w:val="0"/>
                <w:bCs w:val="0"/>
                <w:color w:val="000000"/>
              </w:rPr>
            </w:pPr>
            <w:r>
              <w:rPr>
                <w:rFonts w:hint="eastAsia"/>
                <w:b w:val="0"/>
                <w:bCs w:val="0"/>
                <w:color w:val="000000"/>
              </w:rPr>
              <w:t>根据《建设项目环境影响报告表编制技术指南（污染影响类）》（试行），项目厂界外周边50m范围内无声环境保护目标，无需开展声环境质量现状调查。</w:t>
            </w:r>
          </w:p>
          <w:p w14:paraId="4863C3CB">
            <w:pPr>
              <w:ind w:firstLine="482" w:firstLineChars="200"/>
              <w:rPr>
                <w:rFonts w:hint="eastAsia"/>
                <w:b/>
                <w:bCs/>
                <w:color w:val="000000"/>
              </w:rPr>
            </w:pPr>
            <w:r>
              <w:rPr>
                <w:rFonts w:hint="eastAsia"/>
                <w:b/>
                <w:bCs/>
                <w:color w:val="000000"/>
              </w:rPr>
              <w:t>4、生态环境</w:t>
            </w:r>
          </w:p>
          <w:p w14:paraId="3ABD454D">
            <w:pPr>
              <w:ind w:firstLine="480" w:firstLineChars="200"/>
              <w:rPr>
                <w:rFonts w:hint="eastAsia"/>
                <w:color w:val="000000"/>
                <w:kern w:val="0"/>
                <w:szCs w:val="22"/>
                <w:lang w:bidi="zh-CN"/>
              </w:rPr>
            </w:pPr>
            <w:r>
              <w:rPr>
                <w:rFonts w:hint="eastAsia"/>
                <w:color w:val="000000"/>
                <w:kern w:val="0"/>
                <w:szCs w:val="22"/>
                <w:lang w:bidi="zh-CN"/>
              </w:rPr>
              <w:t>本项目位于</w:t>
            </w:r>
            <w:r>
              <w:rPr>
                <w:rFonts w:hint="default" w:ascii="Times New Roman" w:hAnsi="Times New Roman" w:cs="Times New Roman"/>
                <w:b w:val="0"/>
                <w:bCs/>
                <w:color w:val="000000" w:themeColor="text1"/>
                <w:sz w:val="24"/>
                <w:szCs w:val="24"/>
                <w14:textFill>
                  <w14:solidFill>
                    <w14:schemeClr w14:val="tx1"/>
                  </w14:solidFill>
                </w14:textFill>
              </w:rPr>
              <w:t>安徽省</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淮南</w:t>
            </w:r>
            <w:r>
              <w:rPr>
                <w:rFonts w:hint="default" w:ascii="Times New Roman" w:hAnsi="Times New Roman" w:cs="Times New Roman"/>
                <w:b w:val="0"/>
                <w:bCs/>
                <w:color w:val="000000" w:themeColor="text1"/>
                <w:sz w:val="24"/>
                <w:szCs w:val="24"/>
                <w14:textFill>
                  <w14:solidFill>
                    <w14:schemeClr w14:val="tx1"/>
                  </w14:solidFill>
                </w14:textFill>
              </w:rPr>
              <w:t>市</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潘集经济开发区（北区）</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功能塑料园7#1、2层</w:t>
            </w:r>
            <w:r>
              <w:rPr>
                <w:rFonts w:hint="eastAsia"/>
                <w:color w:val="000000"/>
                <w:kern w:val="0"/>
                <w:szCs w:val="22"/>
                <w:lang w:bidi="zh-CN"/>
              </w:rPr>
              <w:t>，项目占地范围内无生态环境保护目标，未增加用地且用地范围内无生态环境保护目标，无需进行生态现状调查。</w:t>
            </w:r>
          </w:p>
          <w:p w14:paraId="4FB20D08">
            <w:pPr>
              <w:ind w:firstLine="482" w:firstLineChars="200"/>
              <w:rPr>
                <w:b/>
                <w:bCs/>
                <w:color w:val="000000"/>
              </w:rPr>
            </w:pPr>
            <w:r>
              <w:rPr>
                <w:rFonts w:hint="eastAsia"/>
                <w:b/>
                <w:bCs/>
                <w:color w:val="000000"/>
              </w:rPr>
              <w:t>5、电磁辐射</w:t>
            </w:r>
          </w:p>
          <w:p w14:paraId="7BE53F95">
            <w:pPr>
              <w:ind w:firstLine="480" w:firstLineChars="200"/>
              <w:rPr>
                <w:rFonts w:hint="eastAsia"/>
                <w:b/>
                <w:bCs/>
                <w:color w:val="000000"/>
              </w:rPr>
            </w:pPr>
            <w:r>
              <w:rPr>
                <w:rFonts w:hint="eastAsia"/>
                <w:color w:val="000000"/>
              </w:rPr>
              <w:t>本项目为</w:t>
            </w:r>
            <w:r>
              <w:rPr>
                <w:rFonts w:hint="eastAsia"/>
                <w:color w:val="000000"/>
                <w:lang w:eastAsia="zh-CN"/>
              </w:rPr>
              <w:t>塑料零件及其他塑料制品制造</w:t>
            </w:r>
            <w:r>
              <w:rPr>
                <w:rFonts w:hint="eastAsia"/>
                <w:color w:val="000000"/>
              </w:rPr>
              <w:t>，不属于电磁辐射类项目，故不开展电磁辐射现状开展监测与评价。</w:t>
            </w:r>
          </w:p>
          <w:p w14:paraId="12AED4B1">
            <w:pPr>
              <w:ind w:firstLine="482" w:firstLineChars="200"/>
              <w:rPr>
                <w:rFonts w:hint="eastAsia"/>
                <w:b/>
                <w:bCs/>
                <w:color w:val="000000"/>
                <w:highlight w:val="none"/>
              </w:rPr>
            </w:pPr>
            <w:r>
              <w:rPr>
                <w:rFonts w:hint="eastAsia"/>
                <w:b/>
                <w:bCs/>
                <w:color w:val="000000"/>
                <w:highlight w:val="none"/>
              </w:rPr>
              <w:t>6、地下水</w:t>
            </w:r>
            <w:r>
              <w:rPr>
                <w:rFonts w:hint="eastAsia"/>
                <w:b/>
                <w:bCs/>
                <w:color w:val="000000"/>
                <w:highlight w:val="none"/>
                <w:lang w:eastAsia="zh-CN"/>
              </w:rPr>
              <w:t>、</w:t>
            </w:r>
            <w:r>
              <w:rPr>
                <w:rFonts w:hint="eastAsia"/>
                <w:b/>
                <w:bCs/>
                <w:color w:val="000000"/>
                <w:highlight w:val="none"/>
                <w:lang w:val="en-US" w:eastAsia="zh-CN"/>
              </w:rPr>
              <w:t>土壤</w:t>
            </w:r>
            <w:r>
              <w:rPr>
                <w:rFonts w:hint="eastAsia"/>
                <w:b/>
                <w:bCs/>
                <w:color w:val="000000"/>
                <w:highlight w:val="none"/>
              </w:rPr>
              <w:t>环境</w:t>
            </w:r>
          </w:p>
          <w:p w14:paraId="1F6BE5F2">
            <w:pPr>
              <w:pStyle w:val="28"/>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lang w:val="en-US" w:eastAsia="zh-CN"/>
              </w:rPr>
            </w:pPr>
            <w:r>
              <w:rPr>
                <w:rFonts w:hint="eastAsia"/>
                <w:color w:val="000000" w:themeColor="text1"/>
                <w:kern w:val="0"/>
                <w:szCs w:val="22"/>
                <w:lang w:bidi="zh-CN"/>
                <w14:textFill>
                  <w14:solidFill>
                    <w14:schemeClr w14:val="tx1"/>
                  </w14:solidFill>
                </w14:textFill>
              </w:rPr>
              <w:t>根据建设《项目环境影响报告表编制技术指南》（污染影响类）（试行）相关要求：地下水、土壤环境原则上不开展环境质量现状调查。本项目在现有园区内租赁闲置厂房，厂房四周地面均已做硬化处理，不具备监测条件，故不进行地下水、土壤监测。</w:t>
            </w:r>
          </w:p>
        </w:tc>
      </w:tr>
      <w:tr w14:paraId="6B0FFD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392" w:type="pct"/>
            <w:noWrap w:val="0"/>
            <w:vAlign w:val="center"/>
          </w:tcPr>
          <w:p w14:paraId="208C3FB9">
            <w:pPr>
              <w:pStyle w:val="61"/>
              <w:ind w:firstLine="0"/>
              <w:jc w:val="center"/>
              <w:rPr>
                <w:rFonts w:hint="eastAsia"/>
                <w:b w:val="0"/>
                <w:bCs/>
                <w:color w:val="000000"/>
                <w:sz w:val="24"/>
                <w:szCs w:val="24"/>
              </w:rPr>
            </w:pPr>
            <w:r>
              <w:rPr>
                <w:rFonts w:hint="eastAsia"/>
                <w:b w:val="0"/>
                <w:bCs/>
                <w:color w:val="000000"/>
                <w:sz w:val="24"/>
                <w:szCs w:val="24"/>
              </w:rPr>
              <w:t>环境</w:t>
            </w:r>
          </w:p>
          <w:p w14:paraId="616AF902">
            <w:pPr>
              <w:pStyle w:val="61"/>
              <w:ind w:firstLine="0"/>
              <w:jc w:val="center"/>
              <w:rPr>
                <w:rFonts w:hint="eastAsia"/>
                <w:b w:val="0"/>
                <w:bCs/>
                <w:color w:val="000000"/>
                <w:sz w:val="24"/>
                <w:szCs w:val="24"/>
              </w:rPr>
            </w:pPr>
            <w:r>
              <w:rPr>
                <w:rFonts w:hint="eastAsia"/>
                <w:b w:val="0"/>
                <w:bCs/>
                <w:color w:val="000000"/>
                <w:sz w:val="24"/>
                <w:szCs w:val="24"/>
              </w:rPr>
              <w:t>保护</w:t>
            </w:r>
          </w:p>
          <w:p w14:paraId="1E6FB96E">
            <w:pPr>
              <w:pStyle w:val="61"/>
              <w:ind w:firstLine="0"/>
              <w:jc w:val="center"/>
              <w:rPr>
                <w:rFonts w:hint="eastAsia"/>
                <w:color w:val="000000"/>
              </w:rPr>
            </w:pPr>
            <w:r>
              <w:rPr>
                <w:rFonts w:hint="eastAsia"/>
                <w:b w:val="0"/>
                <w:bCs/>
                <w:color w:val="000000"/>
                <w:sz w:val="24"/>
                <w:szCs w:val="24"/>
              </w:rPr>
              <w:t>目标</w:t>
            </w:r>
          </w:p>
        </w:tc>
        <w:tc>
          <w:tcPr>
            <w:tcW w:w="4607" w:type="pct"/>
            <w:noWrap w:val="0"/>
            <w:vAlign w:val="top"/>
          </w:tcPr>
          <w:p w14:paraId="4518A992">
            <w:pPr>
              <w:numPr>
                <w:ilvl w:val="0"/>
                <w:numId w:val="0"/>
              </w:numPr>
              <w:ind w:firstLine="482" w:firstLineChars="200"/>
              <w:rPr>
                <w:rFonts w:hint="eastAsia" w:ascii="Times New Roman" w:hAnsi="Times New Roman" w:eastAsia="宋体"/>
                <w:b/>
                <w:bCs/>
                <w:color w:val="auto"/>
              </w:rPr>
            </w:pPr>
            <w:r>
              <w:rPr>
                <w:rFonts w:hint="eastAsia" w:ascii="Times New Roman" w:hAnsi="Times New Roman" w:eastAsia="宋体" w:cs="Times New Roman"/>
                <w:b/>
                <w:bCs/>
                <w:color w:val="auto"/>
                <w:kern w:val="2"/>
                <w:sz w:val="24"/>
                <w:szCs w:val="24"/>
                <w:lang w:val="en-US" w:eastAsia="zh-CN" w:bidi="ar-SA"/>
              </w:rPr>
              <w:t>1、</w:t>
            </w:r>
            <w:r>
              <w:rPr>
                <w:rFonts w:hint="eastAsia" w:ascii="Times New Roman" w:hAnsi="Times New Roman" w:eastAsia="宋体"/>
                <w:b/>
                <w:bCs/>
                <w:color w:val="auto"/>
              </w:rPr>
              <w:t>大气环境</w:t>
            </w:r>
          </w:p>
          <w:p w14:paraId="5A84A6A6">
            <w:pPr>
              <w:numPr>
                <w:ilvl w:val="0"/>
                <w:numId w:val="0"/>
              </w:numPr>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厂界外500米范围内无自然保护区、风景名胜区、居住区、文化区和农村地区中人群较集中的区域等保护目标。</w:t>
            </w:r>
          </w:p>
          <w:p w14:paraId="2C6CE7CF">
            <w:pPr>
              <w:numPr>
                <w:ilvl w:val="0"/>
                <w:numId w:val="0"/>
              </w:numPr>
              <w:ind w:firstLine="482" w:firstLineChars="200"/>
              <w:rPr>
                <w:rFonts w:hint="eastAsia" w:ascii="Times New Roman" w:hAnsi="Times New Roman" w:eastAsia="宋体" w:cs="Times New Roman"/>
                <w:b/>
                <w:bCs/>
                <w:color w:val="auto"/>
              </w:rPr>
            </w:pPr>
            <w:r>
              <w:rPr>
                <w:rFonts w:hint="eastAsia" w:ascii="Times New Roman" w:hAnsi="Times New Roman" w:eastAsia="宋体" w:cs="Times New Roman"/>
                <w:b/>
                <w:bCs/>
                <w:color w:val="auto"/>
                <w:kern w:val="2"/>
                <w:sz w:val="24"/>
                <w:szCs w:val="24"/>
                <w:lang w:val="en-US" w:eastAsia="zh-CN" w:bidi="ar-SA"/>
              </w:rPr>
              <w:t>2、</w:t>
            </w:r>
            <w:r>
              <w:rPr>
                <w:rFonts w:hint="eastAsia" w:ascii="Times New Roman" w:hAnsi="Times New Roman" w:eastAsia="宋体" w:cs="Times New Roman"/>
                <w:b/>
                <w:bCs/>
                <w:color w:val="auto"/>
              </w:rPr>
              <w:t>声环境</w:t>
            </w:r>
          </w:p>
          <w:p w14:paraId="64A430C9">
            <w:pPr>
              <w:ind w:firstLine="480" w:firstLineChars="200"/>
              <w:rPr>
                <w:rFonts w:hint="eastAsia"/>
                <w:color w:val="000000"/>
              </w:rPr>
            </w:pPr>
            <w:r>
              <w:rPr>
                <w:rFonts w:hint="eastAsia"/>
                <w:color w:val="000000"/>
              </w:rPr>
              <w:t>本项目厂界外50米范围内无声环境保护目标。</w:t>
            </w:r>
          </w:p>
          <w:p w14:paraId="5366E6F9">
            <w:pPr>
              <w:numPr>
                <w:ilvl w:val="0"/>
                <w:numId w:val="0"/>
              </w:numPr>
              <w:ind w:firstLine="482" w:firstLineChars="200"/>
              <w:rPr>
                <w:rFonts w:hint="eastAsia"/>
                <w:b/>
                <w:bCs/>
                <w:color w:val="000000"/>
              </w:rPr>
            </w:pPr>
            <w:r>
              <w:rPr>
                <w:rFonts w:hint="eastAsia" w:ascii="Times New Roman" w:hAnsi="Times New Roman" w:eastAsia="宋体" w:cs="Times New Roman"/>
                <w:b/>
                <w:bCs/>
                <w:color w:val="000000"/>
                <w:kern w:val="2"/>
                <w:sz w:val="24"/>
                <w:szCs w:val="24"/>
                <w:lang w:val="en-US" w:eastAsia="zh-CN" w:bidi="ar-SA"/>
              </w:rPr>
              <w:t>3、</w:t>
            </w:r>
            <w:r>
              <w:rPr>
                <w:rFonts w:hint="eastAsia"/>
                <w:b/>
                <w:bCs/>
                <w:color w:val="000000"/>
              </w:rPr>
              <w:t>地下水环境</w:t>
            </w:r>
          </w:p>
          <w:p w14:paraId="080D1A1E">
            <w:pPr>
              <w:ind w:firstLine="480" w:firstLineChars="200"/>
              <w:rPr>
                <w:rFonts w:hint="eastAsia"/>
                <w:color w:val="000000"/>
              </w:rPr>
            </w:pPr>
            <w:r>
              <w:rPr>
                <w:rFonts w:hint="eastAsia"/>
                <w:color w:val="000000"/>
              </w:rPr>
              <w:t>本项目所在区域均采用自来水作为饮用水源，项目厂界外500米范围内无地下水集中式饮用水水源和热水、矿泉水、温泉等特殊地下水资源。</w:t>
            </w:r>
          </w:p>
          <w:p w14:paraId="1443B471">
            <w:pPr>
              <w:numPr>
                <w:ilvl w:val="0"/>
                <w:numId w:val="0"/>
              </w:numPr>
              <w:ind w:firstLine="482" w:firstLineChars="200"/>
              <w:rPr>
                <w:rFonts w:hint="eastAsia"/>
                <w:b/>
                <w:bCs/>
                <w:color w:val="000000"/>
              </w:rPr>
            </w:pPr>
            <w:r>
              <w:rPr>
                <w:rFonts w:hint="eastAsia" w:ascii="Times New Roman" w:hAnsi="Times New Roman" w:eastAsia="宋体" w:cs="Times New Roman"/>
                <w:b/>
                <w:bCs/>
                <w:color w:val="000000"/>
                <w:kern w:val="2"/>
                <w:sz w:val="24"/>
                <w:szCs w:val="24"/>
                <w:lang w:val="en-US" w:eastAsia="zh-CN" w:bidi="ar-SA"/>
              </w:rPr>
              <w:t>4、</w:t>
            </w:r>
            <w:r>
              <w:rPr>
                <w:rFonts w:hint="eastAsia"/>
                <w:b/>
                <w:bCs/>
                <w:color w:val="000000"/>
              </w:rPr>
              <w:t>生态环境</w:t>
            </w:r>
          </w:p>
          <w:p w14:paraId="03550257">
            <w:pPr>
              <w:ind w:firstLine="480" w:firstLineChars="200"/>
              <w:rPr>
                <w:rFonts w:hint="eastAsia"/>
              </w:rPr>
            </w:pPr>
            <w:r>
              <w:rPr>
                <w:rFonts w:hint="eastAsia"/>
                <w:color w:val="000000"/>
              </w:rPr>
              <w:t>本项目位于</w:t>
            </w:r>
            <w:r>
              <w:rPr>
                <w:rFonts w:hint="eastAsia"/>
                <w:color w:val="000000"/>
                <w:lang w:eastAsia="zh-CN"/>
              </w:rPr>
              <w:t>产业园区</w:t>
            </w:r>
            <w:r>
              <w:rPr>
                <w:rFonts w:hint="eastAsia"/>
                <w:color w:val="000000"/>
                <w:kern w:val="0"/>
                <w:szCs w:val="22"/>
                <w:lang w:bidi="zh-CN"/>
              </w:rPr>
              <w:t>内</w:t>
            </w:r>
            <w:r>
              <w:rPr>
                <w:rFonts w:hint="eastAsia"/>
                <w:color w:val="000000"/>
              </w:rPr>
              <w:t>。本项目用地范围内无生态环境保护目标。</w:t>
            </w:r>
          </w:p>
        </w:tc>
      </w:tr>
      <w:tr w14:paraId="1ADF72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36" w:hRule="atLeast"/>
          <w:jc w:val="center"/>
        </w:trPr>
        <w:tc>
          <w:tcPr>
            <w:tcW w:w="392" w:type="pct"/>
            <w:noWrap w:val="0"/>
            <w:tcMar>
              <w:left w:w="28" w:type="dxa"/>
              <w:right w:w="28" w:type="dxa"/>
            </w:tcMar>
            <w:vAlign w:val="center"/>
          </w:tcPr>
          <w:p w14:paraId="6817CEED">
            <w:pPr>
              <w:pStyle w:val="61"/>
              <w:ind w:firstLine="0"/>
              <w:rPr>
                <w:rFonts w:hint="eastAsia"/>
                <w:b w:val="0"/>
                <w:bCs/>
                <w:color w:val="000000"/>
                <w:sz w:val="24"/>
                <w:szCs w:val="24"/>
              </w:rPr>
            </w:pPr>
            <w:r>
              <w:rPr>
                <w:rFonts w:hint="eastAsia"/>
                <w:b w:val="0"/>
                <w:bCs/>
                <w:color w:val="000000"/>
                <w:sz w:val="24"/>
                <w:szCs w:val="24"/>
              </w:rPr>
              <w:t>污染</w:t>
            </w:r>
          </w:p>
          <w:p w14:paraId="121C0E83">
            <w:pPr>
              <w:pStyle w:val="61"/>
              <w:ind w:firstLine="0"/>
              <w:rPr>
                <w:rFonts w:hint="eastAsia"/>
                <w:b w:val="0"/>
                <w:bCs/>
                <w:color w:val="000000"/>
                <w:sz w:val="24"/>
                <w:szCs w:val="24"/>
              </w:rPr>
            </w:pPr>
            <w:r>
              <w:rPr>
                <w:rFonts w:hint="eastAsia"/>
                <w:b w:val="0"/>
                <w:bCs/>
                <w:color w:val="000000"/>
                <w:sz w:val="24"/>
                <w:szCs w:val="24"/>
              </w:rPr>
              <w:t>物排</w:t>
            </w:r>
          </w:p>
          <w:p w14:paraId="2CF21BB1">
            <w:pPr>
              <w:pStyle w:val="61"/>
              <w:ind w:firstLine="0"/>
              <w:rPr>
                <w:rFonts w:hint="eastAsia"/>
                <w:b w:val="0"/>
                <w:bCs/>
                <w:color w:val="000000"/>
                <w:sz w:val="24"/>
                <w:szCs w:val="24"/>
              </w:rPr>
            </w:pPr>
            <w:r>
              <w:rPr>
                <w:rFonts w:hint="eastAsia"/>
                <w:b w:val="0"/>
                <w:bCs/>
                <w:color w:val="000000"/>
                <w:sz w:val="24"/>
                <w:szCs w:val="24"/>
              </w:rPr>
              <w:t>放控</w:t>
            </w:r>
          </w:p>
          <w:p w14:paraId="08BF7E57">
            <w:pPr>
              <w:pStyle w:val="61"/>
              <w:ind w:firstLine="0"/>
              <w:rPr>
                <w:rFonts w:hint="eastAsia"/>
                <w:b w:val="0"/>
                <w:bCs/>
                <w:color w:val="000000"/>
                <w:sz w:val="24"/>
                <w:szCs w:val="24"/>
              </w:rPr>
            </w:pPr>
            <w:r>
              <w:rPr>
                <w:rFonts w:hint="eastAsia"/>
                <w:b w:val="0"/>
                <w:bCs/>
                <w:color w:val="000000"/>
                <w:sz w:val="24"/>
                <w:szCs w:val="24"/>
              </w:rPr>
              <w:t>制标</w:t>
            </w:r>
          </w:p>
          <w:p w14:paraId="4266D292">
            <w:pPr>
              <w:pStyle w:val="61"/>
              <w:ind w:firstLine="0"/>
              <w:rPr>
                <w:color w:val="000000"/>
              </w:rPr>
            </w:pPr>
            <w:r>
              <w:rPr>
                <w:rFonts w:hint="eastAsia"/>
                <w:b w:val="0"/>
                <w:bCs/>
                <w:color w:val="000000"/>
                <w:sz w:val="24"/>
                <w:szCs w:val="24"/>
              </w:rPr>
              <w:t>准</w:t>
            </w:r>
          </w:p>
        </w:tc>
        <w:tc>
          <w:tcPr>
            <w:tcW w:w="4607" w:type="pct"/>
            <w:noWrap w:val="0"/>
            <w:vAlign w:val="top"/>
          </w:tcPr>
          <w:p w14:paraId="56E7C24C">
            <w:pPr>
              <w:ind w:firstLine="482" w:firstLineChars="200"/>
              <w:rPr>
                <w:b/>
                <w:bCs/>
                <w:color w:val="000000"/>
              </w:rPr>
            </w:pPr>
            <w:r>
              <w:rPr>
                <w:rFonts w:hint="eastAsia"/>
                <w:b/>
                <w:bCs/>
                <w:color w:val="000000"/>
              </w:rPr>
              <w:t>1、大气污染物排放控制标准</w:t>
            </w:r>
          </w:p>
          <w:p w14:paraId="20BF3569">
            <w:pPr>
              <w:pStyle w:val="57"/>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14:textFill>
                  <w14:solidFill>
                    <w14:schemeClr w14:val="tx1"/>
                  </w14:solidFill>
                </w14:textFill>
              </w:rPr>
              <w:t>项目注塑废气中的非甲烷总烃、苯乙烯执行《固定源挥发性有机物综合排放标准第6部分：其他行业》（DB 34/4812.6—2024）表1塑料制品工业排放限值和表2特征污染物项目排放限值，丙烯腈、乙苯</w:t>
            </w:r>
            <w:r>
              <w:rPr>
                <w:rFonts w:hint="eastAsia" w:cs="Times New Roman"/>
                <w:b w:val="0"/>
                <w:color w:val="000000" w:themeColor="text1"/>
                <w:kern w:val="0"/>
                <w:sz w:val="24"/>
                <w:szCs w:val="24"/>
                <w:highlight w:val="none"/>
                <w:lang w:val="en-US" w:eastAsia="zh-CN"/>
                <w14:textFill>
                  <w14:solidFill>
                    <w14:schemeClr w14:val="tx1"/>
                  </w14:solidFill>
                </w14:textFill>
              </w:rPr>
              <w:t>、1,3-丁二烯及破碎工艺产生的颗粒物</w:t>
            </w:r>
            <w:r>
              <w:rPr>
                <w:rFonts w:hint="default" w:ascii="Times New Roman" w:hAnsi="Times New Roman" w:eastAsia="宋体" w:cs="Times New Roman"/>
                <w:b w:val="0"/>
                <w:color w:val="000000" w:themeColor="text1"/>
                <w:kern w:val="0"/>
                <w:sz w:val="24"/>
                <w:szCs w:val="24"/>
                <w:highlight w:val="none"/>
                <w:lang w:val="en-US" w:eastAsia="zh-CN"/>
                <w14:textFill>
                  <w14:solidFill>
                    <w14:schemeClr w14:val="tx1"/>
                  </w14:solidFill>
                </w14:textFill>
              </w:rPr>
              <w:t>执行《合成树脂工业污染物排放标准》（GB 31572—2015含2024年修改单）表5特别排放限值，臭气浓度排放执行《恶臭污染物排放标准》（GB14554-93）表2标准；非甲烷总烃厂区内无组织排放执行《固定源挥发性有机物综合排放标准第6部分：其他行业》（DB 34/4812.6—2024）表4排放限值，颗粒物、非甲烷总烃企业边界无组织排放执行《合成树脂工业污染物排放标准》（GB 31572—2015含2024年修改单），丙烯腈企业边界无组织排放执行《固定源挥发性有机物综合排放标准第6部分：其他行业》（DB 34/4812.6—2024）中表5企业边界VOCs排放限值，苯乙烯、恶臭浓度企业边界无组织排放执行《恶臭污染物排放标准》（GB14554-93）</w:t>
            </w:r>
            <w:r>
              <w:rPr>
                <w:rFonts w:hint="eastAsia" w:cs="Times New Roman"/>
                <w:b w:val="0"/>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eastAsia="宋体" w:cs="Times New Roman"/>
                <w:b w:val="0"/>
                <w:color w:val="000000" w:themeColor="text1"/>
                <w:kern w:val="0"/>
                <w:sz w:val="24"/>
                <w:szCs w:val="24"/>
                <w:highlight w:val="none"/>
                <w:lang w:val="en-US" w:eastAsia="zh-CN"/>
                <w14:textFill>
                  <w14:solidFill>
                    <w14:schemeClr w14:val="tx1"/>
                  </w14:solidFill>
                </w14:textFill>
              </w:rPr>
              <w:t>具体</w:t>
            </w:r>
            <w:r>
              <w:rPr>
                <w:rFonts w:hint="default" w:ascii="Times New Roman" w:hAnsi="Times New Roman" w:eastAsia="宋体" w:cs="Times New Roman"/>
                <w:b w:val="0"/>
                <w:color w:val="000000" w:themeColor="text1"/>
                <w:kern w:val="0"/>
                <w:sz w:val="24"/>
                <w:szCs w:val="24"/>
                <w:highlight w:val="none"/>
                <w:lang w:val="en-US" w:eastAsia="zh-CN"/>
                <w14:textFill>
                  <w14:solidFill>
                    <w14:schemeClr w14:val="tx1"/>
                  </w14:solidFill>
                </w14:textFill>
              </w:rPr>
              <w:t>限值</w:t>
            </w:r>
            <w:r>
              <w:rPr>
                <w:rFonts w:hint="eastAsia" w:ascii="Times New Roman" w:hAnsi="Times New Roman" w:eastAsia="宋体" w:cs="Times New Roman"/>
                <w:b w:val="0"/>
                <w:color w:val="000000" w:themeColor="text1"/>
                <w:kern w:val="0"/>
                <w:sz w:val="24"/>
                <w:szCs w:val="24"/>
                <w:highlight w:val="none"/>
                <w:lang w:val="en-US" w:eastAsia="zh-CN"/>
                <w14:textFill>
                  <w14:solidFill>
                    <w14:schemeClr w14:val="tx1"/>
                  </w14:solidFill>
                </w14:textFill>
              </w:rPr>
              <w:t>见下表：</w:t>
            </w:r>
          </w:p>
          <w:p w14:paraId="57758C00">
            <w:pPr>
              <w:pStyle w:val="57"/>
              <w:shd w:val="clear"/>
              <w:bidi w:val="0"/>
              <w:spacing w:line="240" w:lineRule="auto"/>
              <w:rPr>
                <w:rFonts w:hint="default" w:ascii="Times New Roman" w:hAnsi="Times New Roman" w:eastAsia="宋体"/>
                <w:color w:val="000000" w:themeColor="text1"/>
                <w:highlight w:val="yellow"/>
                <w:lang w:val="en-US" w:eastAsia="zh-CN"/>
                <w14:textFill>
                  <w14:solidFill>
                    <w14:schemeClr w14:val="tx1"/>
                  </w14:solidFill>
                </w14:textFill>
              </w:rPr>
            </w:pPr>
            <w:r>
              <w:rPr>
                <w:rFonts w:hint="default" w:ascii="Times New Roman" w:hAnsi="Times New Roman" w:eastAsia="宋体"/>
                <w:color w:val="000000" w:themeColor="text1"/>
                <w:highlight w:val="none"/>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3-4</w:t>
            </w:r>
            <w:r>
              <w:rPr>
                <w:rFonts w:hint="default" w:ascii="Times New Roman" w:hAnsi="Times New Roman" w:eastAsia="宋体"/>
                <w:color w:val="000000" w:themeColor="text1"/>
                <w:highlight w:val="none"/>
                <w14:textFill>
                  <w14:solidFill>
                    <w14:schemeClr w14:val="tx1"/>
                  </w14:solidFill>
                </w14:textFill>
              </w:rPr>
              <w:t xml:space="preserve"> </w:t>
            </w:r>
            <w:r>
              <w:rPr>
                <w:rFonts w:hint="eastAsia" w:eastAsia="宋体"/>
                <w:color w:val="000000" w:themeColor="text1"/>
                <w:highlight w:val="none"/>
                <w:lang w:val="en-US" w:eastAsia="zh-CN"/>
                <w14:textFill>
                  <w14:solidFill>
                    <w14:schemeClr w14:val="tx1"/>
                  </w14:solidFill>
                </w14:textFill>
              </w:rPr>
              <w:t>有组织废气排放标准</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411"/>
              <w:gridCol w:w="1479"/>
              <w:gridCol w:w="1509"/>
              <w:gridCol w:w="2809"/>
            </w:tblGrid>
            <w:tr w14:paraId="05B81B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pct"/>
                  <w:noWrap w:val="0"/>
                  <w:vAlign w:val="center"/>
                </w:tcPr>
                <w:p w14:paraId="66834FD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cs="Times New Roman"/>
                      <w:b/>
                      <w:bCs w:val="0"/>
                      <w:color w:val="000000" w:themeColor="text1"/>
                      <w:sz w:val="21"/>
                      <w:szCs w:val="21"/>
                      <w:lang w:val="en-US" w:eastAsia="zh-CN"/>
                      <w14:textFill>
                        <w14:solidFill>
                          <w14:schemeClr w14:val="tx1"/>
                        </w14:solidFill>
                      </w14:textFill>
                    </w:rPr>
                    <w:t>排气筒</w:t>
                  </w:r>
                </w:p>
              </w:tc>
              <w:tc>
                <w:tcPr>
                  <w:tcW w:w="867" w:type="pct"/>
                  <w:noWrap w:val="0"/>
                  <w:vAlign w:val="center"/>
                </w:tcPr>
                <w:p w14:paraId="2E218F1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污染物</w:t>
                  </w:r>
                </w:p>
              </w:tc>
              <w:tc>
                <w:tcPr>
                  <w:tcW w:w="909" w:type="pct"/>
                  <w:noWrap w:val="0"/>
                  <w:vAlign w:val="center"/>
                </w:tcPr>
                <w:p w14:paraId="3C0788B6">
                  <w:pPr>
                    <w:keepNext w:val="0"/>
                    <w:keepLines w:val="0"/>
                    <w:widowControl/>
                    <w:suppressLineNumbers w:val="0"/>
                    <w:spacing w:line="240" w:lineRule="auto"/>
                    <w:jc w:val="center"/>
                    <w:rPr>
                      <w:rFonts w:hint="default" w:ascii="Times New Roman" w:hAnsi="Times New Roman" w:cs="Times New Roman"/>
                      <w:b/>
                      <w:bCs w:val="0"/>
                      <w:sz w:val="21"/>
                      <w:szCs w:val="21"/>
                    </w:rPr>
                  </w:pPr>
                  <w:r>
                    <w:rPr>
                      <w:rFonts w:hint="default" w:ascii="Times New Roman" w:hAnsi="Times New Roman" w:eastAsia="宋体" w:cs="Times New Roman"/>
                      <w:b/>
                      <w:bCs w:val="0"/>
                      <w:color w:val="000000"/>
                      <w:kern w:val="0"/>
                      <w:sz w:val="21"/>
                      <w:szCs w:val="21"/>
                      <w:lang w:val="en-US" w:eastAsia="zh-CN" w:bidi="ar"/>
                    </w:rPr>
                    <w:t>最高允许排放浓度</w:t>
                  </w:r>
                </w:p>
                <w:p w14:paraId="138C223C">
                  <w:pPr>
                    <w:keepNext w:val="0"/>
                    <w:keepLines w:val="0"/>
                    <w:widowControl/>
                    <w:suppressLineNumbers w:val="0"/>
                    <w:spacing w:line="240" w:lineRule="auto"/>
                    <w:jc w:val="center"/>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kern w:val="0"/>
                      <w:sz w:val="21"/>
                      <w:szCs w:val="21"/>
                      <w:lang w:val="en-US" w:eastAsia="zh-CN" w:bidi="ar"/>
                    </w:rPr>
                    <w:t>mg/m</w:t>
                  </w:r>
                  <w:r>
                    <w:rPr>
                      <w:rFonts w:hint="default" w:ascii="Times New Roman" w:hAnsi="Times New Roman" w:eastAsia="宋体" w:cs="Times New Roman"/>
                      <w:b/>
                      <w:bCs w:val="0"/>
                      <w:color w:val="000000"/>
                      <w:kern w:val="0"/>
                      <w:sz w:val="21"/>
                      <w:szCs w:val="21"/>
                      <w:vertAlign w:val="superscript"/>
                      <w:lang w:val="en-US" w:eastAsia="zh-CN" w:bidi="ar"/>
                    </w:rPr>
                    <w:t>3</w:t>
                  </w:r>
                </w:p>
              </w:tc>
              <w:tc>
                <w:tcPr>
                  <w:tcW w:w="927" w:type="pct"/>
                  <w:noWrap w:val="0"/>
                  <w:vAlign w:val="center"/>
                </w:tcPr>
                <w:p w14:paraId="3529290C">
                  <w:pPr>
                    <w:keepNext w:val="0"/>
                    <w:keepLines w:val="0"/>
                    <w:widowControl/>
                    <w:suppressLineNumbers w:val="0"/>
                    <w:spacing w:line="240" w:lineRule="auto"/>
                    <w:jc w:val="center"/>
                    <w:rPr>
                      <w:rFonts w:hint="default" w:ascii="Times New Roman" w:hAnsi="Times New Roman" w:eastAsia="宋体" w:cs="Times New Roman"/>
                      <w:b/>
                      <w:bCs w:val="0"/>
                      <w:color w:val="000000"/>
                      <w:kern w:val="0"/>
                      <w:sz w:val="21"/>
                      <w:szCs w:val="21"/>
                      <w:vertAlign w:val="superscript"/>
                      <w:lang w:val="en-US" w:eastAsia="zh-CN" w:bidi="ar"/>
                    </w:rPr>
                  </w:pPr>
                  <w:r>
                    <w:rPr>
                      <w:rFonts w:hint="default" w:ascii="Times New Roman" w:hAnsi="Times New Roman" w:eastAsia="宋体" w:cs="Times New Roman"/>
                      <w:b/>
                      <w:bCs w:val="0"/>
                      <w:color w:val="000000"/>
                      <w:kern w:val="0"/>
                      <w:sz w:val="21"/>
                      <w:szCs w:val="21"/>
                      <w:lang w:val="en-US" w:eastAsia="zh-CN" w:bidi="ar"/>
                    </w:rPr>
                    <w:t>最高允许排放速率</w:t>
                  </w:r>
                  <w:r>
                    <w:rPr>
                      <w:rFonts w:hint="default" w:ascii="Times New Roman" w:hAnsi="Times New Roman" w:eastAsia="宋体" w:cs="Times New Roman"/>
                      <w:b/>
                      <w:bCs w:val="0"/>
                      <w:color w:val="000000"/>
                      <w:kern w:val="0"/>
                      <w:sz w:val="21"/>
                      <w:szCs w:val="21"/>
                      <w:vertAlign w:val="superscript"/>
                      <w:lang w:val="en-US" w:eastAsia="zh-CN" w:bidi="ar"/>
                    </w:rPr>
                    <w:t>a</w:t>
                  </w:r>
                </w:p>
                <w:p w14:paraId="1AB454C5">
                  <w:pPr>
                    <w:keepNext w:val="0"/>
                    <w:keepLines w:val="0"/>
                    <w:widowControl/>
                    <w:suppressLineNumbers w:val="0"/>
                    <w:spacing w:line="240" w:lineRule="auto"/>
                    <w:jc w:val="center"/>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kern w:val="0"/>
                      <w:sz w:val="21"/>
                      <w:szCs w:val="21"/>
                      <w:lang w:val="en-US" w:eastAsia="zh-CN" w:bidi="ar"/>
                    </w:rPr>
                    <w:t>kg/h</w:t>
                  </w:r>
                </w:p>
              </w:tc>
              <w:tc>
                <w:tcPr>
                  <w:tcW w:w="1726" w:type="pct"/>
                  <w:noWrap w:val="0"/>
                  <w:vAlign w:val="center"/>
                </w:tcPr>
                <w:p w14:paraId="47787FEB">
                  <w:pPr>
                    <w:keepNext w:val="0"/>
                    <w:keepLines w:val="0"/>
                    <w:widowControl/>
                    <w:suppressLineNumbers w:val="0"/>
                    <w:spacing w:line="240" w:lineRule="auto"/>
                    <w:jc w:val="center"/>
                    <w:rPr>
                      <w:rFonts w:hint="default" w:ascii="Times New Roman" w:hAnsi="Times New Roman" w:eastAsia="宋体" w:cs="Times New Roman"/>
                      <w:b/>
                      <w:bCs w:val="0"/>
                      <w:color w:val="000000"/>
                      <w:kern w:val="0"/>
                      <w:sz w:val="21"/>
                      <w:szCs w:val="21"/>
                      <w:lang w:val="en-US" w:eastAsia="zh-CN" w:bidi="ar"/>
                    </w:rPr>
                  </w:pPr>
                  <w:r>
                    <w:rPr>
                      <w:rFonts w:hint="default" w:ascii="Times New Roman" w:hAnsi="Times New Roman" w:eastAsia="宋体" w:cs="Times New Roman"/>
                      <w:b/>
                      <w:bCs w:val="0"/>
                      <w:color w:val="000000"/>
                      <w:kern w:val="0"/>
                      <w:sz w:val="21"/>
                      <w:szCs w:val="21"/>
                      <w:lang w:val="en-US" w:eastAsia="zh-CN" w:bidi="ar"/>
                    </w:rPr>
                    <w:t>标准</w:t>
                  </w:r>
                </w:p>
              </w:tc>
            </w:tr>
            <w:tr w14:paraId="33ACE5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pct"/>
                  <w:vMerge w:val="restart"/>
                  <w:noWrap w:val="0"/>
                  <w:vAlign w:val="center"/>
                </w:tcPr>
                <w:p w14:paraId="183F81F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DA001</w:t>
                  </w:r>
                </w:p>
              </w:tc>
              <w:tc>
                <w:tcPr>
                  <w:tcW w:w="867" w:type="pct"/>
                  <w:noWrap w:val="0"/>
                  <w:vAlign w:val="center"/>
                </w:tcPr>
                <w:p w14:paraId="62BE113A">
                  <w:pPr>
                    <w:pStyle w:val="55"/>
                    <w:ind w:firstLine="0" w:firstLineChars="0"/>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olor w:val="auto"/>
                    </w:rPr>
                    <w:t>非甲烷总烃</w:t>
                  </w:r>
                </w:p>
              </w:tc>
              <w:tc>
                <w:tcPr>
                  <w:tcW w:w="909" w:type="pct"/>
                  <w:noWrap w:val="0"/>
                  <w:vAlign w:val="center"/>
                </w:tcPr>
                <w:p w14:paraId="7E2177C5">
                  <w:pPr>
                    <w:pStyle w:val="55"/>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40</w:t>
                  </w:r>
                </w:p>
              </w:tc>
              <w:tc>
                <w:tcPr>
                  <w:tcW w:w="927" w:type="pct"/>
                  <w:noWrap w:val="0"/>
                  <w:vAlign w:val="center"/>
                </w:tcPr>
                <w:p w14:paraId="364F7C10">
                  <w:pPr>
                    <w:pStyle w:val="55"/>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1.6</w:t>
                  </w:r>
                </w:p>
              </w:tc>
              <w:tc>
                <w:tcPr>
                  <w:tcW w:w="1726" w:type="pct"/>
                  <w:vMerge w:val="restart"/>
                  <w:noWrap w:val="0"/>
                  <w:vAlign w:val="center"/>
                </w:tcPr>
                <w:p w14:paraId="0B5CD344">
                  <w:pPr>
                    <w:pStyle w:val="55"/>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《固定源挥发性有机物综合排放标准第6部分：其他行业》（DB34/4812.6—2024）</w:t>
                  </w:r>
                </w:p>
              </w:tc>
            </w:tr>
            <w:tr w14:paraId="42C4A5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pct"/>
                  <w:vMerge w:val="continue"/>
                  <w:noWrap w:val="0"/>
                  <w:vAlign w:val="center"/>
                </w:tcPr>
                <w:p w14:paraId="4168CA6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867" w:type="pct"/>
                  <w:noWrap w:val="0"/>
                  <w:vAlign w:val="center"/>
                </w:tcPr>
                <w:p w14:paraId="6D50458F">
                  <w:pPr>
                    <w:pStyle w:val="55"/>
                    <w:ind w:firstLine="0" w:firstLineChars="0"/>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color w:val="auto"/>
                      <w:lang w:val="en-US" w:eastAsia="zh-CN"/>
                    </w:rPr>
                    <w:t>苯乙烯</w:t>
                  </w:r>
                </w:p>
              </w:tc>
              <w:tc>
                <w:tcPr>
                  <w:tcW w:w="909" w:type="pct"/>
                  <w:noWrap w:val="0"/>
                  <w:vAlign w:val="center"/>
                </w:tcPr>
                <w:p w14:paraId="5955AA3C">
                  <w:pPr>
                    <w:pStyle w:val="55"/>
                    <w:ind w:firstLine="0" w:firstLineChars="0"/>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olor w:val="auto"/>
                      <w:lang w:val="en-US" w:eastAsia="zh-CN"/>
                    </w:rPr>
                    <w:t>20</w:t>
                  </w:r>
                </w:p>
              </w:tc>
              <w:tc>
                <w:tcPr>
                  <w:tcW w:w="927" w:type="pct"/>
                  <w:noWrap w:val="0"/>
                  <w:vAlign w:val="center"/>
                </w:tcPr>
                <w:p w14:paraId="0AC1389A">
                  <w:pPr>
                    <w:pStyle w:val="55"/>
                    <w:ind w:firstLine="0" w:firstLineChars="0"/>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olor w:val="auto"/>
                      <w:lang w:val="en-US" w:eastAsia="zh-CN"/>
                    </w:rPr>
                    <w:t>/</w:t>
                  </w:r>
                </w:p>
              </w:tc>
              <w:tc>
                <w:tcPr>
                  <w:tcW w:w="1726" w:type="pct"/>
                  <w:vMerge w:val="continue"/>
                  <w:noWrap w:val="0"/>
                  <w:vAlign w:val="center"/>
                </w:tcPr>
                <w:p w14:paraId="6690A45B">
                  <w:pPr>
                    <w:pStyle w:val="55"/>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r>
            <w:tr w14:paraId="64A0E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pct"/>
                  <w:vMerge w:val="continue"/>
                  <w:noWrap w:val="0"/>
                  <w:vAlign w:val="center"/>
                </w:tcPr>
                <w:p w14:paraId="0FC128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867" w:type="pct"/>
                  <w:noWrap w:val="0"/>
                  <w:vAlign w:val="center"/>
                </w:tcPr>
                <w:p w14:paraId="58F802FA">
                  <w:pPr>
                    <w:pStyle w:val="55"/>
                    <w:ind w:firstLine="0" w:firstLineChars="0"/>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lang w:val="en-US" w:eastAsia="zh-CN"/>
                    </w:rPr>
                    <w:t>丙烯腈</w:t>
                  </w:r>
                </w:p>
              </w:tc>
              <w:tc>
                <w:tcPr>
                  <w:tcW w:w="909" w:type="pct"/>
                  <w:noWrap w:val="0"/>
                  <w:vAlign w:val="center"/>
                </w:tcPr>
                <w:p w14:paraId="016D6D21">
                  <w:pPr>
                    <w:pStyle w:val="55"/>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0.5</w:t>
                  </w:r>
                </w:p>
              </w:tc>
              <w:tc>
                <w:tcPr>
                  <w:tcW w:w="927" w:type="pct"/>
                  <w:noWrap w:val="0"/>
                  <w:vAlign w:val="center"/>
                </w:tcPr>
                <w:p w14:paraId="295B8B92">
                  <w:pPr>
                    <w:pStyle w:val="55"/>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w:t>
                  </w:r>
                </w:p>
              </w:tc>
              <w:tc>
                <w:tcPr>
                  <w:tcW w:w="1726" w:type="pct"/>
                  <w:vMerge w:val="restart"/>
                  <w:noWrap w:val="0"/>
                  <w:vAlign w:val="center"/>
                </w:tcPr>
                <w:p w14:paraId="6C94544D">
                  <w:pPr>
                    <w:pStyle w:val="55"/>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《合成树脂工业污染物排放标准》（GB31572—2015含2024年修改单）</w:t>
                  </w:r>
                </w:p>
              </w:tc>
            </w:tr>
            <w:tr w14:paraId="484D99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pct"/>
                  <w:vMerge w:val="continue"/>
                  <w:noWrap w:val="0"/>
                  <w:vAlign w:val="center"/>
                </w:tcPr>
                <w:p w14:paraId="475EDC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867" w:type="pct"/>
                  <w:noWrap w:val="0"/>
                  <w:vAlign w:val="center"/>
                </w:tcPr>
                <w:p w14:paraId="078536EA">
                  <w:pPr>
                    <w:pStyle w:val="55"/>
                    <w:ind w:firstLine="0" w:firstLineChars="0"/>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lang w:val="en-US" w:eastAsia="zh-CN"/>
                    </w:rPr>
                    <w:t>乙苯</w:t>
                  </w:r>
                </w:p>
              </w:tc>
              <w:tc>
                <w:tcPr>
                  <w:tcW w:w="909" w:type="pct"/>
                  <w:noWrap w:val="0"/>
                  <w:vAlign w:val="center"/>
                </w:tcPr>
                <w:p w14:paraId="487BB53D">
                  <w:pPr>
                    <w:pStyle w:val="55"/>
                    <w:ind w:firstLine="0" w:firstLineChars="0"/>
                    <w:rPr>
                      <w:rFonts w:hint="default" w:ascii="Times New Roman" w:hAnsi="Times New Roman" w:cs="Times New Roman"/>
                      <w:color w:val="auto"/>
                      <w:sz w:val="21"/>
                      <w:szCs w:val="21"/>
                      <w:lang w:val="en-US" w:eastAsia="zh-CN"/>
                    </w:rPr>
                  </w:pPr>
                  <w:r>
                    <w:rPr>
                      <w:rFonts w:hint="eastAsia" w:ascii="Times New Roman" w:hAnsi="Times New Roman" w:eastAsia="宋体"/>
                      <w:color w:val="auto"/>
                      <w:lang w:val="en-US" w:eastAsia="zh-CN"/>
                    </w:rPr>
                    <w:t>50</w:t>
                  </w:r>
                </w:p>
              </w:tc>
              <w:tc>
                <w:tcPr>
                  <w:tcW w:w="927" w:type="pct"/>
                  <w:noWrap w:val="0"/>
                  <w:vAlign w:val="center"/>
                </w:tcPr>
                <w:p w14:paraId="7634E803">
                  <w:pPr>
                    <w:pStyle w:val="55"/>
                    <w:ind w:firstLine="0" w:firstLineChars="0"/>
                    <w:rPr>
                      <w:rFonts w:hint="eastAsia"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olor w:val="auto"/>
                      <w:lang w:val="en-US" w:eastAsia="zh-CN"/>
                    </w:rPr>
                    <w:t>/</w:t>
                  </w:r>
                </w:p>
              </w:tc>
              <w:tc>
                <w:tcPr>
                  <w:tcW w:w="1726" w:type="pct"/>
                  <w:vMerge w:val="continue"/>
                  <w:noWrap w:val="0"/>
                  <w:vAlign w:val="center"/>
                </w:tcPr>
                <w:p w14:paraId="3BF30AD7">
                  <w:pPr>
                    <w:pStyle w:val="55"/>
                    <w:ind w:firstLine="0" w:firstLineChars="0"/>
                    <w:rPr>
                      <w:rFonts w:hint="default" w:ascii="Times New Roman" w:hAnsi="Times New Roman" w:eastAsia="宋体" w:cs="Times New Roman"/>
                      <w:color w:val="auto"/>
                      <w:sz w:val="21"/>
                      <w:szCs w:val="21"/>
                      <w:lang w:val="en-US" w:eastAsia="zh-CN"/>
                    </w:rPr>
                  </w:pPr>
                </w:p>
              </w:tc>
            </w:tr>
            <w:tr w14:paraId="5E2EF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pct"/>
                  <w:vMerge w:val="continue"/>
                  <w:noWrap w:val="0"/>
                  <w:vAlign w:val="center"/>
                </w:tcPr>
                <w:p w14:paraId="257605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867" w:type="pct"/>
                  <w:noWrap w:val="0"/>
                  <w:vAlign w:val="center"/>
                </w:tcPr>
                <w:p w14:paraId="0DB57A26">
                  <w:pPr>
                    <w:pStyle w:val="55"/>
                    <w:ind w:firstLine="0" w:firstLineChars="0"/>
                    <w:outlineLvl w:val="9"/>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1,3-丁二烯</w:t>
                  </w:r>
                </w:p>
              </w:tc>
              <w:tc>
                <w:tcPr>
                  <w:tcW w:w="909" w:type="pct"/>
                  <w:noWrap w:val="0"/>
                  <w:vAlign w:val="center"/>
                </w:tcPr>
                <w:p w14:paraId="062D24B8">
                  <w:pPr>
                    <w:pStyle w:val="55"/>
                    <w:ind w:firstLine="0" w:firstLineChars="0"/>
                    <w:rPr>
                      <w:rFonts w:hint="default" w:ascii="Times New Roman" w:hAnsi="Times New Roman" w:eastAsia="宋体"/>
                      <w:color w:val="auto"/>
                      <w:lang w:val="en-US" w:eastAsia="zh-CN"/>
                    </w:rPr>
                  </w:pPr>
                  <w:r>
                    <w:rPr>
                      <w:rFonts w:hint="eastAsia"/>
                      <w:color w:val="auto"/>
                      <w:lang w:val="en-US" w:eastAsia="zh-CN"/>
                    </w:rPr>
                    <w:t>1</w:t>
                  </w:r>
                </w:p>
              </w:tc>
              <w:tc>
                <w:tcPr>
                  <w:tcW w:w="927" w:type="pct"/>
                  <w:noWrap w:val="0"/>
                  <w:vAlign w:val="center"/>
                </w:tcPr>
                <w:p w14:paraId="66996966">
                  <w:pPr>
                    <w:pStyle w:val="55"/>
                    <w:ind w:firstLine="0" w:firstLineChars="0"/>
                    <w:rPr>
                      <w:rFonts w:hint="default" w:ascii="Times New Roman" w:hAnsi="Times New Roman" w:eastAsia="宋体"/>
                      <w:color w:val="auto"/>
                      <w:lang w:val="en-US" w:eastAsia="zh-CN"/>
                    </w:rPr>
                  </w:pPr>
                  <w:r>
                    <w:rPr>
                      <w:rFonts w:hint="eastAsia"/>
                      <w:color w:val="auto"/>
                      <w:lang w:val="en-US" w:eastAsia="zh-CN"/>
                    </w:rPr>
                    <w:t>/</w:t>
                  </w:r>
                </w:p>
              </w:tc>
              <w:tc>
                <w:tcPr>
                  <w:tcW w:w="1726" w:type="pct"/>
                  <w:vMerge w:val="continue"/>
                  <w:noWrap w:val="0"/>
                  <w:vAlign w:val="center"/>
                </w:tcPr>
                <w:p w14:paraId="7B09A778">
                  <w:pPr>
                    <w:pStyle w:val="55"/>
                    <w:ind w:firstLine="0" w:firstLineChars="0"/>
                    <w:rPr>
                      <w:rFonts w:hint="default" w:ascii="Times New Roman" w:hAnsi="Times New Roman" w:eastAsia="宋体" w:cs="Times New Roman"/>
                      <w:color w:val="auto"/>
                      <w:sz w:val="21"/>
                      <w:szCs w:val="21"/>
                      <w:lang w:val="en-US" w:eastAsia="zh-CN"/>
                    </w:rPr>
                  </w:pPr>
                </w:p>
              </w:tc>
            </w:tr>
            <w:tr w14:paraId="43E12F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pct"/>
                  <w:vMerge w:val="continue"/>
                  <w:noWrap w:val="0"/>
                  <w:vAlign w:val="center"/>
                </w:tcPr>
                <w:p w14:paraId="5DD040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867" w:type="pct"/>
                  <w:noWrap w:val="0"/>
                  <w:vAlign w:val="center"/>
                </w:tcPr>
                <w:p w14:paraId="027F2460">
                  <w:pPr>
                    <w:pStyle w:val="55"/>
                    <w:ind w:firstLine="0" w:firstLineChars="0"/>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lang w:val="en-US" w:eastAsia="zh-CN"/>
                    </w:rPr>
                    <w:t>臭气浓度</w:t>
                  </w:r>
                </w:p>
              </w:tc>
              <w:tc>
                <w:tcPr>
                  <w:tcW w:w="909" w:type="pct"/>
                  <w:noWrap w:val="0"/>
                  <w:vAlign w:val="center"/>
                </w:tcPr>
                <w:p w14:paraId="6A12CC84">
                  <w:pPr>
                    <w:pStyle w:val="55"/>
                    <w:ind w:firstLine="0" w:firstLineChars="0"/>
                    <w:rPr>
                      <w:rFonts w:hint="default" w:ascii="Times New Roman" w:hAnsi="Times New Roman" w:cs="Times New Roman"/>
                      <w:color w:val="auto"/>
                      <w:sz w:val="21"/>
                      <w:szCs w:val="21"/>
                      <w:lang w:val="en-US" w:eastAsia="zh-CN"/>
                    </w:rPr>
                  </w:pPr>
                  <w:r>
                    <w:rPr>
                      <w:rFonts w:hint="eastAsia" w:ascii="Times New Roman" w:hAnsi="Times New Roman" w:eastAsia="宋体"/>
                      <w:color w:val="auto"/>
                      <w:lang w:val="en-US" w:eastAsia="zh-CN"/>
                    </w:rPr>
                    <w:t>6000</w:t>
                  </w:r>
                  <w:r>
                    <w:rPr>
                      <w:rFonts w:hint="eastAsia" w:eastAsia="宋体"/>
                      <w:color w:val="auto"/>
                      <w:lang w:val="en-US" w:eastAsia="zh-CN"/>
                    </w:rPr>
                    <w:t>（无量纲）</w:t>
                  </w:r>
                </w:p>
              </w:tc>
              <w:tc>
                <w:tcPr>
                  <w:tcW w:w="927" w:type="pct"/>
                  <w:noWrap w:val="0"/>
                  <w:vAlign w:val="center"/>
                </w:tcPr>
                <w:p w14:paraId="709FD51A">
                  <w:pPr>
                    <w:pStyle w:val="55"/>
                    <w:ind w:firstLine="0" w:firstLineChars="0"/>
                    <w:rPr>
                      <w:rFonts w:hint="eastAsia"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olor w:val="auto"/>
                      <w:lang w:val="en-US" w:eastAsia="zh-CN"/>
                    </w:rPr>
                    <w:t>/</w:t>
                  </w:r>
                </w:p>
              </w:tc>
              <w:tc>
                <w:tcPr>
                  <w:tcW w:w="1726" w:type="pct"/>
                  <w:noWrap w:val="0"/>
                  <w:vAlign w:val="center"/>
                </w:tcPr>
                <w:p w14:paraId="60AA3567">
                  <w:pPr>
                    <w:pStyle w:val="55"/>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olor w:val="auto"/>
                      <w:lang w:val="en-US" w:eastAsia="zh-CN"/>
                    </w:rPr>
                    <w:t>《恶臭污染物排放标准》（GB14554-93）</w:t>
                  </w:r>
                </w:p>
              </w:tc>
            </w:tr>
            <w:tr w14:paraId="535CA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pct"/>
                  <w:noWrap w:val="0"/>
                  <w:vAlign w:val="center"/>
                </w:tcPr>
                <w:p w14:paraId="2F036C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DA002</w:t>
                  </w:r>
                </w:p>
              </w:tc>
              <w:tc>
                <w:tcPr>
                  <w:tcW w:w="867" w:type="pct"/>
                  <w:noWrap w:val="0"/>
                  <w:vAlign w:val="center"/>
                </w:tcPr>
                <w:p w14:paraId="58F821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c>
                <w:tcPr>
                  <w:tcW w:w="909" w:type="pct"/>
                  <w:noWrap w:val="0"/>
                  <w:vAlign w:val="center"/>
                </w:tcPr>
                <w:p w14:paraId="3AEC7993">
                  <w:pPr>
                    <w:pStyle w:val="55"/>
                    <w:ind w:firstLine="0" w:firstLineChars="0"/>
                    <w:rPr>
                      <w:rFonts w:hint="default" w:ascii="Times New Roman" w:hAnsi="Times New Roman" w:cs="Times New Roman"/>
                      <w:color w:val="auto"/>
                      <w:sz w:val="21"/>
                      <w:szCs w:val="21"/>
                      <w:lang w:val="en-US" w:eastAsia="zh-CN"/>
                    </w:rPr>
                  </w:pPr>
                  <w:r>
                    <w:rPr>
                      <w:rFonts w:hint="eastAsia" w:ascii="Times New Roman" w:hAnsi="Times New Roman" w:eastAsia="宋体"/>
                      <w:color w:val="auto"/>
                      <w:lang w:val="en-US" w:eastAsia="zh-CN"/>
                    </w:rPr>
                    <w:t>20</w:t>
                  </w:r>
                </w:p>
              </w:tc>
              <w:tc>
                <w:tcPr>
                  <w:tcW w:w="927" w:type="pct"/>
                  <w:noWrap w:val="0"/>
                  <w:vAlign w:val="center"/>
                </w:tcPr>
                <w:p w14:paraId="68ECF5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w:t>
                  </w:r>
                </w:p>
              </w:tc>
              <w:tc>
                <w:tcPr>
                  <w:tcW w:w="1726" w:type="pct"/>
                  <w:noWrap w:val="0"/>
                  <w:vAlign w:val="center"/>
                </w:tcPr>
                <w:p w14:paraId="081DA0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《合成树脂工业污染物排放标准》（GB31572—2015含2024年修改单）</w:t>
                  </w:r>
                </w:p>
              </w:tc>
            </w:tr>
          </w:tbl>
          <w:p w14:paraId="03DC6C21">
            <w:pPr>
              <w:pStyle w:val="59"/>
              <w:keepNext w:val="0"/>
              <w:keepLines w:val="0"/>
              <w:pageBreakBefore w:val="0"/>
              <w:widowControl w:val="0"/>
              <w:kinsoku/>
              <w:wordWrap/>
              <w:overflowPunct w:val="0"/>
              <w:topLinePunct w:val="0"/>
              <w:autoSpaceDE w:val="0"/>
              <w:autoSpaceDN w:val="0"/>
              <w:bidi w:val="0"/>
              <w:adjustRightInd w:val="0"/>
              <w:snapToGrid/>
              <w:spacing w:line="240" w:lineRule="auto"/>
              <w:textAlignment w:val="baseline"/>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表3-5 无组织废气排放标准</w:t>
            </w:r>
          </w:p>
          <w:tbl>
            <w:tblPr>
              <w:tblStyle w:val="29"/>
              <w:tblW w:w="499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1036"/>
              <w:gridCol w:w="1080"/>
              <w:gridCol w:w="1805"/>
              <w:gridCol w:w="1574"/>
              <w:gridCol w:w="2632"/>
            </w:tblGrid>
            <w:tr w14:paraId="3F86CF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637" w:type="pct"/>
                  <w:tcBorders>
                    <w:tl2br w:val="nil"/>
                    <w:tr2bl w:val="nil"/>
                  </w:tcBorders>
                  <w:noWrap w:val="0"/>
                  <w:vAlign w:val="center"/>
                </w:tcPr>
                <w:p w14:paraId="26C2BEF2">
                  <w:pPr>
                    <w:pStyle w:val="102"/>
                    <w:keepNext w:val="0"/>
                    <w:keepLines w:val="0"/>
                    <w:pageBreakBefore w:val="0"/>
                    <w:widowControl w:val="0"/>
                    <w:kinsoku/>
                    <w:wordWrap/>
                    <w:overflowPunct w:val="0"/>
                    <w:topLinePunct w:val="0"/>
                    <w:autoSpaceDE/>
                    <w:autoSpaceDN/>
                    <w:bidi w:val="0"/>
                    <w:adjustRightInd/>
                    <w:snapToGrid/>
                    <w:textAlignment w:val="auto"/>
                    <w:rPr>
                      <w:rFonts w:ascii="Times New Roman" w:hAnsi="Times New Roman" w:eastAsia="宋体"/>
                      <w:b/>
                      <w:bCs/>
                      <w:color w:val="auto"/>
                    </w:rPr>
                  </w:pPr>
                  <w:r>
                    <w:rPr>
                      <w:rFonts w:ascii="Times New Roman" w:hAnsi="Times New Roman" w:eastAsia="宋体"/>
                      <w:b/>
                      <w:bCs/>
                      <w:color w:val="auto"/>
                    </w:rPr>
                    <w:t>污染物项目</w:t>
                  </w:r>
                </w:p>
              </w:tc>
              <w:tc>
                <w:tcPr>
                  <w:tcW w:w="664" w:type="pct"/>
                  <w:tcBorders>
                    <w:tl2br w:val="nil"/>
                    <w:tr2bl w:val="nil"/>
                  </w:tcBorders>
                  <w:noWrap w:val="0"/>
                  <w:vAlign w:val="center"/>
                </w:tcPr>
                <w:p w14:paraId="7F4B9F71">
                  <w:pPr>
                    <w:pStyle w:val="102"/>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宋体"/>
                      <w:b/>
                      <w:bCs/>
                      <w:color w:val="auto"/>
                      <w:lang w:eastAsia="zh-CN"/>
                    </w:rPr>
                  </w:pPr>
                  <w:r>
                    <w:rPr>
                      <w:rFonts w:ascii="Times New Roman" w:hAnsi="Times New Roman" w:eastAsia="宋体"/>
                      <w:b/>
                      <w:bCs/>
                      <w:color w:val="auto"/>
                    </w:rPr>
                    <w:t>排放限值</w:t>
                  </w:r>
                  <w:r>
                    <w:rPr>
                      <w:rFonts w:hint="eastAsia" w:ascii="Times New Roman" w:hAnsi="Times New Roman" w:eastAsia="宋体"/>
                      <w:b/>
                      <w:bCs/>
                      <w:color w:val="auto"/>
                      <w:lang w:eastAsia="zh-CN"/>
                    </w:rPr>
                    <w:t>（</w:t>
                  </w:r>
                  <w:r>
                    <w:rPr>
                      <w:rFonts w:hint="eastAsia" w:ascii="Times New Roman" w:hAnsi="Times New Roman" w:eastAsia="宋体"/>
                      <w:b/>
                      <w:bCs/>
                      <w:color w:val="auto"/>
                      <w:lang w:val="en-US" w:eastAsia="zh-CN"/>
                    </w:rPr>
                    <w:t>mg/m</w:t>
                  </w:r>
                  <w:r>
                    <w:rPr>
                      <w:rFonts w:hint="eastAsia" w:ascii="Times New Roman" w:hAnsi="Times New Roman" w:eastAsia="宋体"/>
                      <w:b/>
                      <w:bCs/>
                      <w:color w:val="auto"/>
                      <w:vertAlign w:val="superscript"/>
                      <w:lang w:val="en-US" w:eastAsia="zh-CN"/>
                    </w:rPr>
                    <w:t>3</w:t>
                  </w:r>
                  <w:r>
                    <w:rPr>
                      <w:rFonts w:hint="eastAsia" w:ascii="Times New Roman" w:hAnsi="Times New Roman" w:eastAsia="宋体"/>
                      <w:b/>
                      <w:bCs/>
                      <w:color w:val="auto"/>
                      <w:lang w:eastAsia="zh-CN"/>
                    </w:rPr>
                    <w:t>）</w:t>
                  </w:r>
                </w:p>
              </w:tc>
              <w:tc>
                <w:tcPr>
                  <w:tcW w:w="1110" w:type="pct"/>
                  <w:tcBorders>
                    <w:tl2br w:val="nil"/>
                    <w:tr2bl w:val="nil"/>
                  </w:tcBorders>
                  <w:noWrap w:val="0"/>
                  <w:vAlign w:val="center"/>
                </w:tcPr>
                <w:p w14:paraId="3D6810F7">
                  <w:pPr>
                    <w:pStyle w:val="102"/>
                    <w:keepNext w:val="0"/>
                    <w:keepLines w:val="0"/>
                    <w:pageBreakBefore w:val="0"/>
                    <w:widowControl w:val="0"/>
                    <w:kinsoku/>
                    <w:wordWrap/>
                    <w:overflowPunct w:val="0"/>
                    <w:topLinePunct w:val="0"/>
                    <w:autoSpaceDE/>
                    <w:autoSpaceDN/>
                    <w:bidi w:val="0"/>
                    <w:adjustRightInd/>
                    <w:snapToGrid/>
                    <w:textAlignment w:val="auto"/>
                    <w:rPr>
                      <w:rFonts w:ascii="Times New Roman" w:hAnsi="Times New Roman" w:eastAsia="宋体"/>
                      <w:b/>
                      <w:bCs/>
                      <w:color w:val="auto"/>
                    </w:rPr>
                  </w:pPr>
                  <w:r>
                    <w:rPr>
                      <w:rFonts w:ascii="Times New Roman" w:hAnsi="Times New Roman" w:eastAsia="宋体"/>
                      <w:b/>
                      <w:bCs/>
                      <w:color w:val="auto"/>
                    </w:rPr>
                    <w:t>限值含义</w:t>
                  </w:r>
                </w:p>
              </w:tc>
              <w:tc>
                <w:tcPr>
                  <w:tcW w:w="968" w:type="pct"/>
                  <w:tcBorders>
                    <w:tl2br w:val="nil"/>
                    <w:tr2bl w:val="nil"/>
                  </w:tcBorders>
                  <w:noWrap w:val="0"/>
                  <w:vAlign w:val="center"/>
                </w:tcPr>
                <w:p w14:paraId="78E49B7F">
                  <w:pPr>
                    <w:pStyle w:val="102"/>
                    <w:keepNext w:val="0"/>
                    <w:keepLines w:val="0"/>
                    <w:pageBreakBefore w:val="0"/>
                    <w:widowControl w:val="0"/>
                    <w:kinsoku/>
                    <w:wordWrap/>
                    <w:overflowPunct w:val="0"/>
                    <w:topLinePunct w:val="0"/>
                    <w:autoSpaceDE/>
                    <w:autoSpaceDN/>
                    <w:bidi w:val="0"/>
                    <w:adjustRightInd/>
                    <w:snapToGrid/>
                    <w:textAlignment w:val="auto"/>
                    <w:rPr>
                      <w:rFonts w:ascii="Times New Roman" w:hAnsi="Times New Roman" w:eastAsia="宋体"/>
                      <w:b/>
                      <w:bCs/>
                      <w:color w:val="auto"/>
                    </w:rPr>
                  </w:pPr>
                  <w:r>
                    <w:rPr>
                      <w:rFonts w:ascii="Times New Roman" w:hAnsi="Times New Roman" w:eastAsia="宋体"/>
                      <w:b/>
                      <w:bCs/>
                      <w:color w:val="auto"/>
                    </w:rPr>
                    <w:t>无组织排放监控位置</w:t>
                  </w:r>
                </w:p>
              </w:tc>
              <w:tc>
                <w:tcPr>
                  <w:tcW w:w="1619" w:type="pct"/>
                  <w:tcBorders>
                    <w:tl2br w:val="nil"/>
                    <w:tr2bl w:val="nil"/>
                  </w:tcBorders>
                  <w:noWrap w:val="0"/>
                  <w:vAlign w:val="center"/>
                </w:tcPr>
                <w:p w14:paraId="5B380209">
                  <w:pPr>
                    <w:pStyle w:val="102"/>
                    <w:keepNext w:val="0"/>
                    <w:keepLines w:val="0"/>
                    <w:pageBreakBefore w:val="0"/>
                    <w:widowControl w:val="0"/>
                    <w:kinsoku/>
                    <w:wordWrap/>
                    <w:overflowPunct w:val="0"/>
                    <w:topLinePunct w:val="0"/>
                    <w:autoSpaceDE/>
                    <w:autoSpaceDN/>
                    <w:bidi w:val="0"/>
                    <w:adjustRightInd/>
                    <w:snapToGrid/>
                    <w:textAlignment w:val="auto"/>
                    <w:rPr>
                      <w:rFonts w:ascii="Times New Roman" w:hAnsi="Times New Roman" w:eastAsia="宋体"/>
                      <w:b/>
                      <w:bCs/>
                      <w:color w:val="auto"/>
                    </w:rPr>
                  </w:pPr>
                  <w:r>
                    <w:rPr>
                      <w:rFonts w:ascii="Times New Roman" w:hAnsi="Times New Roman" w:eastAsia="宋体"/>
                      <w:b/>
                      <w:bCs/>
                      <w:color w:val="auto"/>
                    </w:rPr>
                    <w:t>标准来源</w:t>
                  </w:r>
                </w:p>
              </w:tc>
            </w:tr>
            <w:tr w14:paraId="67AB99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637" w:type="pct"/>
                  <w:vMerge w:val="restart"/>
                  <w:tcBorders>
                    <w:tl2br w:val="nil"/>
                    <w:tr2bl w:val="nil"/>
                  </w:tcBorders>
                  <w:noWrap w:val="0"/>
                  <w:vAlign w:val="center"/>
                </w:tcPr>
                <w:p w14:paraId="509507A2">
                  <w:pPr>
                    <w:pStyle w:val="102"/>
                    <w:keepNext w:val="0"/>
                    <w:keepLines w:val="0"/>
                    <w:pageBreakBefore w:val="0"/>
                    <w:widowControl w:val="0"/>
                    <w:kinsoku/>
                    <w:wordWrap/>
                    <w:overflowPunct w:val="0"/>
                    <w:topLinePunct w:val="0"/>
                    <w:autoSpaceDE/>
                    <w:autoSpaceDN/>
                    <w:bidi w:val="0"/>
                    <w:adjustRightInd/>
                    <w:snapToGrid/>
                    <w:textAlignment w:val="auto"/>
                    <w:rPr>
                      <w:rFonts w:ascii="Times New Roman" w:hAnsi="Times New Roman" w:eastAsia="宋体"/>
                      <w:color w:val="auto"/>
                      <w:kern w:val="0"/>
                      <w:sz w:val="21"/>
                      <w:szCs w:val="22"/>
                      <w:lang w:val="en-US" w:eastAsia="zh-CN" w:bidi="ar-SA"/>
                    </w:rPr>
                  </w:pPr>
                  <w:r>
                    <w:rPr>
                      <w:rFonts w:ascii="Times New Roman" w:hAnsi="Times New Roman" w:eastAsia="宋体"/>
                      <w:color w:val="auto"/>
                    </w:rPr>
                    <w:t>NMHC</w:t>
                  </w:r>
                </w:p>
              </w:tc>
              <w:tc>
                <w:tcPr>
                  <w:tcW w:w="664" w:type="pct"/>
                  <w:tcBorders>
                    <w:tl2br w:val="nil"/>
                    <w:tr2bl w:val="nil"/>
                  </w:tcBorders>
                  <w:noWrap w:val="0"/>
                  <w:vAlign w:val="center"/>
                </w:tcPr>
                <w:p w14:paraId="0276AE66">
                  <w:pPr>
                    <w:pStyle w:val="102"/>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宋体"/>
                      <w:color w:val="auto"/>
                      <w:kern w:val="0"/>
                      <w:sz w:val="21"/>
                      <w:szCs w:val="22"/>
                      <w:lang w:val="en-US" w:eastAsia="zh-CN" w:bidi="ar-SA"/>
                    </w:rPr>
                  </w:pPr>
                  <w:r>
                    <w:rPr>
                      <w:rFonts w:hint="eastAsia" w:ascii="Times New Roman" w:hAnsi="Times New Roman" w:eastAsia="宋体"/>
                      <w:color w:val="auto"/>
                      <w:lang w:val="en-US" w:eastAsia="zh-CN"/>
                    </w:rPr>
                    <w:t>6</w:t>
                  </w:r>
                </w:p>
              </w:tc>
              <w:tc>
                <w:tcPr>
                  <w:tcW w:w="1110" w:type="pct"/>
                  <w:tcBorders>
                    <w:tl2br w:val="nil"/>
                    <w:tr2bl w:val="nil"/>
                  </w:tcBorders>
                  <w:noWrap w:val="0"/>
                  <w:vAlign w:val="center"/>
                </w:tcPr>
                <w:p w14:paraId="662E9F0F">
                  <w:pPr>
                    <w:pStyle w:val="102"/>
                    <w:keepNext w:val="0"/>
                    <w:keepLines w:val="0"/>
                    <w:pageBreakBefore w:val="0"/>
                    <w:widowControl w:val="0"/>
                    <w:kinsoku/>
                    <w:wordWrap/>
                    <w:overflowPunct w:val="0"/>
                    <w:topLinePunct w:val="0"/>
                    <w:autoSpaceDE/>
                    <w:autoSpaceDN/>
                    <w:bidi w:val="0"/>
                    <w:adjustRightInd/>
                    <w:snapToGrid/>
                    <w:textAlignment w:val="auto"/>
                    <w:rPr>
                      <w:rFonts w:ascii="Times New Roman" w:hAnsi="Times New Roman" w:eastAsia="宋体"/>
                      <w:color w:val="auto"/>
                      <w:kern w:val="0"/>
                      <w:sz w:val="21"/>
                      <w:szCs w:val="22"/>
                      <w:lang w:val="en-US" w:eastAsia="zh-CN" w:bidi="ar-SA"/>
                    </w:rPr>
                  </w:pPr>
                  <w:r>
                    <w:rPr>
                      <w:rFonts w:ascii="Times New Roman" w:hAnsi="Times New Roman" w:eastAsia="宋体"/>
                      <w:color w:val="auto"/>
                    </w:rPr>
                    <w:t>监控点处1h平均浓度限值</w:t>
                  </w:r>
                </w:p>
              </w:tc>
              <w:tc>
                <w:tcPr>
                  <w:tcW w:w="968" w:type="pct"/>
                  <w:vMerge w:val="restart"/>
                  <w:tcBorders>
                    <w:tl2br w:val="nil"/>
                    <w:tr2bl w:val="nil"/>
                  </w:tcBorders>
                  <w:noWrap w:val="0"/>
                  <w:vAlign w:val="center"/>
                </w:tcPr>
                <w:p w14:paraId="64E24175">
                  <w:pPr>
                    <w:pStyle w:val="102"/>
                    <w:keepNext w:val="0"/>
                    <w:keepLines w:val="0"/>
                    <w:pageBreakBefore w:val="0"/>
                    <w:widowControl w:val="0"/>
                    <w:kinsoku/>
                    <w:wordWrap/>
                    <w:overflowPunct w:val="0"/>
                    <w:topLinePunct w:val="0"/>
                    <w:autoSpaceDE/>
                    <w:autoSpaceDN/>
                    <w:bidi w:val="0"/>
                    <w:adjustRightInd/>
                    <w:snapToGrid/>
                    <w:textAlignment w:val="auto"/>
                    <w:rPr>
                      <w:rFonts w:ascii="Times New Roman" w:hAnsi="Times New Roman" w:eastAsia="宋体"/>
                      <w:color w:val="auto"/>
                    </w:rPr>
                  </w:pPr>
                  <w:r>
                    <w:rPr>
                      <w:rFonts w:ascii="Times New Roman" w:hAnsi="Times New Roman" w:eastAsia="宋体"/>
                      <w:color w:val="auto"/>
                    </w:rPr>
                    <w:t>在厂房外设置监控点</w:t>
                  </w:r>
                </w:p>
              </w:tc>
              <w:tc>
                <w:tcPr>
                  <w:tcW w:w="1619" w:type="pct"/>
                  <w:vMerge w:val="restart"/>
                  <w:tcBorders>
                    <w:tl2br w:val="nil"/>
                    <w:tr2bl w:val="nil"/>
                  </w:tcBorders>
                  <w:noWrap w:val="0"/>
                  <w:vAlign w:val="center"/>
                </w:tcPr>
                <w:p w14:paraId="406C5A52">
                  <w:pPr>
                    <w:pStyle w:val="102"/>
                    <w:keepNext w:val="0"/>
                    <w:keepLines w:val="0"/>
                    <w:pageBreakBefore w:val="0"/>
                    <w:widowControl w:val="0"/>
                    <w:kinsoku/>
                    <w:wordWrap/>
                    <w:overflowPunct w:val="0"/>
                    <w:topLinePunct w:val="0"/>
                    <w:autoSpaceDE/>
                    <w:autoSpaceDN/>
                    <w:bidi w:val="0"/>
                    <w:adjustRightInd/>
                    <w:snapToGrid/>
                    <w:jc w:val="center"/>
                    <w:textAlignment w:val="auto"/>
                    <w:rPr>
                      <w:rFonts w:ascii="Times New Roman" w:hAnsi="Times New Roman" w:eastAsia="宋体"/>
                      <w:color w:val="auto"/>
                    </w:rPr>
                  </w:pPr>
                  <w:r>
                    <w:rPr>
                      <w:rFonts w:hint="eastAsia" w:ascii="Times New Roman" w:hAnsi="Times New Roman" w:eastAsia="宋体" w:cs="Times New Roman"/>
                      <w:color w:val="auto"/>
                      <w:spacing w:val="20"/>
                      <w:sz w:val="21"/>
                      <w:lang w:val="en-US" w:eastAsia="zh-CN"/>
                    </w:rPr>
                    <w:t>《固定源挥发性有机物综合排放标准第6部分：其他行业》（DB34/4812.6—2024）</w:t>
                  </w:r>
                </w:p>
              </w:tc>
            </w:tr>
            <w:tr w14:paraId="675224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637" w:type="pct"/>
                  <w:vMerge w:val="continue"/>
                  <w:tcBorders>
                    <w:tl2br w:val="nil"/>
                    <w:tr2bl w:val="nil"/>
                  </w:tcBorders>
                  <w:noWrap w:val="0"/>
                  <w:vAlign w:val="center"/>
                </w:tcPr>
                <w:p w14:paraId="0D63A77D">
                  <w:pPr>
                    <w:pStyle w:val="102"/>
                    <w:keepNext w:val="0"/>
                    <w:keepLines w:val="0"/>
                    <w:pageBreakBefore w:val="0"/>
                    <w:widowControl w:val="0"/>
                    <w:kinsoku/>
                    <w:wordWrap/>
                    <w:overflowPunct w:val="0"/>
                    <w:topLinePunct w:val="0"/>
                    <w:autoSpaceDE/>
                    <w:autoSpaceDN/>
                    <w:bidi w:val="0"/>
                    <w:adjustRightInd/>
                    <w:snapToGrid/>
                    <w:textAlignment w:val="auto"/>
                    <w:rPr>
                      <w:rFonts w:ascii="Times New Roman" w:hAnsi="Times New Roman" w:eastAsia="宋体"/>
                      <w:color w:val="auto"/>
                      <w:kern w:val="0"/>
                      <w:sz w:val="21"/>
                      <w:szCs w:val="22"/>
                      <w:lang w:val="en-US" w:eastAsia="zh-CN" w:bidi="ar-SA"/>
                    </w:rPr>
                  </w:pPr>
                </w:p>
              </w:tc>
              <w:tc>
                <w:tcPr>
                  <w:tcW w:w="664" w:type="pct"/>
                  <w:tcBorders>
                    <w:tl2br w:val="nil"/>
                    <w:tr2bl w:val="nil"/>
                  </w:tcBorders>
                  <w:noWrap w:val="0"/>
                  <w:vAlign w:val="center"/>
                </w:tcPr>
                <w:p w14:paraId="7E753EF4">
                  <w:pPr>
                    <w:pStyle w:val="102"/>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olor w:val="auto"/>
                      <w:kern w:val="0"/>
                      <w:sz w:val="21"/>
                      <w:szCs w:val="22"/>
                      <w:lang w:val="en-US" w:eastAsia="zh-CN" w:bidi="ar-SA"/>
                    </w:rPr>
                  </w:pPr>
                  <w:r>
                    <w:rPr>
                      <w:rFonts w:hint="eastAsia" w:ascii="Times New Roman" w:hAnsi="Times New Roman" w:eastAsia="宋体"/>
                      <w:color w:val="auto"/>
                      <w:lang w:val="en-US" w:eastAsia="zh-CN"/>
                    </w:rPr>
                    <w:t>20</w:t>
                  </w:r>
                </w:p>
              </w:tc>
              <w:tc>
                <w:tcPr>
                  <w:tcW w:w="1110" w:type="pct"/>
                  <w:tcBorders>
                    <w:tl2br w:val="nil"/>
                    <w:tr2bl w:val="nil"/>
                  </w:tcBorders>
                  <w:noWrap w:val="0"/>
                  <w:vAlign w:val="center"/>
                </w:tcPr>
                <w:p w14:paraId="5208466D">
                  <w:pPr>
                    <w:pStyle w:val="102"/>
                    <w:keepNext w:val="0"/>
                    <w:keepLines w:val="0"/>
                    <w:pageBreakBefore w:val="0"/>
                    <w:widowControl w:val="0"/>
                    <w:kinsoku/>
                    <w:wordWrap/>
                    <w:overflowPunct w:val="0"/>
                    <w:topLinePunct w:val="0"/>
                    <w:autoSpaceDE/>
                    <w:autoSpaceDN/>
                    <w:bidi w:val="0"/>
                    <w:adjustRightInd/>
                    <w:snapToGrid/>
                    <w:textAlignment w:val="auto"/>
                    <w:rPr>
                      <w:rFonts w:ascii="Times New Roman" w:hAnsi="Times New Roman" w:eastAsia="宋体"/>
                      <w:color w:val="auto"/>
                      <w:kern w:val="0"/>
                      <w:sz w:val="21"/>
                      <w:szCs w:val="22"/>
                      <w:lang w:val="en-US" w:eastAsia="zh-CN" w:bidi="ar-SA"/>
                    </w:rPr>
                  </w:pPr>
                  <w:r>
                    <w:rPr>
                      <w:rFonts w:ascii="Times New Roman" w:hAnsi="Times New Roman" w:eastAsia="宋体"/>
                      <w:color w:val="auto"/>
                    </w:rPr>
                    <w:t>监控点处任意一次浓度值</w:t>
                  </w:r>
                </w:p>
              </w:tc>
              <w:tc>
                <w:tcPr>
                  <w:tcW w:w="968" w:type="pct"/>
                  <w:vMerge w:val="continue"/>
                  <w:tcBorders>
                    <w:tl2br w:val="nil"/>
                    <w:tr2bl w:val="nil"/>
                  </w:tcBorders>
                  <w:noWrap w:val="0"/>
                  <w:vAlign w:val="top"/>
                </w:tcPr>
                <w:p w14:paraId="73FB5421">
                  <w:pPr>
                    <w:pStyle w:val="102"/>
                    <w:keepNext w:val="0"/>
                    <w:keepLines w:val="0"/>
                    <w:pageBreakBefore w:val="0"/>
                    <w:widowControl w:val="0"/>
                    <w:kinsoku/>
                    <w:wordWrap/>
                    <w:overflowPunct w:val="0"/>
                    <w:topLinePunct w:val="0"/>
                    <w:autoSpaceDE/>
                    <w:autoSpaceDN/>
                    <w:bidi w:val="0"/>
                    <w:adjustRightInd/>
                    <w:snapToGrid/>
                    <w:textAlignment w:val="auto"/>
                    <w:rPr>
                      <w:rFonts w:ascii="Times New Roman" w:hAnsi="Times New Roman" w:eastAsia="宋体"/>
                      <w:color w:val="auto"/>
                    </w:rPr>
                  </w:pPr>
                </w:p>
              </w:tc>
              <w:tc>
                <w:tcPr>
                  <w:tcW w:w="1619" w:type="pct"/>
                  <w:vMerge w:val="continue"/>
                  <w:tcBorders>
                    <w:tl2br w:val="nil"/>
                    <w:tr2bl w:val="nil"/>
                  </w:tcBorders>
                  <w:noWrap w:val="0"/>
                  <w:vAlign w:val="top"/>
                </w:tcPr>
                <w:p w14:paraId="6DA9D1F9">
                  <w:pPr>
                    <w:pStyle w:val="102"/>
                    <w:keepNext w:val="0"/>
                    <w:keepLines w:val="0"/>
                    <w:pageBreakBefore w:val="0"/>
                    <w:widowControl w:val="0"/>
                    <w:kinsoku/>
                    <w:wordWrap/>
                    <w:overflowPunct w:val="0"/>
                    <w:topLinePunct w:val="0"/>
                    <w:autoSpaceDE/>
                    <w:autoSpaceDN/>
                    <w:bidi w:val="0"/>
                    <w:adjustRightInd/>
                    <w:snapToGrid/>
                    <w:textAlignment w:val="auto"/>
                    <w:rPr>
                      <w:rFonts w:ascii="Times New Roman" w:hAnsi="Times New Roman" w:eastAsia="宋体"/>
                      <w:color w:val="auto"/>
                    </w:rPr>
                  </w:pPr>
                </w:p>
              </w:tc>
            </w:tr>
            <w:tr w14:paraId="4A9564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637" w:type="pct"/>
                  <w:tcBorders>
                    <w:tl2br w:val="nil"/>
                    <w:tr2bl w:val="nil"/>
                  </w:tcBorders>
                  <w:noWrap w:val="0"/>
                  <w:vAlign w:val="center"/>
                </w:tcPr>
                <w:p w14:paraId="5ADFEE74">
                  <w:pPr>
                    <w:pStyle w:val="102"/>
                    <w:keepNext w:val="0"/>
                    <w:keepLines w:val="0"/>
                    <w:pageBreakBefore w:val="0"/>
                    <w:widowControl w:val="0"/>
                    <w:kinsoku/>
                    <w:wordWrap/>
                    <w:overflowPunct w:val="0"/>
                    <w:topLinePunct w:val="0"/>
                    <w:autoSpaceDE/>
                    <w:autoSpaceDN/>
                    <w:bidi w:val="0"/>
                    <w:adjustRightInd/>
                    <w:snapToGrid/>
                    <w:textAlignment w:val="auto"/>
                    <w:rPr>
                      <w:rFonts w:ascii="Times New Roman" w:hAnsi="Times New Roman" w:eastAsia="宋体"/>
                      <w:color w:val="auto"/>
                      <w:kern w:val="0"/>
                      <w:sz w:val="21"/>
                      <w:szCs w:val="22"/>
                      <w:lang w:val="en-US" w:eastAsia="zh-CN" w:bidi="ar-SA"/>
                    </w:rPr>
                  </w:pPr>
                  <w:r>
                    <w:rPr>
                      <w:rFonts w:hint="eastAsia" w:ascii="Times New Roman" w:hAnsi="Times New Roman" w:eastAsia="宋体" w:cs="Times New Roman"/>
                      <w:color w:val="auto"/>
                      <w:lang w:val="en-US" w:eastAsia="zh-CN"/>
                    </w:rPr>
                    <w:t>丙烯腈</w:t>
                  </w:r>
                </w:p>
              </w:tc>
              <w:tc>
                <w:tcPr>
                  <w:tcW w:w="664" w:type="pct"/>
                  <w:tcBorders>
                    <w:tl2br w:val="nil"/>
                    <w:tr2bl w:val="nil"/>
                  </w:tcBorders>
                  <w:noWrap w:val="0"/>
                  <w:vAlign w:val="center"/>
                </w:tcPr>
                <w:p w14:paraId="02F4891E">
                  <w:pPr>
                    <w:pStyle w:val="102"/>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0.2</w:t>
                  </w:r>
                </w:p>
              </w:tc>
              <w:tc>
                <w:tcPr>
                  <w:tcW w:w="1110" w:type="pct"/>
                  <w:tcBorders>
                    <w:tl2br w:val="nil"/>
                    <w:tr2bl w:val="nil"/>
                  </w:tcBorders>
                  <w:noWrap w:val="0"/>
                  <w:vAlign w:val="center"/>
                </w:tcPr>
                <w:p w14:paraId="0FF0C777">
                  <w:pPr>
                    <w:pStyle w:val="102"/>
                    <w:keepNext w:val="0"/>
                    <w:keepLines w:val="0"/>
                    <w:pageBreakBefore w:val="0"/>
                    <w:widowControl w:val="0"/>
                    <w:kinsoku/>
                    <w:wordWrap/>
                    <w:overflowPunct w:val="0"/>
                    <w:topLinePunct w:val="0"/>
                    <w:autoSpaceDE/>
                    <w:autoSpaceDN/>
                    <w:bidi w:val="0"/>
                    <w:adjustRightInd/>
                    <w:snapToGrid/>
                    <w:textAlignment w:val="auto"/>
                    <w:rPr>
                      <w:rFonts w:ascii="Times New Roman" w:hAnsi="Times New Roman" w:eastAsia="宋体"/>
                      <w:color w:val="auto"/>
                    </w:rPr>
                  </w:pPr>
                  <w:r>
                    <w:rPr>
                      <w:rFonts w:hint="eastAsia" w:ascii="Times New Roman" w:hAnsi="Times New Roman" w:eastAsia="宋体"/>
                      <w:color w:val="auto"/>
                      <w:lang w:val="en-US" w:eastAsia="zh-CN"/>
                    </w:rPr>
                    <w:t>企业边界任何</w:t>
                  </w:r>
                  <w:r>
                    <w:rPr>
                      <w:rFonts w:hint="default" w:ascii="Times New Roman" w:hAnsi="Times New Roman" w:eastAsia="宋体"/>
                      <w:color w:val="auto"/>
                      <w:lang w:val="en-US" w:eastAsia="zh-CN"/>
                    </w:rPr>
                    <w:t>1h</w:t>
                  </w:r>
                  <w:r>
                    <w:rPr>
                      <w:rFonts w:hint="eastAsia" w:ascii="Times New Roman" w:hAnsi="Times New Roman" w:eastAsia="宋体"/>
                      <w:color w:val="auto"/>
                      <w:lang w:val="en-US" w:eastAsia="zh-CN"/>
                    </w:rPr>
                    <w:t>大气污染物</w:t>
                  </w:r>
                </w:p>
              </w:tc>
              <w:tc>
                <w:tcPr>
                  <w:tcW w:w="968" w:type="pct"/>
                  <w:vMerge w:val="restart"/>
                  <w:tcBorders>
                    <w:tl2br w:val="nil"/>
                    <w:tr2bl w:val="nil"/>
                  </w:tcBorders>
                  <w:noWrap w:val="0"/>
                  <w:vAlign w:val="center"/>
                </w:tcPr>
                <w:p w14:paraId="0E171353">
                  <w:pPr>
                    <w:pStyle w:val="102"/>
                    <w:keepNext w:val="0"/>
                    <w:keepLines w:val="0"/>
                    <w:pageBreakBefore w:val="0"/>
                    <w:widowControl w:val="0"/>
                    <w:kinsoku/>
                    <w:wordWrap/>
                    <w:overflowPunct w:val="0"/>
                    <w:topLinePunct w:val="0"/>
                    <w:autoSpaceDE/>
                    <w:autoSpaceDN/>
                    <w:bidi w:val="0"/>
                    <w:adjustRightInd/>
                    <w:snapToGrid/>
                    <w:jc w:val="center"/>
                    <w:textAlignment w:val="auto"/>
                    <w:rPr>
                      <w:rFonts w:ascii="Times New Roman" w:hAnsi="Times New Roman" w:eastAsia="宋体"/>
                      <w:color w:val="auto"/>
                    </w:rPr>
                  </w:pPr>
                  <w:r>
                    <w:rPr>
                      <w:rFonts w:hint="eastAsia" w:ascii="Times New Roman" w:hAnsi="Times New Roman" w:eastAsia="宋体"/>
                      <w:color w:val="auto"/>
                      <w:lang w:val="en-US" w:eastAsia="zh-CN"/>
                    </w:rPr>
                    <w:t>企业边界</w:t>
                  </w:r>
                </w:p>
              </w:tc>
              <w:tc>
                <w:tcPr>
                  <w:tcW w:w="1619" w:type="pct"/>
                  <w:vMerge w:val="continue"/>
                  <w:tcBorders>
                    <w:tl2br w:val="nil"/>
                    <w:tr2bl w:val="nil"/>
                  </w:tcBorders>
                  <w:noWrap w:val="0"/>
                  <w:vAlign w:val="top"/>
                </w:tcPr>
                <w:p w14:paraId="2901E4F6">
                  <w:pPr>
                    <w:pStyle w:val="102"/>
                    <w:keepNext w:val="0"/>
                    <w:keepLines w:val="0"/>
                    <w:pageBreakBefore w:val="0"/>
                    <w:widowControl w:val="0"/>
                    <w:kinsoku/>
                    <w:wordWrap/>
                    <w:overflowPunct w:val="0"/>
                    <w:topLinePunct w:val="0"/>
                    <w:autoSpaceDE/>
                    <w:autoSpaceDN/>
                    <w:bidi w:val="0"/>
                    <w:adjustRightInd/>
                    <w:snapToGrid/>
                    <w:textAlignment w:val="auto"/>
                    <w:rPr>
                      <w:rFonts w:ascii="Times New Roman" w:hAnsi="Times New Roman" w:eastAsia="宋体"/>
                      <w:color w:val="auto"/>
                    </w:rPr>
                  </w:pPr>
                </w:p>
              </w:tc>
            </w:tr>
            <w:tr w14:paraId="4CFBBB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637" w:type="pct"/>
                  <w:tcBorders>
                    <w:tl2br w:val="nil"/>
                    <w:tr2bl w:val="nil"/>
                  </w:tcBorders>
                  <w:noWrap w:val="0"/>
                  <w:vAlign w:val="center"/>
                </w:tcPr>
                <w:p w14:paraId="0AFEC8B9">
                  <w:pPr>
                    <w:pStyle w:val="102"/>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宋体"/>
                      <w:color w:val="auto"/>
                      <w:kern w:val="0"/>
                      <w:sz w:val="21"/>
                      <w:szCs w:val="22"/>
                      <w:lang w:val="en-US" w:eastAsia="zh-CN" w:bidi="ar-SA"/>
                    </w:rPr>
                  </w:pPr>
                  <w:r>
                    <w:rPr>
                      <w:rFonts w:hint="eastAsia" w:ascii="Times New Roman" w:hAnsi="Times New Roman" w:eastAsia="宋体"/>
                      <w:color w:val="auto"/>
                    </w:rPr>
                    <w:t>颗粒物</w:t>
                  </w:r>
                </w:p>
              </w:tc>
              <w:tc>
                <w:tcPr>
                  <w:tcW w:w="664" w:type="pct"/>
                  <w:tcBorders>
                    <w:tl2br w:val="nil"/>
                    <w:tr2bl w:val="nil"/>
                  </w:tcBorders>
                  <w:noWrap w:val="0"/>
                  <w:vAlign w:val="center"/>
                </w:tcPr>
                <w:p w14:paraId="676FC440">
                  <w:pPr>
                    <w:pStyle w:val="102"/>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1110" w:type="pct"/>
                  <w:vMerge w:val="restart"/>
                  <w:tcBorders>
                    <w:tl2br w:val="nil"/>
                    <w:tr2bl w:val="nil"/>
                  </w:tcBorders>
                  <w:noWrap w:val="0"/>
                  <w:vAlign w:val="center"/>
                </w:tcPr>
                <w:p w14:paraId="6BC72FC4">
                  <w:pPr>
                    <w:pStyle w:val="102"/>
                    <w:keepNext w:val="0"/>
                    <w:keepLines w:val="0"/>
                    <w:pageBreakBefore w:val="0"/>
                    <w:widowControl w:val="0"/>
                    <w:kinsoku/>
                    <w:wordWrap/>
                    <w:overflowPunct w:val="0"/>
                    <w:topLinePunct w:val="0"/>
                    <w:autoSpaceDE/>
                    <w:autoSpaceDN/>
                    <w:bidi w:val="0"/>
                    <w:adjustRightInd/>
                    <w:snapToGrid/>
                    <w:textAlignment w:val="auto"/>
                    <w:rPr>
                      <w:rFonts w:ascii="Times New Roman" w:hAnsi="Times New Roman" w:eastAsia="宋体"/>
                      <w:color w:val="auto"/>
                    </w:rPr>
                  </w:pPr>
                  <w:r>
                    <w:rPr>
                      <w:rFonts w:hint="eastAsia" w:ascii="Times New Roman" w:hAnsi="Times New Roman" w:eastAsia="宋体"/>
                      <w:color w:val="auto"/>
                      <w:lang w:val="en-US" w:eastAsia="zh-CN"/>
                    </w:rPr>
                    <w:t>企业边界任何</w:t>
                  </w:r>
                  <w:r>
                    <w:rPr>
                      <w:rFonts w:hint="default" w:ascii="Times New Roman" w:hAnsi="Times New Roman" w:eastAsia="宋体"/>
                      <w:color w:val="auto"/>
                      <w:lang w:val="en-US" w:eastAsia="zh-CN"/>
                    </w:rPr>
                    <w:t>1h</w:t>
                  </w:r>
                  <w:r>
                    <w:rPr>
                      <w:rFonts w:hint="eastAsia" w:ascii="Times New Roman" w:hAnsi="Times New Roman" w:eastAsia="宋体"/>
                      <w:color w:val="auto"/>
                      <w:lang w:val="en-US" w:eastAsia="zh-CN"/>
                    </w:rPr>
                    <w:t>大气污染物</w:t>
                  </w:r>
                </w:p>
              </w:tc>
              <w:tc>
                <w:tcPr>
                  <w:tcW w:w="968" w:type="pct"/>
                  <w:vMerge w:val="continue"/>
                  <w:tcBorders>
                    <w:tl2br w:val="nil"/>
                    <w:tr2bl w:val="nil"/>
                  </w:tcBorders>
                  <w:noWrap w:val="0"/>
                  <w:vAlign w:val="center"/>
                </w:tcPr>
                <w:p w14:paraId="36A06E29">
                  <w:pPr>
                    <w:pStyle w:val="102"/>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olor w:val="auto"/>
                      <w:lang w:val="en-US" w:eastAsia="zh-CN"/>
                    </w:rPr>
                  </w:pPr>
                </w:p>
              </w:tc>
              <w:tc>
                <w:tcPr>
                  <w:tcW w:w="1619" w:type="pct"/>
                  <w:vMerge w:val="restart"/>
                  <w:tcBorders>
                    <w:tl2br w:val="nil"/>
                    <w:tr2bl w:val="nil"/>
                  </w:tcBorders>
                  <w:noWrap w:val="0"/>
                  <w:vAlign w:val="center"/>
                </w:tcPr>
                <w:p w14:paraId="6454C043">
                  <w:pPr>
                    <w:pStyle w:val="102"/>
                    <w:keepNext w:val="0"/>
                    <w:keepLines w:val="0"/>
                    <w:pageBreakBefore w:val="0"/>
                    <w:widowControl w:val="0"/>
                    <w:kinsoku/>
                    <w:wordWrap/>
                    <w:overflowPunct w:val="0"/>
                    <w:topLinePunct w:val="0"/>
                    <w:autoSpaceDE/>
                    <w:autoSpaceDN/>
                    <w:bidi w:val="0"/>
                    <w:adjustRightInd/>
                    <w:snapToGrid/>
                    <w:jc w:val="center"/>
                    <w:textAlignment w:val="auto"/>
                    <w:rPr>
                      <w:rFonts w:hint="eastAsia" w:ascii="Times New Roman" w:hAnsi="Times New Roman" w:eastAsia="宋体" w:cs="Times New Roman"/>
                      <w:color w:val="auto"/>
                      <w:spacing w:val="20"/>
                      <w:sz w:val="21"/>
                      <w:lang w:val="en-US" w:eastAsia="zh-CN"/>
                    </w:rPr>
                  </w:pPr>
                  <w:r>
                    <w:rPr>
                      <w:rFonts w:hint="eastAsia" w:ascii="Times New Roman" w:hAnsi="Times New Roman" w:eastAsia="宋体"/>
                      <w:color w:val="auto"/>
                      <w:spacing w:val="20"/>
                      <w:sz w:val="21"/>
                      <w:lang w:val="en-US" w:eastAsia="zh-CN"/>
                    </w:rPr>
                    <w:t>《合成树脂工业污染物排放标准》（GB31572—2015含2024年修改单）</w:t>
                  </w:r>
                </w:p>
              </w:tc>
            </w:tr>
            <w:tr w14:paraId="5D02EE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637" w:type="pct"/>
                  <w:tcBorders>
                    <w:tl2br w:val="nil"/>
                    <w:tr2bl w:val="nil"/>
                  </w:tcBorders>
                  <w:noWrap w:val="0"/>
                  <w:vAlign w:val="center"/>
                </w:tcPr>
                <w:p w14:paraId="7AF71926">
                  <w:pPr>
                    <w:pStyle w:val="102"/>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olor w:val="auto"/>
                      <w:kern w:val="0"/>
                      <w:sz w:val="21"/>
                      <w:szCs w:val="22"/>
                      <w:lang w:val="en-US" w:eastAsia="zh-CN" w:bidi="ar-SA"/>
                    </w:rPr>
                  </w:pPr>
                  <w:r>
                    <w:rPr>
                      <w:rFonts w:hint="eastAsia" w:ascii="Times New Roman" w:hAnsi="Times New Roman" w:eastAsia="宋体"/>
                      <w:color w:val="auto"/>
                    </w:rPr>
                    <w:t>非甲烷总烃</w:t>
                  </w:r>
                </w:p>
              </w:tc>
              <w:tc>
                <w:tcPr>
                  <w:tcW w:w="664" w:type="pct"/>
                  <w:tcBorders>
                    <w:tl2br w:val="nil"/>
                    <w:tr2bl w:val="nil"/>
                  </w:tcBorders>
                  <w:noWrap w:val="0"/>
                  <w:vAlign w:val="center"/>
                </w:tcPr>
                <w:p w14:paraId="50389A97">
                  <w:pPr>
                    <w:pStyle w:val="102"/>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4.0</w:t>
                  </w:r>
                </w:p>
              </w:tc>
              <w:tc>
                <w:tcPr>
                  <w:tcW w:w="1110" w:type="pct"/>
                  <w:vMerge w:val="continue"/>
                  <w:tcBorders>
                    <w:tl2br w:val="nil"/>
                    <w:tr2bl w:val="nil"/>
                  </w:tcBorders>
                  <w:noWrap w:val="0"/>
                  <w:vAlign w:val="center"/>
                </w:tcPr>
                <w:p w14:paraId="44EC6093">
                  <w:pPr>
                    <w:pStyle w:val="102"/>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宋体"/>
                      <w:color w:val="auto"/>
                      <w:lang w:val="en-US" w:eastAsia="zh-CN"/>
                    </w:rPr>
                  </w:pPr>
                </w:p>
              </w:tc>
              <w:tc>
                <w:tcPr>
                  <w:tcW w:w="968" w:type="pct"/>
                  <w:vMerge w:val="continue"/>
                  <w:tcBorders>
                    <w:tl2br w:val="nil"/>
                    <w:tr2bl w:val="nil"/>
                  </w:tcBorders>
                  <w:noWrap w:val="0"/>
                  <w:vAlign w:val="center"/>
                </w:tcPr>
                <w:p w14:paraId="69584FA9">
                  <w:pPr>
                    <w:pStyle w:val="102"/>
                    <w:keepNext w:val="0"/>
                    <w:keepLines w:val="0"/>
                    <w:pageBreakBefore w:val="0"/>
                    <w:widowControl w:val="0"/>
                    <w:kinsoku/>
                    <w:wordWrap/>
                    <w:overflowPunct w:val="0"/>
                    <w:topLinePunct w:val="0"/>
                    <w:autoSpaceDE/>
                    <w:autoSpaceDN/>
                    <w:bidi w:val="0"/>
                    <w:adjustRightInd/>
                    <w:snapToGrid/>
                    <w:jc w:val="center"/>
                    <w:textAlignment w:val="auto"/>
                    <w:rPr>
                      <w:rFonts w:hint="eastAsia" w:ascii="Times New Roman" w:hAnsi="Times New Roman" w:eastAsia="宋体"/>
                      <w:color w:val="auto"/>
                      <w:lang w:val="en-US" w:eastAsia="zh-CN"/>
                    </w:rPr>
                  </w:pPr>
                </w:p>
              </w:tc>
              <w:tc>
                <w:tcPr>
                  <w:tcW w:w="1619" w:type="pct"/>
                  <w:vMerge w:val="continue"/>
                  <w:tcBorders>
                    <w:tl2br w:val="nil"/>
                    <w:tr2bl w:val="nil"/>
                  </w:tcBorders>
                  <w:noWrap w:val="0"/>
                  <w:vAlign w:val="center"/>
                </w:tcPr>
                <w:p w14:paraId="47FDD66E">
                  <w:pPr>
                    <w:pStyle w:val="102"/>
                    <w:keepNext w:val="0"/>
                    <w:keepLines w:val="0"/>
                    <w:pageBreakBefore w:val="0"/>
                    <w:widowControl w:val="0"/>
                    <w:kinsoku/>
                    <w:wordWrap/>
                    <w:overflowPunct w:val="0"/>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p>
              </w:tc>
            </w:tr>
            <w:tr w14:paraId="05F079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637" w:type="pct"/>
                  <w:tcBorders>
                    <w:tl2br w:val="nil"/>
                    <w:tr2bl w:val="nil"/>
                  </w:tcBorders>
                  <w:noWrap w:val="0"/>
                  <w:vAlign w:val="center"/>
                </w:tcPr>
                <w:p w14:paraId="290616F9">
                  <w:pPr>
                    <w:pStyle w:val="102"/>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苯乙烯</w:t>
                  </w:r>
                </w:p>
              </w:tc>
              <w:tc>
                <w:tcPr>
                  <w:tcW w:w="664" w:type="pct"/>
                  <w:tcBorders>
                    <w:tl2br w:val="nil"/>
                    <w:tr2bl w:val="nil"/>
                  </w:tcBorders>
                  <w:noWrap w:val="0"/>
                  <w:vAlign w:val="center"/>
                </w:tcPr>
                <w:p w14:paraId="6AC39ABD">
                  <w:pPr>
                    <w:pStyle w:val="102"/>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5.0</w:t>
                  </w:r>
                </w:p>
              </w:tc>
              <w:tc>
                <w:tcPr>
                  <w:tcW w:w="1110" w:type="pct"/>
                  <w:vMerge w:val="restart"/>
                  <w:tcBorders>
                    <w:tl2br w:val="nil"/>
                    <w:tr2bl w:val="nil"/>
                  </w:tcBorders>
                  <w:noWrap w:val="0"/>
                  <w:vAlign w:val="center"/>
                </w:tcPr>
                <w:p w14:paraId="33124864">
                  <w:pPr>
                    <w:pStyle w:val="102"/>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968" w:type="pct"/>
                  <w:vMerge w:val="continue"/>
                  <w:tcBorders>
                    <w:tl2br w:val="nil"/>
                    <w:tr2bl w:val="nil"/>
                  </w:tcBorders>
                  <w:noWrap w:val="0"/>
                  <w:vAlign w:val="center"/>
                </w:tcPr>
                <w:p w14:paraId="2937974F">
                  <w:pPr>
                    <w:pStyle w:val="102"/>
                    <w:keepNext w:val="0"/>
                    <w:keepLines w:val="0"/>
                    <w:pageBreakBefore w:val="0"/>
                    <w:widowControl w:val="0"/>
                    <w:kinsoku/>
                    <w:wordWrap/>
                    <w:overflowPunct w:val="0"/>
                    <w:topLinePunct w:val="0"/>
                    <w:autoSpaceDE/>
                    <w:autoSpaceDN/>
                    <w:bidi w:val="0"/>
                    <w:adjustRightInd/>
                    <w:snapToGrid/>
                    <w:jc w:val="center"/>
                    <w:textAlignment w:val="auto"/>
                    <w:rPr>
                      <w:rFonts w:hint="eastAsia" w:ascii="Times New Roman" w:hAnsi="Times New Roman" w:eastAsia="宋体"/>
                      <w:color w:val="auto"/>
                      <w:lang w:val="en-US" w:eastAsia="zh-CN"/>
                    </w:rPr>
                  </w:pPr>
                </w:p>
              </w:tc>
              <w:tc>
                <w:tcPr>
                  <w:tcW w:w="1619" w:type="pct"/>
                  <w:vMerge w:val="restart"/>
                  <w:tcBorders>
                    <w:tl2br w:val="nil"/>
                    <w:tr2bl w:val="nil"/>
                  </w:tcBorders>
                  <w:noWrap w:val="0"/>
                  <w:vAlign w:val="center"/>
                </w:tcPr>
                <w:p w14:paraId="023751E5">
                  <w:pPr>
                    <w:pStyle w:val="102"/>
                    <w:keepNext w:val="0"/>
                    <w:keepLines w:val="0"/>
                    <w:pageBreakBefore w:val="0"/>
                    <w:widowControl w:val="0"/>
                    <w:kinsoku/>
                    <w:wordWrap/>
                    <w:overflowPunct w:val="0"/>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r>
                    <w:rPr>
                      <w:rFonts w:hint="default" w:ascii="Times New Roman" w:hAnsi="Times New Roman" w:eastAsia="宋体"/>
                      <w:color w:val="auto"/>
                      <w:lang w:val="en-US" w:eastAsia="zh-CN"/>
                    </w:rPr>
                    <w:t>《恶臭污染物排放标准》（GB14554-93）</w:t>
                  </w:r>
                </w:p>
              </w:tc>
            </w:tr>
            <w:tr w14:paraId="23A868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637" w:type="pct"/>
                  <w:tcBorders>
                    <w:tl2br w:val="nil"/>
                    <w:tr2bl w:val="nil"/>
                  </w:tcBorders>
                  <w:noWrap w:val="0"/>
                  <w:vAlign w:val="center"/>
                </w:tcPr>
                <w:p w14:paraId="5C16A0EB">
                  <w:pPr>
                    <w:pStyle w:val="102"/>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臭气浓度</w:t>
                  </w:r>
                </w:p>
              </w:tc>
              <w:tc>
                <w:tcPr>
                  <w:tcW w:w="664" w:type="pct"/>
                  <w:tcBorders>
                    <w:tl2br w:val="nil"/>
                    <w:tr2bl w:val="nil"/>
                  </w:tcBorders>
                  <w:noWrap w:val="0"/>
                  <w:vAlign w:val="center"/>
                </w:tcPr>
                <w:p w14:paraId="444F5B6B">
                  <w:pPr>
                    <w:pStyle w:val="102"/>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20（无量纲）</w:t>
                  </w:r>
                </w:p>
              </w:tc>
              <w:tc>
                <w:tcPr>
                  <w:tcW w:w="1110" w:type="pct"/>
                  <w:vMerge w:val="continue"/>
                  <w:tcBorders>
                    <w:tl2br w:val="nil"/>
                    <w:tr2bl w:val="nil"/>
                  </w:tcBorders>
                  <w:noWrap w:val="0"/>
                  <w:vAlign w:val="center"/>
                </w:tcPr>
                <w:p w14:paraId="1266042E">
                  <w:pPr>
                    <w:pStyle w:val="102"/>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宋体"/>
                      <w:color w:val="auto"/>
                      <w:lang w:val="en-US" w:eastAsia="zh-CN"/>
                    </w:rPr>
                  </w:pPr>
                </w:p>
              </w:tc>
              <w:tc>
                <w:tcPr>
                  <w:tcW w:w="968" w:type="pct"/>
                  <w:vMerge w:val="continue"/>
                  <w:tcBorders>
                    <w:tl2br w:val="nil"/>
                    <w:tr2bl w:val="nil"/>
                  </w:tcBorders>
                  <w:noWrap w:val="0"/>
                  <w:vAlign w:val="center"/>
                </w:tcPr>
                <w:p w14:paraId="1097E0A6">
                  <w:pPr>
                    <w:pStyle w:val="102"/>
                    <w:keepNext w:val="0"/>
                    <w:keepLines w:val="0"/>
                    <w:pageBreakBefore w:val="0"/>
                    <w:widowControl w:val="0"/>
                    <w:kinsoku/>
                    <w:wordWrap/>
                    <w:overflowPunct w:val="0"/>
                    <w:topLinePunct w:val="0"/>
                    <w:autoSpaceDE/>
                    <w:autoSpaceDN/>
                    <w:bidi w:val="0"/>
                    <w:adjustRightInd/>
                    <w:snapToGrid/>
                    <w:jc w:val="center"/>
                    <w:textAlignment w:val="auto"/>
                    <w:rPr>
                      <w:rFonts w:hint="eastAsia" w:ascii="Times New Roman" w:hAnsi="Times New Roman" w:eastAsia="宋体"/>
                      <w:color w:val="auto"/>
                      <w:lang w:val="en-US" w:eastAsia="zh-CN"/>
                    </w:rPr>
                  </w:pPr>
                </w:p>
              </w:tc>
              <w:tc>
                <w:tcPr>
                  <w:tcW w:w="1619" w:type="pct"/>
                  <w:vMerge w:val="continue"/>
                  <w:tcBorders>
                    <w:tl2br w:val="nil"/>
                    <w:tr2bl w:val="nil"/>
                  </w:tcBorders>
                  <w:noWrap w:val="0"/>
                  <w:vAlign w:val="center"/>
                </w:tcPr>
                <w:p w14:paraId="7BA070BD">
                  <w:pPr>
                    <w:pStyle w:val="102"/>
                    <w:keepNext w:val="0"/>
                    <w:keepLines w:val="0"/>
                    <w:pageBreakBefore w:val="0"/>
                    <w:widowControl w:val="0"/>
                    <w:kinsoku/>
                    <w:wordWrap/>
                    <w:overflowPunct w:val="0"/>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p>
              </w:tc>
            </w:tr>
          </w:tbl>
          <w:p w14:paraId="21883422">
            <w:pPr>
              <w:spacing w:before="120" w:beforeLines="50"/>
              <w:ind w:firstLine="482" w:firstLineChars="200"/>
              <w:rPr>
                <w:b/>
                <w:bCs/>
                <w:color w:val="000000"/>
              </w:rPr>
            </w:pPr>
            <w:r>
              <w:rPr>
                <w:rFonts w:hint="eastAsia"/>
                <w:b/>
                <w:bCs/>
                <w:color w:val="000000"/>
              </w:rPr>
              <w:t>2、水污染物排放控制标准</w:t>
            </w:r>
          </w:p>
          <w:p w14:paraId="6A1E1147">
            <w:pPr>
              <w:ind w:firstLine="480" w:firstLineChars="200"/>
              <w:rPr>
                <w:rFonts w:ascii="Times New Roman" w:hAnsi="Times New Roman" w:eastAsia="宋体"/>
                <w:color w:val="auto"/>
                <w:kern w:val="0"/>
              </w:rPr>
            </w:pPr>
            <w:r>
              <w:rPr>
                <w:rFonts w:hint="eastAsia" w:ascii="Times New Roman" w:hAnsi="Times New Roman" w:eastAsia="宋体"/>
                <w:bCs/>
                <w:color w:val="auto"/>
                <w:kern w:val="0"/>
              </w:rPr>
              <w:t>项目</w:t>
            </w:r>
            <w:r>
              <w:rPr>
                <w:rFonts w:ascii="Times New Roman" w:hAnsi="Times New Roman" w:eastAsia="宋体"/>
                <w:bCs/>
                <w:color w:val="auto"/>
                <w:kern w:val="0"/>
              </w:rPr>
              <w:t>废水污染物</w:t>
            </w:r>
            <w:r>
              <w:rPr>
                <w:rFonts w:hint="eastAsia" w:ascii="Times New Roman" w:hAnsi="Times New Roman" w:eastAsia="宋体"/>
                <w:bCs/>
                <w:color w:val="auto"/>
                <w:kern w:val="0"/>
              </w:rPr>
              <w:t>排放执行</w:t>
            </w:r>
            <w:r>
              <w:rPr>
                <w:rFonts w:hint="eastAsia" w:ascii="Times New Roman" w:hAnsi="Times New Roman" w:eastAsia="宋体"/>
                <w:bCs/>
                <w:color w:val="auto"/>
                <w:kern w:val="0"/>
                <w:lang w:eastAsia="zh-CN"/>
              </w:rPr>
              <w:t>淮南市潘集污水处理厂</w:t>
            </w:r>
            <w:r>
              <w:rPr>
                <w:rFonts w:ascii="Times New Roman" w:hAnsi="Times New Roman" w:eastAsia="宋体"/>
                <w:bCs/>
                <w:color w:val="auto"/>
                <w:kern w:val="0"/>
              </w:rPr>
              <w:t>接管限值</w:t>
            </w:r>
            <w:r>
              <w:rPr>
                <w:rFonts w:hint="eastAsia" w:ascii="Times New Roman" w:hAnsi="Times New Roman" w:eastAsia="宋体"/>
                <w:bCs/>
                <w:color w:val="auto"/>
                <w:kern w:val="0"/>
              </w:rPr>
              <w:t>，</w:t>
            </w:r>
            <w:r>
              <w:rPr>
                <w:rFonts w:ascii="Times New Roman" w:hAnsi="Times New Roman" w:eastAsia="宋体"/>
                <w:bCs/>
                <w:color w:val="auto"/>
                <w:kern w:val="0"/>
              </w:rPr>
              <w:t>未列明的因子执行《污水综合排放标准》（GB8978-1996）表2中三级标准。</w:t>
            </w:r>
            <w:r>
              <w:rPr>
                <w:rFonts w:hint="eastAsia" w:ascii="Times New Roman" w:hAnsi="Times New Roman" w:eastAsia="宋体"/>
                <w:bCs/>
                <w:color w:val="auto"/>
                <w:kern w:val="0"/>
              </w:rPr>
              <w:t>具体限值见下表：</w:t>
            </w:r>
          </w:p>
          <w:p w14:paraId="01529C27">
            <w:pPr>
              <w:pStyle w:val="57"/>
              <w:spacing w:line="240" w:lineRule="auto"/>
              <w:rPr>
                <w:rFonts w:ascii="Times New Roman" w:hAnsi="Times New Roman" w:eastAsia="宋体"/>
                <w:color w:val="auto"/>
              </w:rPr>
            </w:pPr>
            <w:r>
              <w:rPr>
                <w:rFonts w:ascii="Times New Roman" w:hAnsi="Times New Roman" w:eastAsia="宋体"/>
                <w:color w:val="auto"/>
              </w:rPr>
              <w:t>表</w:t>
            </w:r>
            <w:r>
              <w:rPr>
                <w:rFonts w:hint="eastAsia" w:ascii="Times New Roman" w:hAnsi="Times New Roman" w:eastAsia="宋体"/>
                <w:color w:val="auto"/>
              </w:rPr>
              <w:t>3-</w:t>
            </w:r>
            <w:r>
              <w:rPr>
                <w:rFonts w:hint="eastAsia" w:ascii="Times New Roman" w:hAnsi="Times New Roman" w:eastAsia="宋体"/>
                <w:color w:val="auto"/>
                <w:lang w:val="en-US" w:eastAsia="zh-CN"/>
              </w:rPr>
              <w:t>6</w:t>
            </w:r>
            <w:r>
              <w:rPr>
                <w:rFonts w:ascii="Times New Roman" w:hAnsi="Times New Roman" w:eastAsia="宋体"/>
                <w:color w:val="auto"/>
              </w:rPr>
              <w:t xml:space="preserve"> </w:t>
            </w:r>
            <w:r>
              <w:rPr>
                <w:rFonts w:hint="eastAsia" w:ascii="Times New Roman" w:hAnsi="Times New Roman" w:eastAsia="宋体"/>
                <w:color w:val="auto"/>
                <w:lang w:val="en-US" w:eastAsia="zh-CN"/>
              </w:rPr>
              <w:t xml:space="preserve"> </w:t>
            </w:r>
            <w:r>
              <w:rPr>
                <w:rFonts w:ascii="Times New Roman" w:hAnsi="Times New Roman" w:eastAsia="宋体"/>
                <w:color w:val="auto"/>
              </w:rPr>
              <w:t>项目污水排放执行标准 单位：mg/L</w:t>
            </w:r>
            <w:r>
              <w:rPr>
                <w:rFonts w:hint="eastAsia" w:ascii="Times New Roman" w:hAnsi="Times New Roman" w:eastAsia="宋体"/>
                <w:color w:val="auto"/>
              </w:rPr>
              <w:t>，pH无量纲</w:t>
            </w:r>
          </w:p>
          <w:tbl>
            <w:tblPr>
              <w:tblStyle w:val="29"/>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519"/>
              <w:gridCol w:w="581"/>
              <w:gridCol w:w="576"/>
              <w:gridCol w:w="633"/>
              <w:gridCol w:w="426"/>
              <w:gridCol w:w="714"/>
              <w:gridCol w:w="681"/>
            </w:tblGrid>
            <w:tr w14:paraId="197AEB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79" w:type="pct"/>
                  <w:noWrap/>
                  <w:vAlign w:val="center"/>
                </w:tcPr>
                <w:p w14:paraId="774F9230">
                  <w:pPr>
                    <w:pStyle w:val="55"/>
                    <w:keepNext w:val="0"/>
                    <w:rPr>
                      <w:rFonts w:ascii="Times New Roman" w:hAnsi="Times New Roman" w:eastAsia="宋体"/>
                      <w:b/>
                      <w:bCs/>
                      <w:color w:val="auto"/>
                    </w:rPr>
                  </w:pPr>
                  <w:r>
                    <w:rPr>
                      <w:rFonts w:hint="eastAsia" w:ascii="Times New Roman" w:hAnsi="Times New Roman" w:eastAsia="宋体"/>
                      <w:b/>
                      <w:bCs/>
                      <w:color w:val="auto"/>
                    </w:rPr>
                    <w:t>污染物</w:t>
                  </w:r>
                </w:p>
              </w:tc>
              <w:tc>
                <w:tcPr>
                  <w:tcW w:w="357" w:type="pct"/>
                  <w:noWrap/>
                  <w:vAlign w:val="center"/>
                </w:tcPr>
                <w:p w14:paraId="3CBFF766">
                  <w:pPr>
                    <w:pStyle w:val="55"/>
                    <w:keepNext w:val="0"/>
                    <w:rPr>
                      <w:rFonts w:ascii="Times New Roman" w:hAnsi="Times New Roman" w:eastAsia="宋体"/>
                      <w:b/>
                      <w:bCs/>
                      <w:color w:val="auto"/>
                    </w:rPr>
                  </w:pPr>
                  <w:r>
                    <w:rPr>
                      <w:rFonts w:hint="eastAsia" w:ascii="Times New Roman" w:hAnsi="Times New Roman" w:eastAsia="宋体"/>
                      <w:b/>
                      <w:bCs/>
                      <w:color w:val="auto"/>
                    </w:rPr>
                    <w:t>pH</w:t>
                  </w:r>
                </w:p>
              </w:tc>
              <w:tc>
                <w:tcPr>
                  <w:tcW w:w="354" w:type="pct"/>
                  <w:noWrap/>
                  <w:vAlign w:val="center"/>
                </w:tcPr>
                <w:p w14:paraId="7C07B18E">
                  <w:pPr>
                    <w:pStyle w:val="55"/>
                    <w:keepNext w:val="0"/>
                    <w:rPr>
                      <w:rFonts w:ascii="Times New Roman" w:hAnsi="Times New Roman" w:eastAsia="宋体"/>
                      <w:b/>
                      <w:bCs/>
                      <w:color w:val="auto"/>
                    </w:rPr>
                  </w:pPr>
                  <w:r>
                    <w:rPr>
                      <w:rFonts w:hint="eastAsia" w:ascii="Times New Roman" w:hAnsi="Times New Roman" w:eastAsia="宋体"/>
                      <w:b/>
                      <w:bCs/>
                      <w:color w:val="auto"/>
                    </w:rPr>
                    <w:t>COD</w:t>
                  </w:r>
                </w:p>
              </w:tc>
              <w:tc>
                <w:tcPr>
                  <w:tcW w:w="389" w:type="pct"/>
                  <w:noWrap/>
                  <w:vAlign w:val="center"/>
                </w:tcPr>
                <w:p w14:paraId="50FA4951">
                  <w:pPr>
                    <w:pStyle w:val="55"/>
                    <w:keepNext w:val="0"/>
                    <w:rPr>
                      <w:rFonts w:ascii="Times New Roman" w:hAnsi="Times New Roman" w:eastAsia="宋体"/>
                      <w:b/>
                      <w:bCs/>
                      <w:color w:val="auto"/>
                    </w:rPr>
                  </w:pPr>
                  <w:r>
                    <w:rPr>
                      <w:rFonts w:hint="eastAsia" w:ascii="Times New Roman" w:hAnsi="Times New Roman" w:eastAsia="宋体"/>
                      <w:b/>
                      <w:bCs/>
                      <w:color w:val="auto"/>
                    </w:rPr>
                    <w:t>BOD</w:t>
                  </w:r>
                  <w:r>
                    <w:rPr>
                      <w:rFonts w:hint="eastAsia" w:ascii="Times New Roman" w:hAnsi="Times New Roman" w:eastAsia="宋体"/>
                      <w:b/>
                      <w:bCs/>
                      <w:color w:val="auto"/>
                      <w:vertAlign w:val="subscript"/>
                    </w:rPr>
                    <w:t>5</w:t>
                  </w:r>
                </w:p>
              </w:tc>
              <w:tc>
                <w:tcPr>
                  <w:tcW w:w="262" w:type="pct"/>
                  <w:noWrap/>
                  <w:vAlign w:val="center"/>
                </w:tcPr>
                <w:p w14:paraId="1E3A7492">
                  <w:pPr>
                    <w:pStyle w:val="55"/>
                    <w:keepNext w:val="0"/>
                    <w:rPr>
                      <w:rFonts w:ascii="Times New Roman" w:hAnsi="Times New Roman" w:eastAsia="宋体"/>
                      <w:b/>
                      <w:bCs/>
                      <w:color w:val="auto"/>
                    </w:rPr>
                  </w:pPr>
                  <w:r>
                    <w:rPr>
                      <w:rFonts w:hint="eastAsia" w:ascii="Times New Roman" w:hAnsi="Times New Roman" w:eastAsia="宋体"/>
                      <w:b/>
                      <w:bCs/>
                      <w:color w:val="auto"/>
                    </w:rPr>
                    <w:t>SS</w:t>
                  </w:r>
                </w:p>
              </w:tc>
              <w:tc>
                <w:tcPr>
                  <w:tcW w:w="439" w:type="pct"/>
                  <w:noWrap/>
                  <w:vAlign w:val="center"/>
                </w:tcPr>
                <w:p w14:paraId="3E19E9DA">
                  <w:pPr>
                    <w:pStyle w:val="55"/>
                    <w:keepNext w:val="0"/>
                    <w:rPr>
                      <w:rFonts w:ascii="Times New Roman" w:hAnsi="Times New Roman" w:eastAsia="宋体"/>
                      <w:b/>
                      <w:bCs/>
                      <w:color w:val="auto"/>
                    </w:rPr>
                  </w:pPr>
                  <w:r>
                    <w:rPr>
                      <w:rFonts w:hint="eastAsia" w:ascii="Times New Roman" w:hAnsi="Times New Roman" w:eastAsia="宋体"/>
                      <w:b/>
                      <w:bCs/>
                      <w:color w:val="auto"/>
                    </w:rPr>
                    <w:t>NH</w:t>
                  </w:r>
                  <w:r>
                    <w:rPr>
                      <w:rFonts w:hint="eastAsia" w:ascii="Times New Roman" w:hAnsi="Times New Roman" w:eastAsia="宋体"/>
                      <w:b/>
                      <w:bCs/>
                      <w:color w:val="auto"/>
                      <w:vertAlign w:val="subscript"/>
                    </w:rPr>
                    <w:t>3</w:t>
                  </w:r>
                  <w:r>
                    <w:rPr>
                      <w:rFonts w:hint="eastAsia" w:ascii="Times New Roman" w:hAnsi="Times New Roman" w:eastAsia="宋体"/>
                      <w:b/>
                      <w:bCs/>
                      <w:color w:val="auto"/>
                    </w:rPr>
                    <w:t>-N</w:t>
                  </w:r>
                </w:p>
              </w:tc>
              <w:tc>
                <w:tcPr>
                  <w:tcW w:w="419" w:type="pct"/>
                  <w:noWrap/>
                  <w:vAlign w:val="center"/>
                </w:tcPr>
                <w:p w14:paraId="7B0ED016">
                  <w:pPr>
                    <w:pStyle w:val="55"/>
                    <w:keepNext w:val="0"/>
                    <w:rPr>
                      <w:rFonts w:hint="default" w:ascii="Times New Roman" w:hAnsi="Times New Roman" w:eastAsia="宋体"/>
                      <w:b/>
                      <w:bCs/>
                      <w:color w:val="auto"/>
                      <w:lang w:val="en-US" w:eastAsia="zh-CN"/>
                    </w:rPr>
                  </w:pPr>
                  <w:r>
                    <w:rPr>
                      <w:rFonts w:hint="eastAsia" w:ascii="Times New Roman" w:hAnsi="Times New Roman" w:eastAsia="宋体"/>
                      <w:b/>
                      <w:bCs/>
                      <w:color w:val="auto"/>
                      <w:lang w:val="en-US" w:eastAsia="zh-CN"/>
                    </w:rPr>
                    <w:t>LAS</w:t>
                  </w:r>
                </w:p>
              </w:tc>
            </w:tr>
            <w:tr w14:paraId="58A27A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79" w:type="pct"/>
                  <w:noWrap/>
                  <w:vAlign w:val="center"/>
                </w:tcPr>
                <w:p w14:paraId="6CA0A8BE">
                  <w:pPr>
                    <w:pStyle w:val="55"/>
                    <w:keepNext w:val="0"/>
                    <w:rPr>
                      <w:rFonts w:ascii="Times New Roman" w:hAnsi="Times New Roman" w:eastAsia="宋体"/>
                      <w:color w:val="auto"/>
                    </w:rPr>
                  </w:pPr>
                  <w:r>
                    <w:rPr>
                      <w:rFonts w:hint="eastAsia" w:eastAsia="宋体"/>
                      <w:color w:val="auto"/>
                      <w:lang w:eastAsia="zh-CN"/>
                    </w:rPr>
                    <w:t>淮南市潘集污水处理厂</w:t>
                  </w:r>
                  <w:r>
                    <w:rPr>
                      <w:rFonts w:ascii="Times New Roman" w:hAnsi="Times New Roman" w:eastAsia="宋体"/>
                      <w:color w:val="auto"/>
                    </w:rPr>
                    <w:t>接管</w:t>
                  </w:r>
                  <w:r>
                    <w:rPr>
                      <w:rFonts w:hint="eastAsia" w:ascii="Times New Roman" w:hAnsi="Times New Roman" w:eastAsia="宋体"/>
                      <w:color w:val="auto"/>
                    </w:rPr>
                    <w:t>限值</w:t>
                  </w:r>
                </w:p>
              </w:tc>
              <w:tc>
                <w:tcPr>
                  <w:tcW w:w="357" w:type="pct"/>
                  <w:noWrap/>
                  <w:vAlign w:val="center"/>
                </w:tcPr>
                <w:p w14:paraId="3298FCDA">
                  <w:pPr>
                    <w:pStyle w:val="55"/>
                    <w:keepNext w:val="0"/>
                    <w:rPr>
                      <w:rFonts w:ascii="Times New Roman" w:hAnsi="Times New Roman" w:eastAsia="宋体"/>
                      <w:color w:val="auto"/>
                      <w:szCs w:val="21"/>
                    </w:rPr>
                  </w:pPr>
                  <w:r>
                    <w:rPr>
                      <w:rFonts w:hint="eastAsia" w:ascii="Times New Roman" w:hAnsi="Times New Roman" w:eastAsia="宋体"/>
                      <w:color w:val="auto"/>
                      <w:szCs w:val="21"/>
                    </w:rPr>
                    <w:t>6-9</w:t>
                  </w:r>
                </w:p>
              </w:tc>
              <w:tc>
                <w:tcPr>
                  <w:tcW w:w="354" w:type="pct"/>
                  <w:noWrap/>
                  <w:vAlign w:val="center"/>
                </w:tcPr>
                <w:p w14:paraId="6AB0ACE6">
                  <w:pPr>
                    <w:pStyle w:val="55"/>
                    <w:keepNext w:val="0"/>
                    <w:rPr>
                      <w:rFonts w:hint="default" w:ascii="Times New Roman" w:hAnsi="Times New Roman" w:eastAsia="宋体"/>
                      <w:color w:val="auto"/>
                      <w:szCs w:val="21"/>
                      <w:lang w:val="en-US" w:eastAsia="zh-CN"/>
                    </w:rPr>
                  </w:pPr>
                  <w:r>
                    <w:rPr>
                      <w:rFonts w:hint="eastAsia" w:eastAsia="宋体"/>
                      <w:color w:val="auto"/>
                      <w:szCs w:val="21"/>
                      <w:lang w:val="en-US" w:eastAsia="zh-CN"/>
                    </w:rPr>
                    <w:t>320</w:t>
                  </w:r>
                </w:p>
              </w:tc>
              <w:tc>
                <w:tcPr>
                  <w:tcW w:w="389" w:type="pct"/>
                  <w:noWrap/>
                  <w:vAlign w:val="center"/>
                </w:tcPr>
                <w:p w14:paraId="08157FF5">
                  <w:pPr>
                    <w:pStyle w:val="55"/>
                    <w:keepNext w:val="0"/>
                    <w:rPr>
                      <w:rFonts w:ascii="Times New Roman" w:hAnsi="Times New Roman" w:eastAsia="宋体"/>
                      <w:color w:val="auto"/>
                      <w:szCs w:val="21"/>
                    </w:rPr>
                  </w:pPr>
                  <w:r>
                    <w:rPr>
                      <w:rFonts w:hint="eastAsia" w:ascii="Times New Roman" w:hAnsi="Times New Roman" w:eastAsia="宋体"/>
                      <w:color w:val="auto"/>
                      <w:szCs w:val="21"/>
                    </w:rPr>
                    <w:t>/</w:t>
                  </w:r>
                </w:p>
              </w:tc>
              <w:tc>
                <w:tcPr>
                  <w:tcW w:w="262" w:type="pct"/>
                  <w:noWrap/>
                  <w:vAlign w:val="center"/>
                </w:tcPr>
                <w:p w14:paraId="1514812F">
                  <w:pPr>
                    <w:pStyle w:val="55"/>
                    <w:keepNext w:val="0"/>
                    <w:rPr>
                      <w:rFonts w:hint="default" w:ascii="Times New Roman" w:hAnsi="Times New Roman" w:eastAsia="宋体"/>
                      <w:color w:val="auto"/>
                      <w:szCs w:val="21"/>
                      <w:lang w:val="en-US" w:eastAsia="zh-CN"/>
                    </w:rPr>
                  </w:pPr>
                  <w:r>
                    <w:rPr>
                      <w:rFonts w:hint="eastAsia" w:eastAsia="宋体"/>
                      <w:color w:val="auto"/>
                      <w:szCs w:val="21"/>
                      <w:lang w:val="en-US" w:eastAsia="zh-CN"/>
                    </w:rPr>
                    <w:t>200</w:t>
                  </w:r>
                </w:p>
              </w:tc>
              <w:tc>
                <w:tcPr>
                  <w:tcW w:w="439" w:type="pct"/>
                  <w:noWrap/>
                  <w:vAlign w:val="center"/>
                </w:tcPr>
                <w:p w14:paraId="1F360B23">
                  <w:pPr>
                    <w:pStyle w:val="55"/>
                    <w:keepNext w:val="0"/>
                    <w:rPr>
                      <w:rFonts w:hint="default" w:ascii="Times New Roman" w:hAnsi="Times New Roman" w:eastAsia="宋体"/>
                      <w:color w:val="auto"/>
                      <w:szCs w:val="21"/>
                      <w:lang w:val="en-US" w:eastAsia="zh-CN"/>
                    </w:rPr>
                  </w:pPr>
                  <w:r>
                    <w:rPr>
                      <w:rFonts w:hint="eastAsia" w:eastAsia="宋体"/>
                      <w:color w:val="auto"/>
                      <w:szCs w:val="21"/>
                      <w:lang w:val="en-US" w:eastAsia="zh-CN"/>
                    </w:rPr>
                    <w:t>30</w:t>
                  </w:r>
                </w:p>
              </w:tc>
              <w:tc>
                <w:tcPr>
                  <w:tcW w:w="419" w:type="pct"/>
                  <w:noWrap/>
                  <w:vAlign w:val="center"/>
                </w:tcPr>
                <w:p w14:paraId="66496D18">
                  <w:pPr>
                    <w:pStyle w:val="55"/>
                    <w:keepNext w:val="0"/>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w:t>
                  </w:r>
                </w:p>
              </w:tc>
            </w:tr>
            <w:tr w14:paraId="37FB96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79" w:type="pct"/>
                  <w:noWrap/>
                  <w:vAlign w:val="center"/>
                </w:tcPr>
                <w:p w14:paraId="15DED09C">
                  <w:pPr>
                    <w:pStyle w:val="55"/>
                    <w:keepNext w:val="0"/>
                    <w:rPr>
                      <w:rFonts w:ascii="Times New Roman" w:hAnsi="Times New Roman" w:eastAsia="宋体"/>
                      <w:color w:val="auto"/>
                    </w:rPr>
                  </w:pPr>
                  <w:r>
                    <w:rPr>
                      <w:rFonts w:hint="eastAsia" w:ascii="Times New Roman" w:hAnsi="Times New Roman" w:eastAsia="宋体"/>
                      <w:color w:val="auto"/>
                    </w:rPr>
                    <w:t>《污水综合排放标准》（GB8978-1996）</w:t>
                  </w:r>
                </w:p>
              </w:tc>
              <w:tc>
                <w:tcPr>
                  <w:tcW w:w="357" w:type="pct"/>
                  <w:noWrap/>
                  <w:vAlign w:val="center"/>
                </w:tcPr>
                <w:p w14:paraId="71F09131">
                  <w:pPr>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rPr>
                    <w:t>6-9</w:t>
                  </w:r>
                </w:p>
              </w:tc>
              <w:tc>
                <w:tcPr>
                  <w:tcW w:w="354" w:type="pct"/>
                  <w:noWrap/>
                  <w:vAlign w:val="center"/>
                </w:tcPr>
                <w:p w14:paraId="56328E66">
                  <w:pPr>
                    <w:pStyle w:val="55"/>
                    <w:keepNext w:val="0"/>
                    <w:rPr>
                      <w:rFonts w:ascii="Times New Roman" w:hAnsi="Times New Roman" w:eastAsia="宋体"/>
                      <w:color w:val="auto"/>
                      <w:szCs w:val="21"/>
                    </w:rPr>
                  </w:pPr>
                  <w:r>
                    <w:rPr>
                      <w:rFonts w:hint="eastAsia" w:ascii="Times New Roman" w:hAnsi="Times New Roman" w:eastAsia="宋体"/>
                      <w:color w:val="auto"/>
                      <w:szCs w:val="21"/>
                    </w:rPr>
                    <w:t>500</w:t>
                  </w:r>
                </w:p>
              </w:tc>
              <w:tc>
                <w:tcPr>
                  <w:tcW w:w="389" w:type="pct"/>
                  <w:noWrap/>
                  <w:vAlign w:val="center"/>
                </w:tcPr>
                <w:p w14:paraId="607C890C">
                  <w:pPr>
                    <w:pStyle w:val="55"/>
                    <w:keepNext w:val="0"/>
                    <w:rPr>
                      <w:rFonts w:ascii="Times New Roman" w:hAnsi="Times New Roman" w:eastAsia="宋体"/>
                      <w:color w:val="auto"/>
                      <w:szCs w:val="21"/>
                    </w:rPr>
                  </w:pPr>
                  <w:r>
                    <w:rPr>
                      <w:rFonts w:hint="eastAsia" w:ascii="Times New Roman" w:hAnsi="Times New Roman" w:eastAsia="宋体"/>
                      <w:color w:val="auto"/>
                      <w:szCs w:val="21"/>
                    </w:rPr>
                    <w:t>300</w:t>
                  </w:r>
                </w:p>
              </w:tc>
              <w:tc>
                <w:tcPr>
                  <w:tcW w:w="262" w:type="pct"/>
                  <w:noWrap/>
                  <w:vAlign w:val="center"/>
                </w:tcPr>
                <w:p w14:paraId="0D39C5AB">
                  <w:pPr>
                    <w:pStyle w:val="55"/>
                    <w:keepNext w:val="0"/>
                    <w:rPr>
                      <w:rFonts w:ascii="Times New Roman" w:hAnsi="Times New Roman" w:eastAsia="宋体"/>
                      <w:color w:val="auto"/>
                      <w:szCs w:val="21"/>
                    </w:rPr>
                  </w:pPr>
                  <w:r>
                    <w:rPr>
                      <w:rFonts w:hint="eastAsia" w:ascii="Times New Roman" w:hAnsi="Times New Roman" w:eastAsia="宋体"/>
                      <w:color w:val="auto"/>
                      <w:szCs w:val="21"/>
                    </w:rPr>
                    <w:t>400</w:t>
                  </w:r>
                </w:p>
              </w:tc>
              <w:tc>
                <w:tcPr>
                  <w:tcW w:w="439" w:type="pct"/>
                  <w:noWrap/>
                  <w:vAlign w:val="center"/>
                </w:tcPr>
                <w:p w14:paraId="50B2A8ED">
                  <w:pPr>
                    <w:pStyle w:val="55"/>
                    <w:keepNext w:val="0"/>
                    <w:rPr>
                      <w:rFonts w:ascii="Times New Roman" w:hAnsi="Times New Roman" w:eastAsia="宋体"/>
                      <w:color w:val="auto"/>
                      <w:szCs w:val="21"/>
                    </w:rPr>
                  </w:pPr>
                  <w:r>
                    <w:rPr>
                      <w:rFonts w:hint="eastAsia" w:ascii="Times New Roman" w:hAnsi="Times New Roman" w:eastAsia="宋体"/>
                      <w:color w:val="auto"/>
                      <w:szCs w:val="21"/>
                    </w:rPr>
                    <w:t>/</w:t>
                  </w:r>
                </w:p>
              </w:tc>
              <w:tc>
                <w:tcPr>
                  <w:tcW w:w="419" w:type="pct"/>
                  <w:noWrap/>
                  <w:vAlign w:val="center"/>
                </w:tcPr>
                <w:p w14:paraId="0782DD8C">
                  <w:pPr>
                    <w:pStyle w:val="55"/>
                    <w:keepNext w:val="0"/>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20</w:t>
                  </w:r>
                </w:p>
              </w:tc>
            </w:tr>
            <w:tr w14:paraId="4A4E8A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79" w:type="pct"/>
                  <w:shd w:val="clear" w:color="auto" w:fill="EEECE1"/>
                  <w:noWrap/>
                  <w:vAlign w:val="center"/>
                </w:tcPr>
                <w:p w14:paraId="053261A2">
                  <w:pPr>
                    <w:pStyle w:val="55"/>
                    <w:keepNext w:val="0"/>
                    <w:rPr>
                      <w:rFonts w:ascii="Times New Roman" w:hAnsi="Times New Roman" w:eastAsia="宋体"/>
                      <w:color w:val="auto"/>
                    </w:rPr>
                  </w:pPr>
                  <w:r>
                    <w:rPr>
                      <w:rFonts w:hint="eastAsia" w:ascii="Times New Roman" w:hAnsi="Times New Roman" w:eastAsia="宋体"/>
                      <w:color w:val="auto"/>
                    </w:rPr>
                    <w:t>本项目废水排放执行限值</w:t>
                  </w:r>
                </w:p>
              </w:tc>
              <w:tc>
                <w:tcPr>
                  <w:tcW w:w="357" w:type="pct"/>
                  <w:shd w:val="clear" w:color="auto" w:fill="EEECE1"/>
                  <w:noWrap/>
                  <w:vAlign w:val="center"/>
                </w:tcPr>
                <w:p w14:paraId="199F5213">
                  <w:pPr>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rPr>
                    <w:t>6-9</w:t>
                  </w:r>
                </w:p>
              </w:tc>
              <w:tc>
                <w:tcPr>
                  <w:tcW w:w="354" w:type="pct"/>
                  <w:shd w:val="clear" w:color="auto" w:fill="EEECE1"/>
                  <w:noWrap/>
                  <w:vAlign w:val="center"/>
                </w:tcPr>
                <w:p w14:paraId="18CB38D8">
                  <w:pPr>
                    <w:pStyle w:val="55"/>
                    <w:keepNext w:val="0"/>
                    <w:rPr>
                      <w:rFonts w:hint="default" w:ascii="Times New Roman" w:hAnsi="Times New Roman" w:eastAsia="宋体"/>
                      <w:color w:val="auto"/>
                      <w:szCs w:val="21"/>
                      <w:lang w:val="en-US" w:eastAsia="zh-CN"/>
                    </w:rPr>
                  </w:pPr>
                  <w:r>
                    <w:rPr>
                      <w:rFonts w:hint="eastAsia" w:eastAsia="宋体"/>
                      <w:color w:val="auto"/>
                      <w:szCs w:val="21"/>
                      <w:lang w:val="en-US" w:eastAsia="zh-CN"/>
                    </w:rPr>
                    <w:t>320</w:t>
                  </w:r>
                </w:p>
              </w:tc>
              <w:tc>
                <w:tcPr>
                  <w:tcW w:w="389" w:type="pct"/>
                  <w:shd w:val="clear" w:color="auto" w:fill="EEECE1"/>
                  <w:noWrap/>
                  <w:vAlign w:val="center"/>
                </w:tcPr>
                <w:p w14:paraId="3911E03F">
                  <w:pPr>
                    <w:pStyle w:val="55"/>
                    <w:keepNext w:val="0"/>
                    <w:rPr>
                      <w:rFonts w:ascii="Times New Roman" w:hAnsi="Times New Roman" w:eastAsia="宋体"/>
                      <w:color w:val="auto"/>
                      <w:szCs w:val="21"/>
                    </w:rPr>
                  </w:pPr>
                  <w:r>
                    <w:rPr>
                      <w:rFonts w:hint="eastAsia" w:ascii="Times New Roman" w:hAnsi="Times New Roman" w:eastAsia="宋体"/>
                      <w:color w:val="auto"/>
                      <w:szCs w:val="21"/>
                    </w:rPr>
                    <w:t>300</w:t>
                  </w:r>
                </w:p>
              </w:tc>
              <w:tc>
                <w:tcPr>
                  <w:tcW w:w="262" w:type="pct"/>
                  <w:shd w:val="clear" w:color="auto" w:fill="EEECE1"/>
                  <w:noWrap/>
                  <w:vAlign w:val="center"/>
                </w:tcPr>
                <w:p w14:paraId="4D908AAE">
                  <w:pPr>
                    <w:pStyle w:val="55"/>
                    <w:keepNext w:val="0"/>
                    <w:rPr>
                      <w:rFonts w:hint="default" w:ascii="Times New Roman" w:hAnsi="Times New Roman" w:eastAsia="宋体"/>
                      <w:color w:val="auto"/>
                      <w:szCs w:val="21"/>
                      <w:lang w:val="en-US" w:eastAsia="zh-CN"/>
                    </w:rPr>
                  </w:pPr>
                  <w:r>
                    <w:rPr>
                      <w:rFonts w:hint="eastAsia" w:eastAsia="宋体"/>
                      <w:color w:val="auto"/>
                      <w:szCs w:val="21"/>
                      <w:lang w:val="en-US" w:eastAsia="zh-CN"/>
                    </w:rPr>
                    <w:t>200</w:t>
                  </w:r>
                </w:p>
              </w:tc>
              <w:tc>
                <w:tcPr>
                  <w:tcW w:w="439" w:type="pct"/>
                  <w:shd w:val="clear" w:color="auto" w:fill="EEECE1"/>
                  <w:noWrap/>
                  <w:vAlign w:val="center"/>
                </w:tcPr>
                <w:p w14:paraId="459BD926">
                  <w:pPr>
                    <w:pStyle w:val="55"/>
                    <w:keepNext w:val="0"/>
                    <w:rPr>
                      <w:rFonts w:hint="default" w:ascii="Times New Roman" w:hAnsi="Times New Roman" w:eastAsia="宋体"/>
                      <w:color w:val="auto"/>
                      <w:szCs w:val="21"/>
                      <w:lang w:val="en-US" w:eastAsia="zh-CN"/>
                    </w:rPr>
                  </w:pPr>
                  <w:r>
                    <w:rPr>
                      <w:rFonts w:hint="eastAsia" w:eastAsia="宋体"/>
                      <w:color w:val="auto"/>
                      <w:szCs w:val="21"/>
                      <w:lang w:val="en-US" w:eastAsia="zh-CN"/>
                    </w:rPr>
                    <w:t>30</w:t>
                  </w:r>
                </w:p>
              </w:tc>
              <w:tc>
                <w:tcPr>
                  <w:tcW w:w="419" w:type="pct"/>
                  <w:shd w:val="clear" w:color="auto" w:fill="EEECE1"/>
                  <w:noWrap/>
                  <w:vAlign w:val="center"/>
                </w:tcPr>
                <w:p w14:paraId="306DF3FF">
                  <w:pPr>
                    <w:pStyle w:val="55"/>
                    <w:keepNext w:val="0"/>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20</w:t>
                  </w:r>
                </w:p>
              </w:tc>
            </w:tr>
          </w:tbl>
          <w:p w14:paraId="1B64DB37">
            <w:pPr>
              <w:spacing w:before="120" w:beforeLines="50"/>
              <w:ind w:firstLine="482" w:firstLineChars="200"/>
              <w:rPr>
                <w:rFonts w:hint="eastAsia"/>
                <w:b/>
                <w:bCs/>
                <w:color w:val="000000"/>
              </w:rPr>
            </w:pPr>
            <w:r>
              <w:rPr>
                <w:rFonts w:hint="eastAsia"/>
                <w:b/>
                <w:bCs/>
                <w:color w:val="000000"/>
              </w:rPr>
              <w:t>3、噪声排放控制标准</w:t>
            </w:r>
          </w:p>
          <w:p w14:paraId="085A8C06">
            <w:pPr>
              <w:ind w:firstLine="480" w:firstLineChars="200"/>
              <w:rPr>
                <w:rFonts w:hint="eastAsia"/>
                <w:color w:val="000000"/>
              </w:rPr>
            </w:pPr>
            <w:r>
              <w:rPr>
                <w:rFonts w:hint="eastAsia"/>
                <w:color w:val="000000"/>
              </w:rPr>
              <w:t>项目运营期厂界噪声排放执行《工业企业厂界环境噪声排放标准》（GB12348-2008）中3类标准。具体见下表。</w:t>
            </w:r>
          </w:p>
          <w:p w14:paraId="4016442C">
            <w:pPr>
              <w:pStyle w:val="62"/>
              <w:spacing w:line="240" w:lineRule="auto"/>
              <w:ind w:firstLine="0"/>
              <w:rPr>
                <w:rFonts w:hint="eastAsia"/>
                <w:color w:val="000000"/>
              </w:rPr>
            </w:pPr>
            <w:r>
              <w:rPr>
                <w:rFonts w:hint="eastAsia"/>
                <w:color w:val="000000"/>
              </w:rPr>
              <w:t>表3-</w:t>
            </w:r>
            <w:r>
              <w:rPr>
                <w:rFonts w:hint="eastAsia"/>
                <w:color w:val="000000"/>
                <w:lang w:val="en-US" w:eastAsia="zh-CN"/>
              </w:rPr>
              <w:t>7</w:t>
            </w:r>
            <w:r>
              <w:rPr>
                <w:rFonts w:hint="eastAsia"/>
                <w:color w:val="000000"/>
              </w:rPr>
              <w:t xml:space="preserve"> 噪声排放标准</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3291"/>
              <w:gridCol w:w="1692"/>
              <w:gridCol w:w="1815"/>
            </w:tblGrid>
            <w:tr w14:paraId="634F83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0" w:type="pct"/>
                  <w:vMerge w:val="restart"/>
                  <w:tcBorders>
                    <w:tl2br w:val="nil"/>
                    <w:tr2bl w:val="nil"/>
                  </w:tcBorders>
                  <w:noWrap w:val="0"/>
                  <w:vAlign w:val="center"/>
                </w:tcPr>
                <w:p w14:paraId="4A42D1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vertAlign w:val="baseline"/>
                    </w:rPr>
                  </w:pPr>
                  <w:r>
                    <w:rPr>
                      <w:b/>
                      <w:bCs/>
                      <w:color w:val="000000"/>
                      <w:sz w:val="21"/>
                      <w:szCs w:val="21"/>
                    </w:rPr>
                    <w:t>类别</w:t>
                  </w:r>
                </w:p>
              </w:tc>
              <w:tc>
                <w:tcPr>
                  <w:tcW w:w="2023" w:type="pct"/>
                  <w:vMerge w:val="restart"/>
                  <w:tcBorders>
                    <w:tl2br w:val="nil"/>
                    <w:tr2bl w:val="nil"/>
                  </w:tcBorders>
                  <w:noWrap w:val="0"/>
                  <w:vAlign w:val="center"/>
                </w:tcPr>
                <w:p w14:paraId="71D5EA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vertAlign w:val="baseline"/>
                    </w:rPr>
                  </w:pPr>
                  <w:r>
                    <w:rPr>
                      <w:b/>
                      <w:bCs/>
                      <w:color w:val="000000"/>
                      <w:sz w:val="21"/>
                      <w:szCs w:val="21"/>
                    </w:rPr>
                    <w:t>标准名称</w:t>
                  </w:r>
                </w:p>
              </w:tc>
              <w:tc>
                <w:tcPr>
                  <w:tcW w:w="2155" w:type="pct"/>
                  <w:gridSpan w:val="2"/>
                  <w:tcBorders>
                    <w:tl2br w:val="nil"/>
                    <w:tr2bl w:val="nil"/>
                  </w:tcBorders>
                  <w:noWrap w:val="0"/>
                  <w:vAlign w:val="center"/>
                </w:tcPr>
                <w:p w14:paraId="4262AB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vertAlign w:val="baseline"/>
                    </w:rPr>
                  </w:pPr>
                  <w:r>
                    <w:rPr>
                      <w:rFonts w:hint="eastAsia"/>
                      <w:b/>
                      <w:bCs/>
                      <w:color w:val="000000"/>
                      <w:sz w:val="21"/>
                      <w:szCs w:val="21"/>
                    </w:rPr>
                    <w:t>标准值（dB）</w:t>
                  </w:r>
                </w:p>
              </w:tc>
            </w:tr>
            <w:tr w14:paraId="1B830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0" w:type="pct"/>
                  <w:vMerge w:val="continue"/>
                  <w:tcBorders>
                    <w:tl2br w:val="nil"/>
                    <w:tr2bl w:val="nil"/>
                  </w:tcBorders>
                  <w:noWrap w:val="0"/>
                  <w:vAlign w:val="center"/>
                </w:tcPr>
                <w:p w14:paraId="399C5E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2023" w:type="pct"/>
                  <w:vMerge w:val="continue"/>
                  <w:tcBorders>
                    <w:tl2br w:val="nil"/>
                    <w:tr2bl w:val="nil"/>
                  </w:tcBorders>
                  <w:noWrap w:val="0"/>
                  <w:vAlign w:val="center"/>
                </w:tcPr>
                <w:p w14:paraId="16E3F6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1040" w:type="pct"/>
                  <w:tcBorders>
                    <w:tl2br w:val="nil"/>
                    <w:tr2bl w:val="nil"/>
                  </w:tcBorders>
                  <w:noWrap w:val="0"/>
                  <w:vAlign w:val="center"/>
                </w:tcPr>
                <w:p w14:paraId="20ABC7D4">
                  <w:pPr>
                    <w:pStyle w:val="68"/>
                    <w:ind w:firstLine="0" w:firstLineChars="0"/>
                    <w:rPr>
                      <w:rFonts w:ascii="Times New Roman" w:hAnsi="Times New Roman"/>
                      <w:b/>
                      <w:bCs/>
                      <w:color w:val="000000"/>
                      <w:kern w:val="2"/>
                      <w:sz w:val="21"/>
                      <w:szCs w:val="21"/>
                      <w:lang w:val="en-US" w:eastAsia="zh-CN" w:bidi="ar-SA"/>
                    </w:rPr>
                  </w:pPr>
                  <w:r>
                    <w:rPr>
                      <w:b/>
                      <w:bCs/>
                      <w:color w:val="000000"/>
                      <w:sz w:val="21"/>
                      <w:szCs w:val="21"/>
                    </w:rPr>
                    <w:t>昼间</w:t>
                  </w:r>
                </w:p>
              </w:tc>
              <w:tc>
                <w:tcPr>
                  <w:tcW w:w="1115" w:type="pct"/>
                  <w:tcBorders>
                    <w:tl2br w:val="nil"/>
                    <w:tr2bl w:val="nil"/>
                  </w:tcBorders>
                  <w:noWrap w:val="0"/>
                  <w:vAlign w:val="center"/>
                </w:tcPr>
                <w:p w14:paraId="208DB808">
                  <w:pPr>
                    <w:pStyle w:val="68"/>
                    <w:ind w:firstLine="0" w:firstLineChars="0"/>
                    <w:rPr>
                      <w:rFonts w:ascii="Times New Roman" w:hAnsi="Times New Roman"/>
                      <w:b/>
                      <w:bCs/>
                      <w:color w:val="000000"/>
                      <w:kern w:val="2"/>
                      <w:sz w:val="21"/>
                      <w:szCs w:val="21"/>
                      <w:lang w:val="en-US" w:eastAsia="zh-CN" w:bidi="ar-SA"/>
                    </w:rPr>
                  </w:pPr>
                  <w:r>
                    <w:rPr>
                      <w:b/>
                      <w:bCs/>
                      <w:color w:val="000000"/>
                      <w:sz w:val="21"/>
                      <w:szCs w:val="21"/>
                    </w:rPr>
                    <w:t>夜间</w:t>
                  </w:r>
                </w:p>
              </w:tc>
            </w:tr>
            <w:tr w14:paraId="728AE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0" w:type="pct"/>
                  <w:tcBorders>
                    <w:tl2br w:val="nil"/>
                    <w:tr2bl w:val="nil"/>
                  </w:tcBorders>
                  <w:noWrap w:val="0"/>
                  <w:vAlign w:val="center"/>
                </w:tcPr>
                <w:p w14:paraId="33834F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vertAlign w:val="baseline"/>
                    </w:rPr>
                  </w:pPr>
                  <w:r>
                    <w:rPr>
                      <w:rFonts w:hint="eastAsia"/>
                      <w:color w:val="000000"/>
                      <w:sz w:val="21"/>
                      <w:szCs w:val="21"/>
                    </w:rPr>
                    <w:t>运营期</w:t>
                  </w:r>
                </w:p>
              </w:tc>
              <w:tc>
                <w:tcPr>
                  <w:tcW w:w="2023" w:type="pct"/>
                  <w:tcBorders>
                    <w:tl2br w:val="nil"/>
                    <w:tr2bl w:val="nil"/>
                  </w:tcBorders>
                  <w:noWrap w:val="0"/>
                  <w:vAlign w:val="center"/>
                </w:tcPr>
                <w:p w14:paraId="6EE9E7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vertAlign w:val="baseline"/>
                    </w:rPr>
                  </w:pPr>
                  <w:r>
                    <w:rPr>
                      <w:color w:val="000000"/>
                      <w:sz w:val="21"/>
                      <w:szCs w:val="21"/>
                    </w:rPr>
                    <w:t>《工业企业厂界环境噪声排放标准》（GB12348-2008）</w:t>
                  </w:r>
                  <w:r>
                    <w:rPr>
                      <w:rFonts w:hint="eastAsia"/>
                      <w:color w:val="000000"/>
                      <w:sz w:val="21"/>
                      <w:szCs w:val="21"/>
                    </w:rPr>
                    <w:t>3</w:t>
                  </w:r>
                  <w:r>
                    <w:rPr>
                      <w:color w:val="000000"/>
                      <w:sz w:val="21"/>
                      <w:szCs w:val="21"/>
                    </w:rPr>
                    <w:t>类标准</w:t>
                  </w:r>
                </w:p>
              </w:tc>
              <w:tc>
                <w:tcPr>
                  <w:tcW w:w="1040" w:type="pct"/>
                  <w:tcBorders>
                    <w:tl2br w:val="nil"/>
                    <w:tr2bl w:val="nil"/>
                  </w:tcBorders>
                  <w:noWrap w:val="0"/>
                  <w:vAlign w:val="center"/>
                </w:tcPr>
                <w:p w14:paraId="77CC4473">
                  <w:pPr>
                    <w:pStyle w:val="68"/>
                    <w:ind w:firstLine="0" w:firstLineChars="0"/>
                    <w:rPr>
                      <w:rFonts w:hint="eastAsia" w:ascii="Times New Roman" w:hAnsi="Times New Roman"/>
                      <w:color w:val="000000"/>
                      <w:kern w:val="2"/>
                      <w:sz w:val="21"/>
                      <w:szCs w:val="21"/>
                      <w:lang w:val="en-US" w:eastAsia="zh-CN" w:bidi="ar-SA"/>
                    </w:rPr>
                  </w:pPr>
                  <w:r>
                    <w:rPr>
                      <w:color w:val="000000"/>
                      <w:sz w:val="21"/>
                      <w:szCs w:val="21"/>
                    </w:rPr>
                    <w:t>6</w:t>
                  </w:r>
                  <w:r>
                    <w:rPr>
                      <w:rFonts w:hint="eastAsia"/>
                      <w:color w:val="000000"/>
                      <w:sz w:val="21"/>
                      <w:szCs w:val="21"/>
                    </w:rPr>
                    <w:t>5</w:t>
                  </w:r>
                </w:p>
              </w:tc>
              <w:tc>
                <w:tcPr>
                  <w:tcW w:w="1115" w:type="pct"/>
                  <w:tcBorders>
                    <w:tl2br w:val="nil"/>
                    <w:tr2bl w:val="nil"/>
                  </w:tcBorders>
                  <w:noWrap w:val="0"/>
                  <w:vAlign w:val="center"/>
                </w:tcPr>
                <w:p w14:paraId="187B1AE6">
                  <w:pPr>
                    <w:pStyle w:val="68"/>
                    <w:ind w:firstLine="0" w:firstLineChars="0"/>
                    <w:rPr>
                      <w:rFonts w:hint="eastAsia" w:ascii="Times New Roman" w:hAnsi="Times New Roman"/>
                      <w:color w:val="000000"/>
                      <w:kern w:val="2"/>
                      <w:sz w:val="21"/>
                      <w:szCs w:val="21"/>
                      <w:lang w:val="en-US" w:eastAsia="zh-CN" w:bidi="ar-SA"/>
                    </w:rPr>
                  </w:pPr>
                  <w:r>
                    <w:rPr>
                      <w:color w:val="000000"/>
                      <w:sz w:val="21"/>
                      <w:szCs w:val="21"/>
                    </w:rPr>
                    <w:t>5</w:t>
                  </w:r>
                  <w:r>
                    <w:rPr>
                      <w:rFonts w:hint="eastAsia"/>
                      <w:color w:val="000000"/>
                      <w:sz w:val="21"/>
                      <w:szCs w:val="21"/>
                    </w:rPr>
                    <w:t>5</w:t>
                  </w:r>
                </w:p>
              </w:tc>
            </w:tr>
          </w:tbl>
          <w:p w14:paraId="6A210FFF">
            <w:pPr>
              <w:spacing w:before="120" w:beforeLines="50"/>
              <w:ind w:firstLine="482" w:firstLineChars="200"/>
              <w:rPr>
                <w:rFonts w:hint="eastAsia"/>
                <w:b/>
                <w:bCs/>
                <w:color w:val="000000"/>
              </w:rPr>
            </w:pPr>
            <w:r>
              <w:rPr>
                <w:rFonts w:hint="eastAsia"/>
                <w:b/>
                <w:bCs/>
                <w:color w:val="000000"/>
              </w:rPr>
              <w:t>4、固体废物</w:t>
            </w:r>
          </w:p>
          <w:p w14:paraId="4F4B3FC6">
            <w:pPr>
              <w:keepNext w:val="0"/>
              <w:keepLines w:val="0"/>
              <w:pageBreakBefore w:val="0"/>
              <w:widowControl w:val="0"/>
              <w:numPr>
                <w:ilvl w:val="0"/>
                <w:numId w:val="0"/>
              </w:numPr>
              <w:shd w:val="clear"/>
              <w:kinsoku/>
              <w:wordWrap/>
              <w:overflowPunct/>
              <w:topLinePunct w:val="0"/>
              <w:autoSpaceDE/>
              <w:autoSpaceDN/>
              <w:bidi w:val="0"/>
              <w:adjustRightInd/>
              <w:snapToGrid/>
              <w:ind w:firstLine="480" w:firstLineChars="200"/>
              <w:textAlignment w:val="auto"/>
              <w:rPr>
                <w:color w:val="000000"/>
                <w:highlight w:val="green"/>
              </w:rPr>
            </w:pPr>
            <w:r>
              <w:rPr>
                <w:rFonts w:hint="eastAsia" w:cs="Times New Roman"/>
                <w:b w:val="0"/>
                <w:bCs w:val="0"/>
                <w:color w:val="000000" w:themeColor="text1"/>
                <w:kern w:val="0"/>
                <w:sz w:val="24"/>
                <w:szCs w:val="24"/>
                <w:highlight w:val="none"/>
                <w:lang w:val="en-US" w:eastAsia="zh-CN" w:bidi="ar-SA"/>
                <w14:textFill>
                  <w14:solidFill>
                    <w14:schemeClr w14:val="tx1"/>
                  </w14:solidFill>
                </w14:textFill>
              </w:rPr>
              <w:t>一般工业固体废物贮存参照执行</w:t>
            </w:r>
            <w:r>
              <w:rPr>
                <w:rFonts w:hint="eastAsia"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《中华人民共和国固体废物污染环境防治法》</w:t>
            </w:r>
            <w:r>
              <w:rPr>
                <w:rFonts w:hint="eastAsia" w:cs="Times New Roman"/>
                <w:b w:val="0"/>
                <w:bCs w:val="0"/>
                <w:color w:val="000000" w:themeColor="text1"/>
                <w:kern w:val="0"/>
                <w:sz w:val="24"/>
                <w:szCs w:val="24"/>
                <w:highlight w:val="none"/>
                <w:lang w:val="en-US" w:eastAsia="zh-CN" w:bidi="ar-SA"/>
                <w14:textFill>
                  <w14:solidFill>
                    <w14:schemeClr w14:val="tx1"/>
                  </w14:solidFill>
                </w14:textFill>
              </w:rPr>
              <w:t>，其贮存场所应满足《一般工业固体废物贮存和填埋污染控制标准》（GB18599-2020）中防渗漏、防雨淋、防扬尘等环境保护要求；</w:t>
            </w:r>
            <w:r>
              <w:rPr>
                <w:rFonts w:hint="eastAsia"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危险废物贮存执行《危险废物贮存污染控制标准》（GB18597-2023）中有关规定。</w:t>
            </w:r>
          </w:p>
        </w:tc>
      </w:tr>
      <w:tr w14:paraId="06738C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6" w:hRule="atLeast"/>
          <w:jc w:val="center"/>
        </w:trPr>
        <w:tc>
          <w:tcPr>
            <w:tcW w:w="392" w:type="pct"/>
            <w:noWrap w:val="0"/>
            <w:tcMar>
              <w:left w:w="28" w:type="dxa"/>
              <w:right w:w="28" w:type="dxa"/>
            </w:tcMar>
            <w:vAlign w:val="center"/>
          </w:tcPr>
          <w:p w14:paraId="54AC7F28">
            <w:pPr>
              <w:pStyle w:val="61"/>
              <w:ind w:firstLine="0"/>
              <w:rPr>
                <w:rFonts w:hint="eastAsia"/>
                <w:b w:val="0"/>
                <w:bCs/>
                <w:color w:val="000000"/>
                <w:sz w:val="24"/>
                <w:szCs w:val="24"/>
              </w:rPr>
            </w:pPr>
            <w:r>
              <w:rPr>
                <w:rFonts w:hint="eastAsia"/>
                <w:b w:val="0"/>
                <w:bCs/>
                <w:color w:val="000000"/>
                <w:sz w:val="24"/>
                <w:szCs w:val="24"/>
              </w:rPr>
              <w:t>总量</w:t>
            </w:r>
          </w:p>
          <w:p w14:paraId="207762B8">
            <w:pPr>
              <w:pStyle w:val="61"/>
              <w:ind w:firstLine="0"/>
              <w:rPr>
                <w:rFonts w:hint="eastAsia"/>
                <w:b w:val="0"/>
                <w:bCs/>
                <w:color w:val="000000"/>
                <w:sz w:val="24"/>
                <w:szCs w:val="24"/>
              </w:rPr>
            </w:pPr>
            <w:r>
              <w:rPr>
                <w:rFonts w:hint="eastAsia"/>
                <w:b w:val="0"/>
                <w:bCs/>
                <w:color w:val="000000"/>
                <w:sz w:val="24"/>
                <w:szCs w:val="24"/>
              </w:rPr>
              <w:t>控制</w:t>
            </w:r>
          </w:p>
          <w:p w14:paraId="27AE8A1F">
            <w:pPr>
              <w:pStyle w:val="61"/>
              <w:ind w:firstLine="0"/>
              <w:rPr>
                <w:rFonts w:hint="eastAsia"/>
                <w:b w:val="0"/>
                <w:bCs/>
                <w:color w:val="000000"/>
                <w:sz w:val="24"/>
                <w:szCs w:val="24"/>
              </w:rPr>
            </w:pPr>
            <w:r>
              <w:rPr>
                <w:rFonts w:hint="eastAsia"/>
                <w:b w:val="0"/>
                <w:bCs/>
                <w:color w:val="000000"/>
                <w:sz w:val="24"/>
                <w:szCs w:val="24"/>
              </w:rPr>
              <w:t>指标</w:t>
            </w:r>
          </w:p>
        </w:tc>
        <w:tc>
          <w:tcPr>
            <w:tcW w:w="4607" w:type="pct"/>
            <w:noWrap w:val="0"/>
            <w:vAlign w:val="top"/>
          </w:tcPr>
          <w:p w14:paraId="45B76DF9">
            <w:pPr>
              <w:widowControl w:val="0"/>
              <w:bidi w:val="0"/>
              <w:spacing w:before="20" w:beforeLines="20" w:afterLines="0" w:line="360" w:lineRule="auto"/>
              <w:ind w:left="0" w:leftChars="0"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根据本项目工程分析计算，项目总量控制建议值：</w:t>
            </w:r>
          </w:p>
          <w:p w14:paraId="19D12AAF">
            <w:pPr>
              <w:widowControl w:val="0"/>
              <w:bidi w:val="0"/>
              <w:spacing w:before="20" w:beforeLines="20" w:afterLines="0" w:line="360" w:lineRule="auto"/>
              <w:ind w:left="0" w:leftChars="0"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大气污染物：项目所在区域为大气环境质量不达标区，根据《安徽省环保厅关于进一步加强建设项目新增大气主要污染物总量指标管理工作的通知》（皖环发〔2017〕19号），本项目需申请的污染物为VOCs、颗粒物，项目建成运行后建议申请总量为VOCs：</w:t>
            </w:r>
            <w:r>
              <w:rPr>
                <w:rFonts w:hint="eastAsia" w:cs="Times New Roman"/>
                <w:color w:val="auto"/>
                <w:kern w:val="2"/>
                <w:sz w:val="24"/>
                <w:szCs w:val="24"/>
                <w:lang w:val="en-US" w:eastAsia="zh-CN" w:bidi="ar-SA"/>
              </w:rPr>
              <w:t>0.0552</w:t>
            </w:r>
            <w:r>
              <w:rPr>
                <w:rFonts w:hint="eastAsia" w:ascii="Times New Roman" w:hAnsi="Times New Roman" w:eastAsia="宋体" w:cs="Times New Roman"/>
                <w:color w:val="auto"/>
                <w:kern w:val="2"/>
                <w:sz w:val="24"/>
                <w:szCs w:val="24"/>
                <w:shd w:val="clear" w:color="auto" w:fill="auto"/>
                <w:lang w:val="en-US" w:eastAsia="zh-CN" w:bidi="ar-SA"/>
              </w:rPr>
              <w:t>t/a；颗粒物：</w:t>
            </w:r>
            <w:r>
              <w:rPr>
                <w:rFonts w:hint="eastAsia" w:cs="Times New Roman"/>
                <w:color w:val="auto"/>
                <w:kern w:val="2"/>
                <w:sz w:val="24"/>
                <w:szCs w:val="24"/>
                <w:shd w:val="clear" w:color="auto" w:fill="auto"/>
                <w:lang w:val="en-US" w:eastAsia="zh-CN" w:bidi="ar-SA"/>
              </w:rPr>
              <w:t>1.2</w:t>
            </w:r>
            <w:r>
              <w:rPr>
                <w:rFonts w:hint="default" w:ascii="Times New Roman" w:hAnsi="Times New Roman" w:cs="Times New Roman"/>
                <w:b w:val="0"/>
                <w:bCs w:val="0"/>
                <w:color w:val="auto"/>
                <w:sz w:val="24"/>
                <w:szCs w:val="24"/>
                <w:lang w:val="en-US" w:eastAsia="zh-CN"/>
              </w:rPr>
              <w:t>×10</w:t>
            </w:r>
            <w:r>
              <w:rPr>
                <w:rFonts w:hint="default" w:ascii="Times New Roman" w:hAnsi="Times New Roman" w:cs="Times New Roman"/>
                <w:b w:val="0"/>
                <w:bCs w:val="0"/>
                <w:color w:val="auto"/>
                <w:sz w:val="24"/>
                <w:szCs w:val="24"/>
                <w:vertAlign w:val="superscript"/>
                <w:lang w:val="en-US" w:eastAsia="zh-CN"/>
              </w:rPr>
              <w:t>-4</w:t>
            </w:r>
            <w:r>
              <w:rPr>
                <w:rFonts w:hint="eastAsia" w:ascii="Times New Roman" w:hAnsi="Times New Roman" w:eastAsia="宋体" w:cs="Times New Roman"/>
                <w:color w:val="auto"/>
                <w:kern w:val="2"/>
                <w:sz w:val="24"/>
                <w:szCs w:val="24"/>
                <w:shd w:val="clear" w:color="auto" w:fill="auto"/>
                <w:lang w:val="en-US" w:eastAsia="zh-CN" w:bidi="ar-SA"/>
              </w:rPr>
              <w:t>t/a。</w:t>
            </w:r>
          </w:p>
          <w:p w14:paraId="24880531">
            <w:pPr>
              <w:widowControl w:val="0"/>
              <w:bidi w:val="0"/>
              <w:spacing w:before="20" w:beforeLines="20" w:afterLines="0" w:line="360" w:lineRule="auto"/>
              <w:ind w:left="0" w:leftChars="0" w:firstLine="480" w:firstLineChars="200"/>
              <w:jc w:val="both"/>
              <w:rPr>
                <w:rFonts w:hint="eastAsia" w:cs="Times New Roman"/>
                <w:b w:val="0"/>
                <w:bCs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auto"/>
                <w:kern w:val="2"/>
                <w:sz w:val="24"/>
                <w:szCs w:val="24"/>
                <w:lang w:val="en-US" w:eastAsia="zh-CN" w:bidi="ar-SA"/>
              </w:rPr>
              <w:t>水污染物：项目废水污染物排放总量计入淮南市潘集污水处理厂总量指标内，故不再重复申请。</w:t>
            </w:r>
          </w:p>
        </w:tc>
      </w:tr>
    </w:tbl>
    <w:p w14:paraId="08321470">
      <w:pPr>
        <w:pStyle w:val="24"/>
        <w:spacing w:before="0" w:beforeAutospacing="0" w:after="0" w:afterAutospacing="0" w:line="240" w:lineRule="auto"/>
        <w:jc w:val="center"/>
        <w:outlineLvl w:val="0"/>
        <w:rPr>
          <w:rFonts w:ascii="Times New Roman" w:hAnsi="Times New Roman"/>
          <w:snapToGrid w:val="0"/>
          <w:color w:val="000000"/>
          <w:sz w:val="36"/>
          <w:szCs w:val="36"/>
        </w:rPr>
        <w:sectPr>
          <w:pgSz w:w="11907" w:h="16840"/>
          <w:pgMar w:top="1531" w:right="1531" w:bottom="1531" w:left="1531" w:header="851" w:footer="851" w:gutter="0"/>
          <w:pgBorders>
            <w:top w:val="none" w:sz="0" w:space="0"/>
            <w:left w:val="none" w:sz="0" w:space="0"/>
            <w:bottom w:val="none" w:sz="0" w:space="0"/>
            <w:right w:val="none" w:sz="0" w:space="0"/>
          </w:pgBorders>
          <w:cols w:space="720" w:num="1"/>
          <w:docGrid w:linePitch="312" w:charSpace="0"/>
        </w:sectPr>
      </w:pPr>
    </w:p>
    <w:p w14:paraId="7B606F8E">
      <w:pPr>
        <w:pStyle w:val="24"/>
        <w:spacing w:before="0" w:beforeAutospacing="0" w:after="0" w:afterAutospacing="0" w:line="240" w:lineRule="auto"/>
        <w:jc w:val="center"/>
        <w:outlineLvl w:val="0"/>
        <w:rPr>
          <w:rStyle w:val="39"/>
          <w:color w:val="000000"/>
        </w:rPr>
      </w:pPr>
      <w:r>
        <w:rPr>
          <w:rStyle w:val="39"/>
          <w:rFonts w:hint="eastAsia"/>
          <w:color w:val="000000"/>
        </w:rPr>
        <w:t>四、主要环境影响和保护措施</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8322"/>
      </w:tblGrid>
      <w:tr w14:paraId="4A3F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8" w:type="pct"/>
            <w:noWrap w:val="0"/>
            <w:vAlign w:val="center"/>
          </w:tcPr>
          <w:p w14:paraId="3D0598FD">
            <w:pPr>
              <w:pStyle w:val="61"/>
              <w:ind w:firstLine="0"/>
              <w:rPr>
                <w:rFonts w:hint="eastAsia"/>
                <w:b w:val="0"/>
                <w:bCs/>
                <w:color w:val="000000"/>
                <w:sz w:val="24"/>
                <w:szCs w:val="24"/>
              </w:rPr>
            </w:pPr>
            <w:r>
              <w:rPr>
                <w:rFonts w:hint="eastAsia"/>
                <w:b w:val="0"/>
                <w:bCs/>
                <w:color w:val="000000"/>
                <w:sz w:val="24"/>
                <w:szCs w:val="24"/>
              </w:rPr>
              <w:t>施工</w:t>
            </w:r>
          </w:p>
          <w:p w14:paraId="5F0BD38C">
            <w:pPr>
              <w:pStyle w:val="61"/>
              <w:ind w:firstLine="0"/>
              <w:rPr>
                <w:rFonts w:hint="eastAsia"/>
                <w:b w:val="0"/>
                <w:bCs/>
                <w:color w:val="000000"/>
                <w:sz w:val="24"/>
                <w:szCs w:val="24"/>
              </w:rPr>
            </w:pPr>
            <w:r>
              <w:rPr>
                <w:rFonts w:hint="eastAsia"/>
                <w:b w:val="0"/>
                <w:bCs/>
                <w:color w:val="000000"/>
                <w:sz w:val="24"/>
                <w:szCs w:val="24"/>
              </w:rPr>
              <w:t>期环</w:t>
            </w:r>
          </w:p>
          <w:p w14:paraId="2D375F74">
            <w:pPr>
              <w:pStyle w:val="61"/>
              <w:ind w:firstLine="0"/>
              <w:rPr>
                <w:rFonts w:hint="eastAsia"/>
                <w:b w:val="0"/>
                <w:bCs/>
                <w:color w:val="000000"/>
                <w:sz w:val="24"/>
                <w:szCs w:val="24"/>
              </w:rPr>
            </w:pPr>
            <w:r>
              <w:rPr>
                <w:rFonts w:hint="eastAsia"/>
                <w:b w:val="0"/>
                <w:bCs/>
                <w:color w:val="000000"/>
                <w:sz w:val="24"/>
                <w:szCs w:val="24"/>
              </w:rPr>
              <w:t>境保</w:t>
            </w:r>
          </w:p>
          <w:p w14:paraId="44CA1201">
            <w:pPr>
              <w:pStyle w:val="61"/>
              <w:ind w:firstLine="0"/>
              <w:rPr>
                <w:rFonts w:hint="eastAsia"/>
                <w:b w:val="0"/>
                <w:bCs/>
                <w:color w:val="000000"/>
                <w:sz w:val="24"/>
                <w:szCs w:val="24"/>
              </w:rPr>
            </w:pPr>
            <w:r>
              <w:rPr>
                <w:rFonts w:hint="eastAsia"/>
                <w:b w:val="0"/>
                <w:bCs/>
                <w:color w:val="000000"/>
                <w:sz w:val="24"/>
                <w:szCs w:val="24"/>
              </w:rPr>
              <w:t>护措</w:t>
            </w:r>
          </w:p>
          <w:p w14:paraId="0D65D1D8">
            <w:pPr>
              <w:pStyle w:val="61"/>
              <w:ind w:firstLine="0"/>
              <w:rPr>
                <w:rFonts w:hint="eastAsia"/>
                <w:color w:val="000000"/>
                <w:sz w:val="24"/>
                <w:szCs w:val="24"/>
              </w:rPr>
            </w:pPr>
            <w:r>
              <w:rPr>
                <w:rFonts w:hint="eastAsia"/>
                <w:b w:val="0"/>
                <w:bCs/>
                <w:color w:val="000000"/>
                <w:sz w:val="24"/>
                <w:szCs w:val="24"/>
              </w:rPr>
              <w:t>施</w:t>
            </w:r>
          </w:p>
        </w:tc>
        <w:tc>
          <w:tcPr>
            <w:tcW w:w="4591" w:type="pct"/>
            <w:noWrap w:val="0"/>
            <w:vAlign w:val="center"/>
          </w:tcPr>
          <w:p w14:paraId="4860F28C">
            <w:pPr>
              <w:pStyle w:val="35"/>
              <w:keepNext w:val="0"/>
              <w:keepLines w:val="0"/>
              <w:pageBreakBefore w:val="0"/>
              <w:widowControl w:val="0"/>
              <w:kinsoku/>
              <w:wordWrap/>
              <w:overflowPunct w:val="0"/>
              <w:topLinePunct w:val="0"/>
              <w:autoSpaceDE/>
              <w:autoSpaceDN/>
              <w:bidi w:val="0"/>
              <w:adjustRightInd/>
              <w:snapToGrid w:val="0"/>
              <w:ind w:firstLine="480" w:firstLineChars="200"/>
              <w:jc w:val="both"/>
              <w:textAlignment w:val="auto"/>
              <w:rPr>
                <w:color w:val="000000"/>
              </w:rPr>
            </w:pPr>
            <w:r>
              <w:rPr>
                <w:rFonts w:hint="eastAsia"/>
                <w:color w:val="000000"/>
              </w:rPr>
              <w:t>本项目</w:t>
            </w:r>
            <w:r>
              <w:rPr>
                <w:rFonts w:hint="eastAsia"/>
                <w:color w:val="000000"/>
                <w:lang w:val="en-US" w:eastAsia="zh-CN"/>
              </w:rPr>
              <w:t>租用</w:t>
            </w:r>
            <w:r>
              <w:rPr>
                <w:rFonts w:hint="eastAsia"/>
                <w:color w:val="000000"/>
              </w:rPr>
              <w:t>已建成的</w:t>
            </w:r>
            <w:r>
              <w:rPr>
                <w:rFonts w:hint="eastAsia"/>
                <w:color w:val="000000"/>
                <w:lang w:val="en-US" w:eastAsia="zh-CN"/>
              </w:rPr>
              <w:t>标准化</w:t>
            </w:r>
            <w:r>
              <w:rPr>
                <w:rFonts w:hint="eastAsia"/>
                <w:color w:val="000000"/>
              </w:rPr>
              <w:t>厂房进行生产</w:t>
            </w:r>
            <w:r>
              <w:rPr>
                <w:rFonts w:hint="eastAsia"/>
                <w:color w:val="000000"/>
                <w:lang w:eastAsia="zh-CN"/>
              </w:rPr>
              <w:t>，</w:t>
            </w:r>
            <w:r>
              <w:rPr>
                <w:rFonts w:hint="eastAsia"/>
                <w:color w:val="000000"/>
              </w:rPr>
              <w:t>仅安装生产设备，对周围环境影响较小，因此不进行施工期环境影响分析。</w:t>
            </w:r>
          </w:p>
        </w:tc>
      </w:tr>
      <w:tr w14:paraId="163DD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4" w:hRule="atLeast"/>
        </w:trPr>
        <w:tc>
          <w:tcPr>
            <w:tcW w:w="408" w:type="pct"/>
            <w:noWrap w:val="0"/>
            <w:vAlign w:val="center"/>
          </w:tcPr>
          <w:p w14:paraId="39AA5CFB">
            <w:pPr>
              <w:pStyle w:val="61"/>
              <w:ind w:firstLine="0"/>
              <w:rPr>
                <w:rFonts w:hint="eastAsia"/>
                <w:b w:val="0"/>
                <w:bCs/>
                <w:color w:val="000000"/>
                <w:sz w:val="24"/>
                <w:szCs w:val="24"/>
              </w:rPr>
            </w:pPr>
            <w:r>
              <w:rPr>
                <w:rFonts w:hint="eastAsia"/>
                <w:b w:val="0"/>
                <w:bCs/>
                <w:color w:val="000000"/>
                <w:sz w:val="24"/>
                <w:szCs w:val="24"/>
              </w:rPr>
              <w:t>运营</w:t>
            </w:r>
          </w:p>
          <w:p w14:paraId="45F368F7">
            <w:pPr>
              <w:pStyle w:val="61"/>
              <w:ind w:firstLine="0"/>
              <w:rPr>
                <w:rFonts w:hint="eastAsia"/>
                <w:b w:val="0"/>
                <w:bCs/>
                <w:color w:val="000000"/>
                <w:sz w:val="24"/>
                <w:szCs w:val="24"/>
              </w:rPr>
            </w:pPr>
            <w:r>
              <w:rPr>
                <w:rFonts w:hint="eastAsia"/>
                <w:b w:val="0"/>
                <w:bCs/>
                <w:color w:val="000000"/>
                <w:sz w:val="24"/>
                <w:szCs w:val="24"/>
              </w:rPr>
              <w:t>期环</w:t>
            </w:r>
          </w:p>
          <w:p w14:paraId="180B8A73">
            <w:pPr>
              <w:pStyle w:val="61"/>
              <w:ind w:firstLine="0"/>
              <w:rPr>
                <w:rFonts w:hint="eastAsia"/>
                <w:b w:val="0"/>
                <w:bCs/>
                <w:color w:val="000000"/>
                <w:sz w:val="24"/>
                <w:szCs w:val="24"/>
              </w:rPr>
            </w:pPr>
            <w:r>
              <w:rPr>
                <w:rFonts w:hint="eastAsia"/>
                <w:b w:val="0"/>
                <w:bCs/>
                <w:color w:val="000000"/>
                <w:sz w:val="24"/>
                <w:szCs w:val="24"/>
              </w:rPr>
              <w:t>境影</w:t>
            </w:r>
          </w:p>
          <w:p w14:paraId="1721843A">
            <w:pPr>
              <w:pStyle w:val="61"/>
              <w:ind w:firstLine="0"/>
              <w:rPr>
                <w:rFonts w:hint="eastAsia"/>
                <w:b w:val="0"/>
                <w:bCs/>
                <w:color w:val="000000"/>
                <w:sz w:val="24"/>
                <w:szCs w:val="24"/>
              </w:rPr>
            </w:pPr>
            <w:r>
              <w:rPr>
                <w:rFonts w:hint="eastAsia"/>
                <w:b w:val="0"/>
                <w:bCs/>
                <w:color w:val="000000"/>
                <w:sz w:val="24"/>
                <w:szCs w:val="24"/>
              </w:rPr>
              <w:t>响和</w:t>
            </w:r>
          </w:p>
          <w:p w14:paraId="6751556B">
            <w:pPr>
              <w:pStyle w:val="61"/>
              <w:ind w:firstLine="0"/>
              <w:rPr>
                <w:rFonts w:hint="eastAsia"/>
                <w:b w:val="0"/>
                <w:bCs/>
                <w:color w:val="000000"/>
                <w:sz w:val="24"/>
                <w:szCs w:val="24"/>
              </w:rPr>
            </w:pPr>
            <w:r>
              <w:rPr>
                <w:rFonts w:hint="eastAsia"/>
                <w:b w:val="0"/>
                <w:bCs/>
                <w:color w:val="000000"/>
                <w:sz w:val="24"/>
                <w:szCs w:val="24"/>
              </w:rPr>
              <w:t>保护</w:t>
            </w:r>
          </w:p>
          <w:p w14:paraId="17CA282E">
            <w:pPr>
              <w:pStyle w:val="61"/>
              <w:ind w:firstLine="0"/>
              <w:rPr>
                <w:rFonts w:hint="eastAsia"/>
                <w:b w:val="0"/>
                <w:bCs/>
                <w:color w:val="000000"/>
                <w:sz w:val="24"/>
                <w:szCs w:val="24"/>
              </w:rPr>
            </w:pPr>
            <w:r>
              <w:rPr>
                <w:rFonts w:hint="eastAsia"/>
                <w:b w:val="0"/>
                <w:bCs/>
                <w:color w:val="000000"/>
                <w:sz w:val="24"/>
                <w:szCs w:val="24"/>
              </w:rPr>
              <w:t>措</w:t>
            </w:r>
          </w:p>
        </w:tc>
        <w:tc>
          <w:tcPr>
            <w:tcW w:w="4591" w:type="pct"/>
            <w:noWrap w:val="0"/>
            <w:vAlign w:val="top"/>
          </w:tcPr>
          <w:p w14:paraId="63B906FB">
            <w:pPr>
              <w:numPr>
                <w:ilvl w:val="0"/>
                <w:numId w:val="11"/>
              </w:numPr>
              <w:spacing w:before="120" w:beforeLines="50"/>
              <w:ind w:firstLine="482" w:firstLineChars="200"/>
              <w:rPr>
                <w:rFonts w:hint="eastAsia"/>
                <w:b/>
                <w:bCs/>
                <w:color w:val="000000"/>
              </w:rPr>
            </w:pPr>
            <w:r>
              <w:rPr>
                <w:rFonts w:hint="eastAsia"/>
                <w:b/>
                <w:bCs/>
                <w:color w:val="000000"/>
              </w:rPr>
              <w:t>大气污染物环境影响和保护措施</w:t>
            </w:r>
          </w:p>
          <w:p w14:paraId="499587D1">
            <w:pPr>
              <w:keepNext w:val="0"/>
              <w:keepLines w:val="0"/>
              <w:pageBreakBefore w:val="0"/>
              <w:widowControl w:val="0"/>
              <w:numPr>
                <w:ilvl w:val="0"/>
                <w:numId w:val="12"/>
              </w:numPr>
              <w:kinsoku/>
              <w:wordWrap/>
              <w:overflowPunct/>
              <w:topLinePunct w:val="0"/>
              <w:autoSpaceDE/>
              <w:autoSpaceDN/>
              <w:bidi w:val="0"/>
              <w:adjustRightInd/>
              <w:snapToGrid/>
              <w:ind w:left="0" w:firstLine="480" w:firstLineChars="200"/>
              <w:textAlignment w:val="auto"/>
              <w:rPr>
                <w:rFonts w:hint="eastAsia"/>
                <w:color w:val="000000"/>
              </w:rPr>
            </w:pPr>
            <w:r>
              <w:rPr>
                <w:rFonts w:hint="eastAsia"/>
                <w:color w:val="000000"/>
              </w:rPr>
              <w:t>废气污染物排放情况</w:t>
            </w:r>
          </w:p>
          <w:p w14:paraId="3756CA4E">
            <w:pPr>
              <w:pStyle w:val="8"/>
              <w:keepNext w:val="0"/>
              <w:keepLines w:val="0"/>
              <w:pageBreakBefore w:val="0"/>
              <w:widowControl w:val="0"/>
              <w:kinsoku/>
              <w:wordWrap/>
              <w:overflowPunct/>
              <w:topLinePunct w:val="0"/>
              <w:autoSpaceDE/>
              <w:autoSpaceDN/>
              <w:bidi w:val="0"/>
              <w:adjustRightInd/>
              <w:snapToGrid/>
              <w:ind w:firstLine="480"/>
              <w:textAlignment w:val="auto"/>
              <w:rPr>
                <w:color w:val="000000"/>
              </w:rPr>
            </w:pPr>
            <w:r>
              <w:rPr>
                <w:rFonts w:hint="eastAsia"/>
                <w:color w:val="000000"/>
                <w:highlight w:val="none"/>
                <w:lang w:val="en-US" w:eastAsia="zh-CN"/>
              </w:rPr>
              <w:t>项目</w:t>
            </w:r>
            <w:r>
              <w:rPr>
                <w:rFonts w:hint="eastAsia"/>
                <w:color w:val="000000"/>
                <w:highlight w:val="none"/>
              </w:rPr>
              <w:t>运营期产生的废气主要为</w:t>
            </w:r>
            <w:r>
              <w:rPr>
                <w:rFonts w:hint="eastAsia"/>
                <w:color w:val="000000"/>
                <w:highlight w:val="none"/>
                <w:lang w:val="en-US" w:eastAsia="zh-CN"/>
              </w:rPr>
              <w:t>注塑废气和粉碎废气</w:t>
            </w:r>
            <w:r>
              <w:rPr>
                <w:rFonts w:hint="default" w:ascii="Times New Roman" w:hAnsi="Times New Roman" w:eastAsia="宋体"/>
                <w:color w:val="000000" w:themeColor="text1"/>
                <w:highlight w:val="none"/>
                <w:lang w:val="en-US" w:eastAsia="zh-CN"/>
                <w14:textFill>
                  <w14:solidFill>
                    <w14:schemeClr w14:val="tx1"/>
                  </w14:solidFill>
                </w14:textFill>
              </w:rPr>
              <w:t>。</w:t>
            </w:r>
            <w:r>
              <w:rPr>
                <w:rFonts w:hint="eastAsia"/>
                <w:color w:val="000000"/>
              </w:rPr>
              <w:t>有组织废气产排放情况如下：</w:t>
            </w:r>
          </w:p>
          <w:p w14:paraId="327ABB31">
            <w:pPr>
              <w:pStyle w:val="35"/>
              <w:ind w:firstLine="0"/>
              <w:jc w:val="both"/>
              <w:rPr>
                <w:color w:val="000000"/>
              </w:rPr>
            </w:pPr>
          </w:p>
        </w:tc>
      </w:tr>
    </w:tbl>
    <w:p w14:paraId="17AE5EDA">
      <w:pPr>
        <w:pStyle w:val="24"/>
        <w:spacing w:before="0" w:beforeAutospacing="0" w:after="0" w:afterAutospacing="0" w:line="240" w:lineRule="auto"/>
        <w:jc w:val="center"/>
        <w:outlineLvl w:val="0"/>
        <w:rPr>
          <w:rFonts w:ascii="Times New Roman" w:hAnsi="Times New Roman"/>
          <w:snapToGrid w:val="0"/>
          <w:color w:val="000000"/>
          <w:sz w:val="36"/>
          <w:szCs w:val="36"/>
        </w:rPr>
        <w:sectPr>
          <w:pgSz w:w="11907" w:h="16840"/>
          <w:pgMar w:top="1531" w:right="1531" w:bottom="1531" w:left="1531" w:header="851" w:footer="851" w:gutter="0"/>
          <w:pgBorders>
            <w:top w:val="none" w:sz="0" w:space="0"/>
            <w:left w:val="none" w:sz="0" w:space="0"/>
            <w:bottom w:val="none" w:sz="0" w:space="0"/>
            <w:right w:val="none" w:sz="0" w:space="0"/>
          </w:pgBorders>
          <w:cols w:space="720" w:num="1"/>
          <w:docGrid w:linePitch="312" w:charSpace="0"/>
        </w:sectPr>
      </w:pPr>
    </w:p>
    <w:tbl>
      <w:tblPr>
        <w:tblStyle w:val="2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3236"/>
      </w:tblGrid>
      <w:tr w14:paraId="2AD9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5" w:hRule="atLeast"/>
        </w:trPr>
        <w:tc>
          <w:tcPr>
            <w:tcW w:w="270" w:type="pct"/>
            <w:noWrap w:val="0"/>
            <w:vAlign w:val="center"/>
          </w:tcPr>
          <w:p w14:paraId="3065A9CA">
            <w:pPr>
              <w:pStyle w:val="61"/>
              <w:ind w:firstLine="0"/>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运营</w:t>
            </w:r>
          </w:p>
          <w:p w14:paraId="6ED53362">
            <w:pPr>
              <w:pStyle w:val="61"/>
              <w:ind w:firstLine="0"/>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期环</w:t>
            </w:r>
          </w:p>
          <w:p w14:paraId="1BF322F6">
            <w:pPr>
              <w:pStyle w:val="61"/>
              <w:ind w:firstLine="0"/>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境影</w:t>
            </w:r>
          </w:p>
          <w:p w14:paraId="36AACA71">
            <w:pPr>
              <w:pStyle w:val="61"/>
              <w:ind w:firstLine="0"/>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响和</w:t>
            </w:r>
          </w:p>
          <w:p w14:paraId="2E8D0469">
            <w:pPr>
              <w:pStyle w:val="61"/>
              <w:ind w:firstLine="0"/>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保护</w:t>
            </w:r>
          </w:p>
          <w:p w14:paraId="2F468B82">
            <w:pPr>
              <w:pStyle w:val="61"/>
              <w:ind w:firstLine="0"/>
              <w:rPr>
                <w:snapToGrid w:val="0"/>
                <w:color w:val="000000" w:themeColor="text1"/>
                <w:sz w:val="36"/>
                <w:szCs w:val="36"/>
                <w14:textFill>
                  <w14:solidFill>
                    <w14:schemeClr w14:val="tx1"/>
                  </w14:solidFill>
                </w14:textFill>
              </w:rPr>
            </w:pPr>
            <w:r>
              <w:rPr>
                <w:rFonts w:hint="eastAsia"/>
                <w:b w:val="0"/>
                <w:bCs/>
                <w:color w:val="000000" w:themeColor="text1"/>
                <w:sz w:val="24"/>
                <w:szCs w:val="24"/>
                <w14:textFill>
                  <w14:solidFill>
                    <w14:schemeClr w14:val="tx1"/>
                  </w14:solidFill>
                </w14:textFill>
              </w:rPr>
              <w:t>措</w:t>
            </w:r>
          </w:p>
        </w:tc>
        <w:tc>
          <w:tcPr>
            <w:tcW w:w="4729" w:type="pct"/>
            <w:noWrap w:val="0"/>
            <w:vAlign w:val="top"/>
          </w:tcPr>
          <w:p w14:paraId="6B9159F0">
            <w:pPr>
              <w:pStyle w:val="63"/>
              <w:keepNext/>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rPr>
            </w:pPr>
            <w:r>
              <w:rPr>
                <w:rFonts w:hint="eastAsia"/>
                <w:color w:val="auto"/>
                <w:lang w:val="en-US" w:eastAsia="zh-CN"/>
              </w:rPr>
              <w:t xml:space="preserve">表4-1  </w:t>
            </w:r>
            <w:r>
              <w:rPr>
                <w:rFonts w:hint="eastAsia"/>
                <w:color w:val="auto"/>
              </w:rPr>
              <w:t>项目有组织废气产生及排放源强一览表</w:t>
            </w:r>
          </w:p>
          <w:tbl>
            <w:tblPr>
              <w:tblStyle w:val="29"/>
              <w:tblW w:w="0" w:type="auto"/>
              <w:jc w:val="center"/>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502"/>
              <w:gridCol w:w="661"/>
              <w:gridCol w:w="835"/>
              <w:gridCol w:w="798"/>
              <w:gridCol w:w="1054"/>
              <w:gridCol w:w="836"/>
              <w:gridCol w:w="712"/>
              <w:gridCol w:w="1530"/>
              <w:gridCol w:w="712"/>
              <w:gridCol w:w="905"/>
              <w:gridCol w:w="1054"/>
              <w:gridCol w:w="1009"/>
              <w:gridCol w:w="720"/>
              <w:gridCol w:w="955"/>
              <w:gridCol w:w="726"/>
            </w:tblGrid>
            <w:tr w14:paraId="10CA6651">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PrEx>
              <w:trPr>
                <w:trHeight w:val="340" w:hRule="atLeast"/>
                <w:jc w:val="center"/>
              </w:trPr>
              <w:tc>
                <w:tcPr>
                  <w:tcW w:w="502" w:type="dxa"/>
                  <w:vMerge w:val="restart"/>
                  <w:tcBorders>
                    <w:tl2br w:val="nil"/>
                    <w:tr2bl w:val="nil"/>
                  </w:tcBorders>
                  <w:shd w:val="clear" w:color="auto" w:fill="auto"/>
                  <w:vAlign w:val="center"/>
                </w:tcPr>
                <w:p w14:paraId="7C20D8AC">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工序</w:t>
                  </w:r>
                </w:p>
              </w:tc>
              <w:tc>
                <w:tcPr>
                  <w:tcW w:w="661" w:type="dxa"/>
                  <w:vMerge w:val="restart"/>
                  <w:tcBorders>
                    <w:tl2br w:val="nil"/>
                    <w:tr2bl w:val="nil"/>
                  </w:tcBorders>
                  <w:shd w:val="clear" w:color="auto" w:fill="auto"/>
                  <w:vAlign w:val="center"/>
                </w:tcPr>
                <w:p w14:paraId="78B4482B">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污染物</w:t>
                  </w:r>
                </w:p>
              </w:tc>
              <w:tc>
                <w:tcPr>
                  <w:tcW w:w="3523" w:type="dxa"/>
                  <w:gridSpan w:val="4"/>
                  <w:tcBorders>
                    <w:tl2br w:val="nil"/>
                    <w:tr2bl w:val="nil"/>
                  </w:tcBorders>
                  <w:shd w:val="clear" w:color="auto" w:fill="auto"/>
                  <w:vAlign w:val="center"/>
                </w:tcPr>
                <w:p w14:paraId="719455F5">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污染物产生</w:t>
                  </w:r>
                </w:p>
              </w:tc>
              <w:tc>
                <w:tcPr>
                  <w:tcW w:w="2954" w:type="dxa"/>
                  <w:gridSpan w:val="3"/>
                  <w:tcBorders>
                    <w:tl2br w:val="nil"/>
                    <w:tr2bl w:val="nil"/>
                  </w:tcBorders>
                  <w:shd w:val="clear" w:color="auto" w:fill="auto"/>
                  <w:vAlign w:val="center"/>
                </w:tcPr>
                <w:p w14:paraId="66AB67F4">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治理措施</w:t>
                  </w:r>
                </w:p>
              </w:tc>
              <w:tc>
                <w:tcPr>
                  <w:tcW w:w="5369" w:type="dxa"/>
                  <w:gridSpan w:val="6"/>
                  <w:tcBorders>
                    <w:tl2br w:val="nil"/>
                    <w:tr2bl w:val="nil"/>
                  </w:tcBorders>
                  <w:shd w:val="clear" w:color="auto" w:fill="auto"/>
                  <w:vAlign w:val="center"/>
                </w:tcPr>
                <w:p w14:paraId="2B10E20D">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污染物排放</w:t>
                  </w:r>
                </w:p>
              </w:tc>
            </w:tr>
            <w:tr w14:paraId="01FB44A2">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0" w:hRule="atLeast"/>
                <w:jc w:val="center"/>
              </w:trPr>
              <w:tc>
                <w:tcPr>
                  <w:tcW w:w="502" w:type="dxa"/>
                  <w:vMerge w:val="continue"/>
                  <w:tcBorders>
                    <w:tl2br w:val="nil"/>
                    <w:tr2bl w:val="nil"/>
                  </w:tcBorders>
                  <w:shd w:val="clear" w:color="auto" w:fill="auto"/>
                  <w:vAlign w:val="center"/>
                </w:tcPr>
                <w:p w14:paraId="4F810383">
                  <w:pPr>
                    <w:spacing w:line="240" w:lineRule="auto"/>
                    <w:jc w:val="center"/>
                    <w:rPr>
                      <w:rFonts w:hint="default" w:ascii="Times New Roman" w:hAnsi="Times New Roman" w:eastAsia="宋体" w:cs="Times New Roman"/>
                      <w:b/>
                      <w:bCs/>
                      <w:i w:val="0"/>
                      <w:iCs w:val="0"/>
                      <w:color w:val="auto"/>
                      <w:sz w:val="21"/>
                      <w:szCs w:val="21"/>
                      <w:u w:val="none"/>
                    </w:rPr>
                  </w:pPr>
                </w:p>
              </w:tc>
              <w:tc>
                <w:tcPr>
                  <w:tcW w:w="661" w:type="dxa"/>
                  <w:vMerge w:val="continue"/>
                  <w:tcBorders>
                    <w:tl2br w:val="nil"/>
                    <w:tr2bl w:val="nil"/>
                  </w:tcBorders>
                  <w:shd w:val="clear" w:color="auto" w:fill="auto"/>
                  <w:vAlign w:val="center"/>
                </w:tcPr>
                <w:p w14:paraId="3C2611B8">
                  <w:pPr>
                    <w:spacing w:line="240" w:lineRule="auto"/>
                    <w:jc w:val="center"/>
                    <w:rPr>
                      <w:rFonts w:hint="default" w:ascii="Times New Roman" w:hAnsi="Times New Roman" w:eastAsia="宋体" w:cs="Times New Roman"/>
                      <w:b/>
                      <w:bCs/>
                      <w:i w:val="0"/>
                      <w:iCs w:val="0"/>
                      <w:color w:val="auto"/>
                      <w:sz w:val="21"/>
                      <w:szCs w:val="21"/>
                      <w:u w:val="none"/>
                    </w:rPr>
                  </w:pPr>
                </w:p>
              </w:tc>
              <w:tc>
                <w:tcPr>
                  <w:tcW w:w="835" w:type="dxa"/>
                  <w:vMerge w:val="restart"/>
                  <w:tcBorders>
                    <w:tl2br w:val="nil"/>
                    <w:tr2bl w:val="nil"/>
                  </w:tcBorders>
                  <w:shd w:val="clear" w:color="auto" w:fill="auto"/>
                  <w:vAlign w:val="center"/>
                </w:tcPr>
                <w:p w14:paraId="0EB1CB97">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废气排放量</w:t>
                  </w:r>
                  <w:r>
                    <w:rPr>
                      <w:rFonts w:hint="default" w:ascii="Times New Roman" w:hAnsi="Times New Roman" w:eastAsia="宋体" w:cs="Times New Roman"/>
                      <w:b/>
                      <w:bCs/>
                      <w:i w:val="0"/>
                      <w:iCs w:val="0"/>
                      <w:color w:val="auto"/>
                      <w:kern w:val="0"/>
                      <w:sz w:val="21"/>
                      <w:szCs w:val="21"/>
                      <w:u w:val="none"/>
                      <w:lang w:val="en-US" w:eastAsia="zh-CN" w:bidi="ar"/>
                    </w:rPr>
                    <w:t>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/h</w:t>
                  </w:r>
                </w:p>
              </w:tc>
              <w:tc>
                <w:tcPr>
                  <w:tcW w:w="798" w:type="dxa"/>
                  <w:vMerge w:val="restart"/>
                  <w:tcBorders>
                    <w:tl2br w:val="nil"/>
                    <w:tr2bl w:val="nil"/>
                  </w:tcBorders>
                  <w:shd w:val="clear" w:color="auto" w:fill="auto"/>
                  <w:vAlign w:val="center"/>
                </w:tcPr>
                <w:p w14:paraId="7A14ED5D">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产生浓度</w:t>
                  </w:r>
                  <w:r>
                    <w:rPr>
                      <w:rFonts w:hint="default" w:ascii="Times New Roman" w:hAnsi="Times New Roman" w:eastAsia="宋体" w:cs="Times New Roman"/>
                      <w:b/>
                      <w:bCs/>
                      <w:i w:val="0"/>
                      <w:iCs w:val="0"/>
                      <w:color w:val="auto"/>
                      <w:kern w:val="0"/>
                      <w:sz w:val="21"/>
                      <w:szCs w:val="21"/>
                      <w:u w:val="none"/>
                      <w:lang w:val="en-US" w:eastAsia="zh-CN" w:bidi="ar"/>
                    </w:rPr>
                    <w:t>mg/m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p>
              </w:tc>
              <w:tc>
                <w:tcPr>
                  <w:tcW w:w="1054" w:type="dxa"/>
                  <w:vMerge w:val="restart"/>
                  <w:tcBorders>
                    <w:tl2br w:val="nil"/>
                    <w:tr2bl w:val="nil"/>
                  </w:tcBorders>
                  <w:shd w:val="clear" w:color="auto" w:fill="auto"/>
                  <w:vAlign w:val="center"/>
                </w:tcPr>
                <w:p w14:paraId="08D9A244">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产生速率</w:t>
                  </w:r>
                  <w:r>
                    <w:rPr>
                      <w:rFonts w:hint="default" w:ascii="Times New Roman" w:hAnsi="Times New Roman" w:eastAsia="宋体" w:cs="Times New Roman"/>
                      <w:b/>
                      <w:bCs/>
                      <w:i w:val="0"/>
                      <w:iCs w:val="0"/>
                      <w:color w:val="auto"/>
                      <w:kern w:val="0"/>
                      <w:sz w:val="21"/>
                      <w:szCs w:val="21"/>
                      <w:u w:val="none"/>
                      <w:lang w:val="en-US" w:eastAsia="zh-CN" w:bidi="ar"/>
                    </w:rPr>
                    <w:t>kg/h</w:t>
                  </w:r>
                </w:p>
              </w:tc>
              <w:tc>
                <w:tcPr>
                  <w:tcW w:w="836" w:type="dxa"/>
                  <w:vMerge w:val="restart"/>
                  <w:tcBorders>
                    <w:tl2br w:val="nil"/>
                    <w:tr2bl w:val="nil"/>
                  </w:tcBorders>
                  <w:shd w:val="clear" w:color="auto" w:fill="auto"/>
                  <w:vAlign w:val="center"/>
                </w:tcPr>
                <w:p w14:paraId="0578AA85">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产生量</w:t>
                  </w:r>
                  <w:r>
                    <w:rPr>
                      <w:rFonts w:hint="default" w:ascii="Times New Roman" w:hAnsi="Times New Roman" w:eastAsia="宋体" w:cs="Times New Roman"/>
                      <w:b/>
                      <w:bCs/>
                      <w:i w:val="0"/>
                      <w:iCs w:val="0"/>
                      <w:color w:val="auto"/>
                      <w:kern w:val="0"/>
                      <w:sz w:val="21"/>
                      <w:szCs w:val="21"/>
                      <w:u w:val="none"/>
                      <w:lang w:val="en-US" w:eastAsia="zh-CN" w:bidi="ar"/>
                    </w:rPr>
                    <w:t>t/a</w:t>
                  </w:r>
                </w:p>
              </w:tc>
              <w:tc>
                <w:tcPr>
                  <w:tcW w:w="712" w:type="dxa"/>
                  <w:vMerge w:val="restart"/>
                  <w:tcBorders>
                    <w:tl2br w:val="nil"/>
                    <w:tr2bl w:val="nil"/>
                  </w:tcBorders>
                  <w:shd w:val="clear" w:color="auto" w:fill="auto"/>
                  <w:vAlign w:val="center"/>
                </w:tcPr>
                <w:p w14:paraId="07787EAA">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收集效率</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1530" w:type="dxa"/>
                  <w:vMerge w:val="restart"/>
                  <w:tcBorders>
                    <w:tl2br w:val="nil"/>
                    <w:tr2bl w:val="nil"/>
                  </w:tcBorders>
                  <w:shd w:val="clear" w:color="auto" w:fill="auto"/>
                  <w:vAlign w:val="center"/>
                </w:tcPr>
                <w:p w14:paraId="45282EA5">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治理工艺</w:t>
                  </w:r>
                </w:p>
              </w:tc>
              <w:tc>
                <w:tcPr>
                  <w:tcW w:w="712" w:type="dxa"/>
                  <w:vMerge w:val="restart"/>
                  <w:tcBorders>
                    <w:tl2br w:val="nil"/>
                    <w:tr2bl w:val="nil"/>
                  </w:tcBorders>
                  <w:shd w:val="clear" w:color="auto" w:fill="auto"/>
                  <w:vAlign w:val="center"/>
                </w:tcPr>
                <w:p w14:paraId="5C29C68A">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去除效率</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2968" w:type="dxa"/>
                  <w:gridSpan w:val="3"/>
                  <w:vMerge w:val="restart"/>
                  <w:tcBorders>
                    <w:tl2br w:val="nil"/>
                    <w:tr2bl w:val="nil"/>
                  </w:tcBorders>
                  <w:shd w:val="clear" w:color="auto" w:fill="auto"/>
                  <w:vAlign w:val="center"/>
                </w:tcPr>
                <w:p w14:paraId="09016CF4">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有组织</w:t>
                  </w:r>
                </w:p>
              </w:tc>
              <w:tc>
                <w:tcPr>
                  <w:tcW w:w="1675" w:type="dxa"/>
                  <w:gridSpan w:val="2"/>
                  <w:vMerge w:val="restart"/>
                  <w:tcBorders>
                    <w:tl2br w:val="nil"/>
                    <w:tr2bl w:val="nil"/>
                  </w:tcBorders>
                  <w:shd w:val="clear" w:color="auto" w:fill="auto"/>
                  <w:vAlign w:val="center"/>
                </w:tcPr>
                <w:p w14:paraId="1C92CCBC">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排放标准</w:t>
                  </w:r>
                </w:p>
              </w:tc>
              <w:tc>
                <w:tcPr>
                  <w:tcW w:w="726" w:type="dxa"/>
                  <w:vMerge w:val="restart"/>
                  <w:tcBorders>
                    <w:tl2br w:val="nil"/>
                    <w:tr2bl w:val="nil"/>
                  </w:tcBorders>
                  <w:shd w:val="clear" w:color="auto" w:fill="auto"/>
                  <w:vAlign w:val="center"/>
                </w:tcPr>
                <w:p w14:paraId="5AF98585">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排放时间</w:t>
                  </w:r>
                  <w:r>
                    <w:rPr>
                      <w:rFonts w:hint="default" w:ascii="Times New Roman" w:hAnsi="Times New Roman" w:eastAsia="宋体" w:cs="Times New Roman"/>
                      <w:b/>
                      <w:bCs/>
                      <w:i w:val="0"/>
                      <w:iCs w:val="0"/>
                      <w:color w:val="auto"/>
                      <w:kern w:val="0"/>
                      <w:sz w:val="21"/>
                      <w:szCs w:val="21"/>
                      <w:u w:val="none"/>
                      <w:lang w:val="en-US" w:eastAsia="zh-CN" w:bidi="ar"/>
                    </w:rPr>
                    <w:t>h/a</w:t>
                  </w:r>
                </w:p>
              </w:tc>
            </w:tr>
            <w:tr w14:paraId="0D9F7890">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0" w:hRule="atLeast"/>
                <w:jc w:val="center"/>
              </w:trPr>
              <w:tc>
                <w:tcPr>
                  <w:tcW w:w="502" w:type="dxa"/>
                  <w:vMerge w:val="continue"/>
                  <w:tcBorders>
                    <w:tl2br w:val="nil"/>
                    <w:tr2bl w:val="nil"/>
                  </w:tcBorders>
                  <w:shd w:val="clear" w:color="auto" w:fill="auto"/>
                  <w:vAlign w:val="center"/>
                </w:tcPr>
                <w:p w14:paraId="0F54C762">
                  <w:pPr>
                    <w:spacing w:line="240" w:lineRule="auto"/>
                    <w:jc w:val="center"/>
                    <w:rPr>
                      <w:rFonts w:hint="default" w:ascii="Times New Roman" w:hAnsi="Times New Roman" w:eastAsia="宋体" w:cs="Times New Roman"/>
                      <w:b/>
                      <w:bCs/>
                      <w:i w:val="0"/>
                      <w:iCs w:val="0"/>
                      <w:color w:val="auto"/>
                      <w:sz w:val="21"/>
                      <w:szCs w:val="21"/>
                      <w:u w:val="none"/>
                    </w:rPr>
                  </w:pPr>
                </w:p>
              </w:tc>
              <w:tc>
                <w:tcPr>
                  <w:tcW w:w="661" w:type="dxa"/>
                  <w:vMerge w:val="continue"/>
                  <w:tcBorders>
                    <w:tl2br w:val="nil"/>
                    <w:tr2bl w:val="nil"/>
                  </w:tcBorders>
                  <w:shd w:val="clear" w:color="auto" w:fill="auto"/>
                  <w:vAlign w:val="center"/>
                </w:tcPr>
                <w:p w14:paraId="44DD8FD9">
                  <w:pPr>
                    <w:spacing w:line="240" w:lineRule="auto"/>
                    <w:jc w:val="center"/>
                    <w:rPr>
                      <w:rFonts w:hint="default" w:ascii="Times New Roman" w:hAnsi="Times New Roman" w:eastAsia="宋体" w:cs="Times New Roman"/>
                      <w:b/>
                      <w:bCs/>
                      <w:i w:val="0"/>
                      <w:iCs w:val="0"/>
                      <w:color w:val="auto"/>
                      <w:sz w:val="21"/>
                      <w:szCs w:val="21"/>
                      <w:u w:val="none"/>
                    </w:rPr>
                  </w:pPr>
                </w:p>
              </w:tc>
              <w:tc>
                <w:tcPr>
                  <w:tcW w:w="835" w:type="dxa"/>
                  <w:vMerge w:val="continue"/>
                  <w:tcBorders>
                    <w:tl2br w:val="nil"/>
                    <w:tr2bl w:val="nil"/>
                  </w:tcBorders>
                  <w:shd w:val="clear" w:color="auto" w:fill="auto"/>
                  <w:vAlign w:val="center"/>
                </w:tcPr>
                <w:p w14:paraId="41FEA1F2">
                  <w:pPr>
                    <w:spacing w:line="240" w:lineRule="auto"/>
                    <w:jc w:val="center"/>
                    <w:rPr>
                      <w:rFonts w:hint="default" w:ascii="Times New Roman" w:hAnsi="Times New Roman" w:eastAsia="宋体" w:cs="Times New Roman"/>
                      <w:b/>
                      <w:bCs/>
                      <w:i w:val="0"/>
                      <w:iCs w:val="0"/>
                      <w:color w:val="auto"/>
                      <w:sz w:val="21"/>
                      <w:szCs w:val="21"/>
                      <w:u w:val="none"/>
                    </w:rPr>
                  </w:pPr>
                </w:p>
              </w:tc>
              <w:tc>
                <w:tcPr>
                  <w:tcW w:w="798" w:type="dxa"/>
                  <w:vMerge w:val="continue"/>
                  <w:tcBorders>
                    <w:tl2br w:val="nil"/>
                    <w:tr2bl w:val="nil"/>
                  </w:tcBorders>
                  <w:shd w:val="clear" w:color="auto" w:fill="auto"/>
                  <w:vAlign w:val="center"/>
                </w:tcPr>
                <w:p w14:paraId="2CC1495E">
                  <w:pPr>
                    <w:spacing w:line="240" w:lineRule="auto"/>
                    <w:jc w:val="center"/>
                    <w:rPr>
                      <w:rFonts w:hint="default" w:ascii="Times New Roman" w:hAnsi="Times New Roman" w:eastAsia="宋体" w:cs="Times New Roman"/>
                      <w:b/>
                      <w:bCs/>
                      <w:i w:val="0"/>
                      <w:iCs w:val="0"/>
                      <w:color w:val="auto"/>
                      <w:sz w:val="21"/>
                      <w:szCs w:val="21"/>
                      <w:u w:val="none"/>
                    </w:rPr>
                  </w:pPr>
                </w:p>
              </w:tc>
              <w:tc>
                <w:tcPr>
                  <w:tcW w:w="1054" w:type="dxa"/>
                  <w:vMerge w:val="continue"/>
                  <w:tcBorders>
                    <w:tl2br w:val="nil"/>
                    <w:tr2bl w:val="nil"/>
                  </w:tcBorders>
                  <w:shd w:val="clear" w:color="auto" w:fill="auto"/>
                  <w:vAlign w:val="center"/>
                </w:tcPr>
                <w:p w14:paraId="371B30ED">
                  <w:pPr>
                    <w:spacing w:line="240" w:lineRule="auto"/>
                    <w:jc w:val="center"/>
                    <w:rPr>
                      <w:rFonts w:hint="default" w:ascii="Times New Roman" w:hAnsi="Times New Roman" w:eastAsia="宋体" w:cs="Times New Roman"/>
                      <w:b/>
                      <w:bCs/>
                      <w:i w:val="0"/>
                      <w:iCs w:val="0"/>
                      <w:color w:val="auto"/>
                      <w:sz w:val="21"/>
                      <w:szCs w:val="21"/>
                      <w:u w:val="none"/>
                    </w:rPr>
                  </w:pPr>
                </w:p>
              </w:tc>
              <w:tc>
                <w:tcPr>
                  <w:tcW w:w="836" w:type="dxa"/>
                  <w:vMerge w:val="continue"/>
                  <w:tcBorders>
                    <w:tl2br w:val="nil"/>
                    <w:tr2bl w:val="nil"/>
                  </w:tcBorders>
                  <w:shd w:val="clear" w:color="auto" w:fill="auto"/>
                  <w:vAlign w:val="center"/>
                </w:tcPr>
                <w:p w14:paraId="332989C2">
                  <w:pPr>
                    <w:spacing w:line="240" w:lineRule="auto"/>
                    <w:jc w:val="center"/>
                    <w:rPr>
                      <w:rFonts w:hint="default" w:ascii="Times New Roman" w:hAnsi="Times New Roman" w:eastAsia="宋体" w:cs="Times New Roman"/>
                      <w:b/>
                      <w:bCs/>
                      <w:i w:val="0"/>
                      <w:iCs w:val="0"/>
                      <w:color w:val="auto"/>
                      <w:sz w:val="21"/>
                      <w:szCs w:val="21"/>
                      <w:u w:val="none"/>
                    </w:rPr>
                  </w:pPr>
                </w:p>
              </w:tc>
              <w:tc>
                <w:tcPr>
                  <w:tcW w:w="712" w:type="dxa"/>
                  <w:vMerge w:val="continue"/>
                  <w:tcBorders>
                    <w:tl2br w:val="nil"/>
                    <w:tr2bl w:val="nil"/>
                  </w:tcBorders>
                  <w:shd w:val="clear" w:color="auto" w:fill="auto"/>
                  <w:vAlign w:val="center"/>
                </w:tcPr>
                <w:p w14:paraId="0DB87CE2">
                  <w:pPr>
                    <w:spacing w:line="240" w:lineRule="auto"/>
                    <w:jc w:val="center"/>
                    <w:rPr>
                      <w:rFonts w:hint="default" w:ascii="Times New Roman" w:hAnsi="Times New Roman" w:eastAsia="宋体" w:cs="Times New Roman"/>
                      <w:b/>
                      <w:bCs/>
                      <w:i w:val="0"/>
                      <w:iCs w:val="0"/>
                      <w:color w:val="auto"/>
                      <w:sz w:val="21"/>
                      <w:szCs w:val="21"/>
                      <w:u w:val="none"/>
                    </w:rPr>
                  </w:pPr>
                </w:p>
              </w:tc>
              <w:tc>
                <w:tcPr>
                  <w:tcW w:w="1530" w:type="dxa"/>
                  <w:vMerge w:val="continue"/>
                  <w:tcBorders>
                    <w:tl2br w:val="nil"/>
                    <w:tr2bl w:val="nil"/>
                  </w:tcBorders>
                  <w:shd w:val="clear" w:color="auto" w:fill="auto"/>
                  <w:vAlign w:val="center"/>
                </w:tcPr>
                <w:p w14:paraId="6FA3C230">
                  <w:pPr>
                    <w:spacing w:line="240" w:lineRule="auto"/>
                    <w:jc w:val="center"/>
                    <w:rPr>
                      <w:rFonts w:hint="default" w:ascii="Times New Roman" w:hAnsi="Times New Roman" w:eastAsia="宋体" w:cs="Times New Roman"/>
                      <w:b/>
                      <w:bCs/>
                      <w:i w:val="0"/>
                      <w:iCs w:val="0"/>
                      <w:color w:val="auto"/>
                      <w:sz w:val="21"/>
                      <w:szCs w:val="21"/>
                      <w:u w:val="none"/>
                    </w:rPr>
                  </w:pPr>
                </w:p>
              </w:tc>
              <w:tc>
                <w:tcPr>
                  <w:tcW w:w="712" w:type="dxa"/>
                  <w:vMerge w:val="continue"/>
                  <w:tcBorders>
                    <w:tl2br w:val="nil"/>
                    <w:tr2bl w:val="nil"/>
                  </w:tcBorders>
                  <w:shd w:val="clear" w:color="auto" w:fill="auto"/>
                  <w:vAlign w:val="center"/>
                </w:tcPr>
                <w:p w14:paraId="652F95F9">
                  <w:pPr>
                    <w:spacing w:line="240" w:lineRule="auto"/>
                    <w:jc w:val="center"/>
                    <w:rPr>
                      <w:rFonts w:hint="default" w:ascii="Times New Roman" w:hAnsi="Times New Roman" w:eastAsia="宋体" w:cs="Times New Roman"/>
                      <w:b/>
                      <w:bCs/>
                      <w:i w:val="0"/>
                      <w:iCs w:val="0"/>
                      <w:color w:val="auto"/>
                      <w:sz w:val="21"/>
                      <w:szCs w:val="21"/>
                      <w:u w:val="none"/>
                    </w:rPr>
                  </w:pPr>
                </w:p>
              </w:tc>
              <w:tc>
                <w:tcPr>
                  <w:tcW w:w="2968" w:type="dxa"/>
                  <w:gridSpan w:val="3"/>
                  <w:vMerge w:val="continue"/>
                  <w:tcBorders>
                    <w:tl2br w:val="nil"/>
                    <w:tr2bl w:val="nil"/>
                  </w:tcBorders>
                  <w:shd w:val="clear" w:color="auto" w:fill="auto"/>
                  <w:vAlign w:val="center"/>
                </w:tcPr>
                <w:p w14:paraId="62F57E16">
                  <w:pPr>
                    <w:spacing w:line="240" w:lineRule="auto"/>
                    <w:jc w:val="center"/>
                    <w:rPr>
                      <w:rFonts w:hint="default" w:ascii="Times New Roman" w:hAnsi="Times New Roman" w:eastAsia="宋体" w:cs="Times New Roman"/>
                      <w:b/>
                      <w:bCs/>
                      <w:i w:val="0"/>
                      <w:iCs w:val="0"/>
                      <w:color w:val="auto"/>
                      <w:sz w:val="21"/>
                      <w:szCs w:val="21"/>
                      <w:u w:val="none"/>
                    </w:rPr>
                  </w:pPr>
                </w:p>
              </w:tc>
              <w:tc>
                <w:tcPr>
                  <w:tcW w:w="1675" w:type="dxa"/>
                  <w:gridSpan w:val="2"/>
                  <w:vMerge w:val="continue"/>
                  <w:tcBorders>
                    <w:tl2br w:val="nil"/>
                    <w:tr2bl w:val="nil"/>
                  </w:tcBorders>
                  <w:shd w:val="clear" w:color="auto" w:fill="auto"/>
                  <w:vAlign w:val="center"/>
                </w:tcPr>
                <w:p w14:paraId="38C5B911">
                  <w:pPr>
                    <w:spacing w:line="240" w:lineRule="auto"/>
                    <w:jc w:val="center"/>
                    <w:rPr>
                      <w:rFonts w:hint="default" w:ascii="Times New Roman" w:hAnsi="Times New Roman" w:eastAsia="宋体" w:cs="Times New Roman"/>
                      <w:b/>
                      <w:bCs/>
                      <w:i w:val="0"/>
                      <w:iCs w:val="0"/>
                      <w:color w:val="auto"/>
                      <w:sz w:val="21"/>
                      <w:szCs w:val="21"/>
                      <w:u w:val="none"/>
                    </w:rPr>
                  </w:pPr>
                </w:p>
              </w:tc>
              <w:tc>
                <w:tcPr>
                  <w:tcW w:w="726" w:type="dxa"/>
                  <w:vMerge w:val="continue"/>
                  <w:tcBorders>
                    <w:tl2br w:val="nil"/>
                    <w:tr2bl w:val="nil"/>
                  </w:tcBorders>
                  <w:shd w:val="clear" w:color="auto" w:fill="auto"/>
                  <w:vAlign w:val="center"/>
                </w:tcPr>
                <w:p w14:paraId="31C24339">
                  <w:pPr>
                    <w:spacing w:line="240" w:lineRule="auto"/>
                    <w:jc w:val="center"/>
                    <w:rPr>
                      <w:rFonts w:hint="default" w:ascii="Times New Roman" w:hAnsi="Times New Roman" w:eastAsia="宋体" w:cs="Times New Roman"/>
                      <w:b/>
                      <w:bCs/>
                      <w:i w:val="0"/>
                      <w:iCs w:val="0"/>
                      <w:color w:val="auto"/>
                      <w:sz w:val="21"/>
                      <w:szCs w:val="21"/>
                      <w:u w:val="none"/>
                    </w:rPr>
                  </w:pPr>
                </w:p>
              </w:tc>
            </w:tr>
            <w:tr w14:paraId="1E7BCAA0">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0" w:hRule="atLeast"/>
                <w:jc w:val="center"/>
              </w:trPr>
              <w:tc>
                <w:tcPr>
                  <w:tcW w:w="502" w:type="dxa"/>
                  <w:vMerge w:val="continue"/>
                  <w:tcBorders>
                    <w:tl2br w:val="nil"/>
                    <w:tr2bl w:val="nil"/>
                  </w:tcBorders>
                  <w:shd w:val="clear" w:color="auto" w:fill="auto"/>
                  <w:vAlign w:val="center"/>
                </w:tcPr>
                <w:p w14:paraId="7E279394">
                  <w:pPr>
                    <w:spacing w:line="240" w:lineRule="auto"/>
                    <w:jc w:val="center"/>
                    <w:rPr>
                      <w:rFonts w:hint="default" w:ascii="Times New Roman" w:hAnsi="Times New Roman" w:eastAsia="宋体" w:cs="Times New Roman"/>
                      <w:b/>
                      <w:bCs/>
                      <w:i w:val="0"/>
                      <w:iCs w:val="0"/>
                      <w:color w:val="auto"/>
                      <w:sz w:val="21"/>
                      <w:szCs w:val="21"/>
                      <w:u w:val="none"/>
                    </w:rPr>
                  </w:pPr>
                </w:p>
              </w:tc>
              <w:tc>
                <w:tcPr>
                  <w:tcW w:w="661" w:type="dxa"/>
                  <w:vMerge w:val="continue"/>
                  <w:tcBorders>
                    <w:tl2br w:val="nil"/>
                    <w:tr2bl w:val="nil"/>
                  </w:tcBorders>
                  <w:shd w:val="clear" w:color="auto" w:fill="auto"/>
                  <w:vAlign w:val="center"/>
                </w:tcPr>
                <w:p w14:paraId="6F8204A5">
                  <w:pPr>
                    <w:spacing w:line="240" w:lineRule="auto"/>
                    <w:jc w:val="center"/>
                    <w:rPr>
                      <w:rFonts w:hint="default" w:ascii="Times New Roman" w:hAnsi="Times New Roman" w:eastAsia="宋体" w:cs="Times New Roman"/>
                      <w:b/>
                      <w:bCs/>
                      <w:i w:val="0"/>
                      <w:iCs w:val="0"/>
                      <w:color w:val="auto"/>
                      <w:sz w:val="21"/>
                      <w:szCs w:val="21"/>
                      <w:u w:val="none"/>
                    </w:rPr>
                  </w:pPr>
                </w:p>
              </w:tc>
              <w:tc>
                <w:tcPr>
                  <w:tcW w:w="835" w:type="dxa"/>
                  <w:vMerge w:val="continue"/>
                  <w:tcBorders>
                    <w:tl2br w:val="nil"/>
                    <w:tr2bl w:val="nil"/>
                  </w:tcBorders>
                  <w:shd w:val="clear" w:color="auto" w:fill="auto"/>
                  <w:vAlign w:val="center"/>
                </w:tcPr>
                <w:p w14:paraId="652DFF54">
                  <w:pPr>
                    <w:spacing w:line="240" w:lineRule="auto"/>
                    <w:jc w:val="center"/>
                    <w:rPr>
                      <w:rFonts w:hint="default" w:ascii="Times New Roman" w:hAnsi="Times New Roman" w:eastAsia="宋体" w:cs="Times New Roman"/>
                      <w:b/>
                      <w:bCs/>
                      <w:i w:val="0"/>
                      <w:iCs w:val="0"/>
                      <w:color w:val="auto"/>
                      <w:sz w:val="21"/>
                      <w:szCs w:val="21"/>
                      <w:u w:val="none"/>
                    </w:rPr>
                  </w:pPr>
                </w:p>
              </w:tc>
              <w:tc>
                <w:tcPr>
                  <w:tcW w:w="798" w:type="dxa"/>
                  <w:vMerge w:val="continue"/>
                  <w:tcBorders>
                    <w:tl2br w:val="nil"/>
                    <w:tr2bl w:val="nil"/>
                  </w:tcBorders>
                  <w:shd w:val="clear" w:color="auto" w:fill="auto"/>
                  <w:vAlign w:val="center"/>
                </w:tcPr>
                <w:p w14:paraId="5CCFF2F6">
                  <w:pPr>
                    <w:spacing w:line="240" w:lineRule="auto"/>
                    <w:jc w:val="center"/>
                    <w:rPr>
                      <w:rFonts w:hint="default" w:ascii="Times New Roman" w:hAnsi="Times New Roman" w:eastAsia="宋体" w:cs="Times New Roman"/>
                      <w:b/>
                      <w:bCs/>
                      <w:i w:val="0"/>
                      <w:iCs w:val="0"/>
                      <w:color w:val="auto"/>
                      <w:sz w:val="21"/>
                      <w:szCs w:val="21"/>
                      <w:u w:val="none"/>
                    </w:rPr>
                  </w:pPr>
                </w:p>
              </w:tc>
              <w:tc>
                <w:tcPr>
                  <w:tcW w:w="1054" w:type="dxa"/>
                  <w:vMerge w:val="continue"/>
                  <w:tcBorders>
                    <w:tl2br w:val="nil"/>
                    <w:tr2bl w:val="nil"/>
                  </w:tcBorders>
                  <w:shd w:val="clear" w:color="auto" w:fill="auto"/>
                  <w:vAlign w:val="center"/>
                </w:tcPr>
                <w:p w14:paraId="7713A121">
                  <w:pPr>
                    <w:spacing w:line="240" w:lineRule="auto"/>
                    <w:jc w:val="center"/>
                    <w:rPr>
                      <w:rFonts w:hint="default" w:ascii="Times New Roman" w:hAnsi="Times New Roman" w:eastAsia="宋体" w:cs="Times New Roman"/>
                      <w:b/>
                      <w:bCs/>
                      <w:i w:val="0"/>
                      <w:iCs w:val="0"/>
                      <w:color w:val="auto"/>
                      <w:sz w:val="21"/>
                      <w:szCs w:val="21"/>
                      <w:u w:val="none"/>
                    </w:rPr>
                  </w:pPr>
                </w:p>
              </w:tc>
              <w:tc>
                <w:tcPr>
                  <w:tcW w:w="836" w:type="dxa"/>
                  <w:vMerge w:val="continue"/>
                  <w:tcBorders>
                    <w:tl2br w:val="nil"/>
                    <w:tr2bl w:val="nil"/>
                  </w:tcBorders>
                  <w:shd w:val="clear" w:color="auto" w:fill="auto"/>
                  <w:vAlign w:val="center"/>
                </w:tcPr>
                <w:p w14:paraId="6FAC3019">
                  <w:pPr>
                    <w:spacing w:line="240" w:lineRule="auto"/>
                    <w:jc w:val="center"/>
                    <w:rPr>
                      <w:rFonts w:hint="default" w:ascii="Times New Roman" w:hAnsi="Times New Roman" w:eastAsia="宋体" w:cs="Times New Roman"/>
                      <w:b/>
                      <w:bCs/>
                      <w:i w:val="0"/>
                      <w:iCs w:val="0"/>
                      <w:color w:val="auto"/>
                      <w:sz w:val="21"/>
                      <w:szCs w:val="21"/>
                      <w:u w:val="none"/>
                    </w:rPr>
                  </w:pPr>
                </w:p>
              </w:tc>
              <w:tc>
                <w:tcPr>
                  <w:tcW w:w="712" w:type="dxa"/>
                  <w:vMerge w:val="continue"/>
                  <w:tcBorders>
                    <w:tl2br w:val="nil"/>
                    <w:tr2bl w:val="nil"/>
                  </w:tcBorders>
                  <w:shd w:val="clear" w:color="auto" w:fill="auto"/>
                  <w:vAlign w:val="center"/>
                </w:tcPr>
                <w:p w14:paraId="0E7AB594">
                  <w:pPr>
                    <w:spacing w:line="240" w:lineRule="auto"/>
                    <w:jc w:val="center"/>
                    <w:rPr>
                      <w:rFonts w:hint="default" w:ascii="Times New Roman" w:hAnsi="Times New Roman" w:eastAsia="宋体" w:cs="Times New Roman"/>
                      <w:b/>
                      <w:bCs/>
                      <w:i w:val="0"/>
                      <w:iCs w:val="0"/>
                      <w:color w:val="auto"/>
                      <w:sz w:val="21"/>
                      <w:szCs w:val="21"/>
                      <w:u w:val="none"/>
                    </w:rPr>
                  </w:pPr>
                </w:p>
              </w:tc>
              <w:tc>
                <w:tcPr>
                  <w:tcW w:w="1530" w:type="dxa"/>
                  <w:vMerge w:val="continue"/>
                  <w:tcBorders>
                    <w:tl2br w:val="nil"/>
                    <w:tr2bl w:val="nil"/>
                  </w:tcBorders>
                  <w:shd w:val="clear" w:color="auto" w:fill="auto"/>
                  <w:vAlign w:val="center"/>
                </w:tcPr>
                <w:p w14:paraId="51ECC972">
                  <w:pPr>
                    <w:spacing w:line="240" w:lineRule="auto"/>
                    <w:jc w:val="center"/>
                    <w:rPr>
                      <w:rFonts w:hint="default" w:ascii="Times New Roman" w:hAnsi="Times New Roman" w:eastAsia="宋体" w:cs="Times New Roman"/>
                      <w:b/>
                      <w:bCs/>
                      <w:i w:val="0"/>
                      <w:iCs w:val="0"/>
                      <w:color w:val="auto"/>
                      <w:sz w:val="21"/>
                      <w:szCs w:val="21"/>
                      <w:u w:val="none"/>
                    </w:rPr>
                  </w:pPr>
                </w:p>
              </w:tc>
              <w:tc>
                <w:tcPr>
                  <w:tcW w:w="712" w:type="dxa"/>
                  <w:vMerge w:val="continue"/>
                  <w:tcBorders>
                    <w:tl2br w:val="nil"/>
                    <w:tr2bl w:val="nil"/>
                  </w:tcBorders>
                  <w:shd w:val="clear" w:color="auto" w:fill="auto"/>
                  <w:vAlign w:val="center"/>
                </w:tcPr>
                <w:p w14:paraId="18D43E82">
                  <w:pPr>
                    <w:spacing w:line="240" w:lineRule="auto"/>
                    <w:jc w:val="center"/>
                    <w:rPr>
                      <w:rFonts w:hint="default" w:ascii="Times New Roman" w:hAnsi="Times New Roman" w:eastAsia="宋体" w:cs="Times New Roman"/>
                      <w:b/>
                      <w:bCs/>
                      <w:i w:val="0"/>
                      <w:iCs w:val="0"/>
                      <w:color w:val="auto"/>
                      <w:sz w:val="21"/>
                      <w:szCs w:val="21"/>
                      <w:u w:val="none"/>
                    </w:rPr>
                  </w:pPr>
                </w:p>
              </w:tc>
              <w:tc>
                <w:tcPr>
                  <w:tcW w:w="905" w:type="dxa"/>
                  <w:tcBorders>
                    <w:tl2br w:val="nil"/>
                    <w:tr2bl w:val="nil"/>
                  </w:tcBorders>
                  <w:shd w:val="clear" w:color="auto" w:fill="auto"/>
                  <w:vAlign w:val="center"/>
                </w:tcPr>
                <w:p w14:paraId="11CCF404">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排放浓度</w:t>
                  </w:r>
                  <w:r>
                    <w:rPr>
                      <w:rFonts w:hint="default" w:ascii="Times New Roman" w:hAnsi="Times New Roman" w:eastAsia="宋体" w:cs="Times New Roman"/>
                      <w:b/>
                      <w:bCs/>
                      <w:i w:val="0"/>
                      <w:iCs w:val="0"/>
                      <w:color w:val="auto"/>
                      <w:kern w:val="0"/>
                      <w:sz w:val="21"/>
                      <w:szCs w:val="21"/>
                      <w:u w:val="none"/>
                      <w:lang w:val="en-US" w:eastAsia="zh-CN" w:bidi="ar"/>
                    </w:rPr>
                    <w:t>mg/m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p>
              </w:tc>
              <w:tc>
                <w:tcPr>
                  <w:tcW w:w="1054" w:type="dxa"/>
                  <w:tcBorders>
                    <w:tl2br w:val="nil"/>
                    <w:tr2bl w:val="nil"/>
                  </w:tcBorders>
                  <w:shd w:val="clear" w:color="auto" w:fill="auto"/>
                  <w:vAlign w:val="center"/>
                </w:tcPr>
                <w:p w14:paraId="0378C8D9">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排放速率</w:t>
                  </w:r>
                  <w:r>
                    <w:rPr>
                      <w:rFonts w:hint="default" w:ascii="Times New Roman" w:hAnsi="Times New Roman" w:eastAsia="宋体" w:cs="Times New Roman"/>
                      <w:b/>
                      <w:bCs/>
                      <w:i w:val="0"/>
                      <w:iCs w:val="0"/>
                      <w:color w:val="auto"/>
                      <w:kern w:val="0"/>
                      <w:sz w:val="21"/>
                      <w:szCs w:val="21"/>
                      <w:u w:val="none"/>
                      <w:lang w:val="en-US" w:eastAsia="zh-CN" w:bidi="ar"/>
                    </w:rPr>
                    <w:t>kg/h</w:t>
                  </w:r>
                </w:p>
              </w:tc>
              <w:tc>
                <w:tcPr>
                  <w:tcW w:w="1009" w:type="dxa"/>
                  <w:tcBorders>
                    <w:tl2br w:val="nil"/>
                    <w:tr2bl w:val="nil"/>
                  </w:tcBorders>
                  <w:shd w:val="clear" w:color="auto" w:fill="auto"/>
                  <w:vAlign w:val="center"/>
                </w:tcPr>
                <w:p w14:paraId="0F878C20">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排放量</w:t>
                  </w:r>
                  <w:r>
                    <w:rPr>
                      <w:rFonts w:hint="default" w:ascii="Times New Roman" w:hAnsi="Times New Roman" w:eastAsia="宋体" w:cs="Times New Roman"/>
                      <w:b/>
                      <w:bCs/>
                      <w:i w:val="0"/>
                      <w:iCs w:val="0"/>
                      <w:color w:val="auto"/>
                      <w:kern w:val="0"/>
                      <w:sz w:val="21"/>
                      <w:szCs w:val="21"/>
                      <w:u w:val="none"/>
                      <w:lang w:val="en-US" w:eastAsia="zh-CN" w:bidi="ar"/>
                    </w:rPr>
                    <w:t>t/a</w:t>
                  </w:r>
                </w:p>
              </w:tc>
              <w:tc>
                <w:tcPr>
                  <w:tcW w:w="720" w:type="dxa"/>
                  <w:tcBorders>
                    <w:tl2br w:val="nil"/>
                    <w:tr2bl w:val="nil"/>
                  </w:tcBorders>
                  <w:shd w:val="clear" w:color="auto" w:fill="auto"/>
                  <w:vAlign w:val="center"/>
                </w:tcPr>
                <w:p w14:paraId="7BDAA130">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排放速率</w:t>
                  </w:r>
                  <w:r>
                    <w:rPr>
                      <w:rFonts w:hint="default" w:ascii="Times New Roman" w:hAnsi="Times New Roman" w:eastAsia="宋体" w:cs="Times New Roman"/>
                      <w:b/>
                      <w:bCs/>
                      <w:i w:val="0"/>
                      <w:iCs w:val="0"/>
                      <w:color w:val="auto"/>
                      <w:kern w:val="0"/>
                      <w:sz w:val="21"/>
                      <w:szCs w:val="21"/>
                      <w:u w:val="none"/>
                      <w:lang w:val="en-US" w:eastAsia="zh-CN" w:bidi="ar"/>
                    </w:rPr>
                    <w:t>kg/h</w:t>
                  </w:r>
                </w:p>
              </w:tc>
              <w:tc>
                <w:tcPr>
                  <w:tcW w:w="955" w:type="dxa"/>
                  <w:tcBorders>
                    <w:tl2br w:val="nil"/>
                    <w:tr2bl w:val="nil"/>
                  </w:tcBorders>
                  <w:shd w:val="clear" w:color="auto" w:fill="auto"/>
                  <w:vAlign w:val="center"/>
                </w:tcPr>
                <w:p w14:paraId="2FFE6745">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排放浓度限值</w:t>
                  </w:r>
                  <w:r>
                    <w:rPr>
                      <w:rFonts w:hint="default" w:ascii="Times New Roman" w:hAnsi="Times New Roman" w:eastAsia="宋体" w:cs="Times New Roman"/>
                      <w:b/>
                      <w:bCs/>
                      <w:i w:val="0"/>
                      <w:iCs w:val="0"/>
                      <w:color w:val="auto"/>
                      <w:kern w:val="0"/>
                      <w:sz w:val="21"/>
                      <w:szCs w:val="21"/>
                      <w:u w:val="none"/>
                      <w:lang w:val="en-US" w:eastAsia="zh-CN" w:bidi="ar"/>
                    </w:rPr>
                    <w:t>mg/m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p>
              </w:tc>
              <w:tc>
                <w:tcPr>
                  <w:tcW w:w="726" w:type="dxa"/>
                  <w:vMerge w:val="continue"/>
                  <w:tcBorders>
                    <w:tl2br w:val="nil"/>
                    <w:tr2bl w:val="nil"/>
                  </w:tcBorders>
                  <w:shd w:val="clear" w:color="auto" w:fill="auto"/>
                  <w:vAlign w:val="center"/>
                </w:tcPr>
                <w:p w14:paraId="29CC043C">
                  <w:pPr>
                    <w:spacing w:line="240" w:lineRule="auto"/>
                    <w:jc w:val="center"/>
                    <w:rPr>
                      <w:rFonts w:hint="default" w:ascii="Times New Roman" w:hAnsi="Times New Roman" w:eastAsia="宋体" w:cs="Times New Roman"/>
                      <w:b/>
                      <w:bCs/>
                      <w:i w:val="0"/>
                      <w:iCs w:val="0"/>
                      <w:color w:val="auto"/>
                      <w:sz w:val="21"/>
                      <w:szCs w:val="21"/>
                      <w:u w:val="none"/>
                    </w:rPr>
                  </w:pPr>
                </w:p>
              </w:tc>
            </w:tr>
            <w:tr w14:paraId="63AC67D0">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0" w:hRule="atLeast"/>
                <w:jc w:val="center"/>
              </w:trPr>
              <w:tc>
                <w:tcPr>
                  <w:tcW w:w="502" w:type="dxa"/>
                  <w:vMerge w:val="restart"/>
                  <w:tcBorders>
                    <w:tl2br w:val="nil"/>
                    <w:tr2bl w:val="nil"/>
                  </w:tcBorders>
                  <w:shd w:val="clear" w:color="auto" w:fill="auto"/>
                  <w:vAlign w:val="center"/>
                </w:tcPr>
                <w:p w14:paraId="6E5E7D0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注塑废气</w:t>
                  </w:r>
                </w:p>
              </w:tc>
              <w:tc>
                <w:tcPr>
                  <w:tcW w:w="661" w:type="dxa"/>
                  <w:tcBorders>
                    <w:tl2br w:val="nil"/>
                    <w:tr2bl w:val="nil"/>
                  </w:tcBorders>
                  <w:shd w:val="clear" w:color="auto" w:fill="auto"/>
                  <w:vAlign w:val="center"/>
                </w:tcPr>
                <w:p w14:paraId="7A6B65E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835" w:type="dxa"/>
                  <w:tcBorders>
                    <w:tl2br w:val="nil"/>
                    <w:tr2bl w:val="nil"/>
                  </w:tcBorders>
                  <w:shd w:val="clear" w:color="auto" w:fill="auto"/>
                  <w:vAlign w:val="center"/>
                </w:tcPr>
                <w:p w14:paraId="41AE923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26000</w:t>
                  </w:r>
                </w:p>
              </w:tc>
              <w:tc>
                <w:tcPr>
                  <w:tcW w:w="798" w:type="dxa"/>
                  <w:tcBorders>
                    <w:tl2br w:val="nil"/>
                    <w:tr2bl w:val="nil"/>
                  </w:tcBorders>
                  <w:shd w:val="clear" w:color="auto" w:fill="auto"/>
                  <w:vAlign w:val="center"/>
                </w:tcPr>
                <w:p w14:paraId="7AB13AE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8.205</w:t>
                  </w:r>
                </w:p>
              </w:tc>
              <w:tc>
                <w:tcPr>
                  <w:tcW w:w="1054" w:type="dxa"/>
                  <w:tcBorders>
                    <w:tl2br w:val="nil"/>
                    <w:tr2bl w:val="nil"/>
                  </w:tcBorders>
                  <w:shd w:val="clear" w:color="auto" w:fill="auto"/>
                  <w:vAlign w:val="center"/>
                </w:tcPr>
                <w:p w14:paraId="0DF55B0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0.213</w:t>
                  </w:r>
                </w:p>
              </w:tc>
              <w:tc>
                <w:tcPr>
                  <w:tcW w:w="836" w:type="dxa"/>
                  <w:tcBorders>
                    <w:tl2br w:val="nil"/>
                    <w:tr2bl w:val="nil"/>
                  </w:tcBorders>
                  <w:shd w:val="clear" w:color="auto" w:fill="auto"/>
                  <w:vAlign w:val="center"/>
                </w:tcPr>
                <w:p w14:paraId="1B8736F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0.384</w:t>
                  </w:r>
                </w:p>
              </w:tc>
              <w:tc>
                <w:tcPr>
                  <w:tcW w:w="712" w:type="dxa"/>
                  <w:tcBorders>
                    <w:tl2br w:val="nil"/>
                    <w:tr2bl w:val="nil"/>
                  </w:tcBorders>
                  <w:shd w:val="clear" w:color="auto" w:fill="auto"/>
                  <w:vAlign w:val="center"/>
                </w:tcPr>
                <w:p w14:paraId="3905FD9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95</w:t>
                  </w:r>
                </w:p>
              </w:tc>
              <w:tc>
                <w:tcPr>
                  <w:tcW w:w="1530" w:type="dxa"/>
                  <w:vMerge w:val="restart"/>
                  <w:tcBorders>
                    <w:tl2br w:val="nil"/>
                    <w:tr2bl w:val="nil"/>
                  </w:tcBorders>
                  <w:shd w:val="clear" w:color="auto" w:fill="auto"/>
                  <w:vAlign w:val="center"/>
                </w:tcPr>
                <w:p w14:paraId="2970ACA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密闭收集进入二级活性炭TA001处理后由排气筒DA001达标排放</w:t>
                  </w:r>
                </w:p>
              </w:tc>
              <w:tc>
                <w:tcPr>
                  <w:tcW w:w="712" w:type="dxa"/>
                  <w:tcBorders>
                    <w:tl2br w:val="nil"/>
                    <w:tr2bl w:val="nil"/>
                  </w:tcBorders>
                  <w:shd w:val="clear" w:color="auto" w:fill="auto"/>
                  <w:vAlign w:val="center"/>
                </w:tcPr>
                <w:p w14:paraId="74E3091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905" w:type="dxa"/>
                  <w:tcBorders>
                    <w:tl2br w:val="nil"/>
                    <w:tr2bl w:val="nil"/>
                  </w:tcBorders>
                  <w:shd w:val="clear" w:color="auto" w:fill="auto"/>
                  <w:vAlign w:val="center"/>
                </w:tcPr>
                <w:p w14:paraId="2568C2B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0.779</w:t>
                  </w:r>
                </w:p>
              </w:tc>
              <w:tc>
                <w:tcPr>
                  <w:tcW w:w="1054" w:type="dxa"/>
                  <w:tcBorders>
                    <w:tl2br w:val="nil"/>
                    <w:tr2bl w:val="nil"/>
                  </w:tcBorders>
                  <w:shd w:val="clear" w:color="auto" w:fill="auto"/>
                  <w:vAlign w:val="center"/>
                </w:tcPr>
                <w:p w14:paraId="2FB071F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0.020</w:t>
                  </w:r>
                </w:p>
              </w:tc>
              <w:tc>
                <w:tcPr>
                  <w:tcW w:w="1009" w:type="dxa"/>
                  <w:tcBorders>
                    <w:tl2br w:val="nil"/>
                    <w:tr2bl w:val="nil"/>
                  </w:tcBorders>
                  <w:shd w:val="clear" w:color="auto" w:fill="auto"/>
                  <w:vAlign w:val="center"/>
                </w:tcPr>
                <w:p w14:paraId="602FF2D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0.036</w:t>
                  </w:r>
                </w:p>
              </w:tc>
              <w:tc>
                <w:tcPr>
                  <w:tcW w:w="720" w:type="dxa"/>
                  <w:tcBorders>
                    <w:tl2br w:val="nil"/>
                    <w:tr2bl w:val="nil"/>
                  </w:tcBorders>
                  <w:shd w:val="clear" w:color="auto" w:fill="auto"/>
                  <w:vAlign w:val="center"/>
                </w:tcPr>
                <w:p w14:paraId="7520F0B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w:t>
                  </w:r>
                </w:p>
              </w:tc>
              <w:tc>
                <w:tcPr>
                  <w:tcW w:w="955" w:type="dxa"/>
                  <w:tcBorders>
                    <w:tl2br w:val="nil"/>
                    <w:tr2bl w:val="nil"/>
                  </w:tcBorders>
                  <w:shd w:val="clear" w:color="auto" w:fill="auto"/>
                  <w:vAlign w:val="center"/>
                </w:tcPr>
                <w:p w14:paraId="07369B4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w:t>
                  </w:r>
                </w:p>
              </w:tc>
              <w:tc>
                <w:tcPr>
                  <w:tcW w:w="726" w:type="dxa"/>
                  <w:vMerge w:val="restart"/>
                  <w:tcBorders>
                    <w:tl2br w:val="nil"/>
                    <w:tr2bl w:val="nil"/>
                  </w:tcBorders>
                  <w:shd w:val="clear" w:color="auto" w:fill="auto"/>
                  <w:vAlign w:val="center"/>
                </w:tcPr>
                <w:p w14:paraId="3621849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cs="Times New Roman"/>
                      <w:i w:val="0"/>
                      <w:iCs w:val="0"/>
                      <w:color w:val="auto"/>
                      <w:kern w:val="0"/>
                      <w:sz w:val="21"/>
                      <w:szCs w:val="21"/>
                      <w:u w:val="none"/>
                      <w:lang w:val="en-US" w:eastAsia="zh-CN" w:bidi="ar"/>
                    </w:rPr>
                    <w:t>8</w:t>
                  </w:r>
                  <w:r>
                    <w:rPr>
                      <w:rFonts w:hint="default" w:ascii="Times New Roman" w:hAnsi="Times New Roman" w:eastAsia="宋体" w:cs="Times New Roman"/>
                      <w:i w:val="0"/>
                      <w:iCs w:val="0"/>
                      <w:color w:val="auto"/>
                      <w:kern w:val="0"/>
                      <w:sz w:val="21"/>
                      <w:szCs w:val="21"/>
                      <w:u w:val="none"/>
                      <w:lang w:val="en-US" w:eastAsia="zh-CN" w:bidi="ar"/>
                    </w:rPr>
                    <w:t>00</w:t>
                  </w:r>
                </w:p>
              </w:tc>
            </w:tr>
            <w:tr w14:paraId="46839759">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0" w:hRule="atLeast"/>
                <w:jc w:val="center"/>
              </w:trPr>
              <w:tc>
                <w:tcPr>
                  <w:tcW w:w="502" w:type="dxa"/>
                  <w:vMerge w:val="continue"/>
                  <w:tcBorders>
                    <w:tl2br w:val="nil"/>
                    <w:tr2bl w:val="nil"/>
                  </w:tcBorders>
                  <w:shd w:val="clear" w:color="auto" w:fill="auto"/>
                  <w:vAlign w:val="center"/>
                </w:tcPr>
                <w:p w14:paraId="31D60ED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p>
              </w:tc>
              <w:tc>
                <w:tcPr>
                  <w:tcW w:w="661" w:type="dxa"/>
                  <w:tcBorders>
                    <w:tl2br w:val="nil"/>
                    <w:tr2bl w:val="nil"/>
                  </w:tcBorders>
                  <w:shd w:val="clear" w:color="auto" w:fill="auto"/>
                  <w:vAlign w:val="center"/>
                </w:tcPr>
                <w:p w14:paraId="2C4A545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苯乙烯</w:t>
                  </w:r>
                </w:p>
              </w:tc>
              <w:tc>
                <w:tcPr>
                  <w:tcW w:w="835" w:type="dxa"/>
                  <w:tcBorders>
                    <w:tl2br w:val="nil"/>
                    <w:tr2bl w:val="nil"/>
                  </w:tcBorders>
                  <w:shd w:val="clear" w:color="auto" w:fill="auto"/>
                  <w:vAlign w:val="center"/>
                </w:tcPr>
                <w:p w14:paraId="08DD8AC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26000</w:t>
                  </w:r>
                </w:p>
              </w:tc>
              <w:tc>
                <w:tcPr>
                  <w:tcW w:w="798" w:type="dxa"/>
                  <w:tcBorders>
                    <w:tl2br w:val="nil"/>
                    <w:tr2bl w:val="nil"/>
                  </w:tcBorders>
                  <w:shd w:val="clear" w:color="auto" w:fill="auto"/>
                  <w:vAlign w:val="center"/>
                </w:tcPr>
                <w:p w14:paraId="53B6804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0.021</w:t>
                  </w:r>
                </w:p>
              </w:tc>
              <w:tc>
                <w:tcPr>
                  <w:tcW w:w="1054" w:type="dxa"/>
                  <w:tcBorders>
                    <w:tl2br w:val="nil"/>
                    <w:tr2bl w:val="nil"/>
                  </w:tcBorders>
                  <w:shd w:val="clear" w:color="auto" w:fill="auto"/>
                  <w:vAlign w:val="center"/>
                </w:tcPr>
                <w:p w14:paraId="345E8CC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5.56</w:t>
                  </w:r>
                  <w:r>
                    <w:rPr>
                      <w:rFonts w:hint="eastAsia"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836" w:type="dxa"/>
                  <w:tcBorders>
                    <w:tl2br w:val="nil"/>
                    <w:tr2bl w:val="nil"/>
                  </w:tcBorders>
                  <w:shd w:val="clear" w:color="auto" w:fill="auto"/>
                  <w:vAlign w:val="center"/>
                </w:tcPr>
                <w:p w14:paraId="720F2A9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712" w:type="dxa"/>
                  <w:tcBorders>
                    <w:tl2br w:val="nil"/>
                    <w:tr2bl w:val="nil"/>
                  </w:tcBorders>
                  <w:shd w:val="clear" w:color="auto" w:fill="auto"/>
                  <w:vAlign w:val="center"/>
                </w:tcPr>
                <w:p w14:paraId="337F5DD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95</w:t>
                  </w:r>
                </w:p>
              </w:tc>
              <w:tc>
                <w:tcPr>
                  <w:tcW w:w="1530" w:type="dxa"/>
                  <w:vMerge w:val="continue"/>
                  <w:tcBorders>
                    <w:tl2br w:val="nil"/>
                    <w:tr2bl w:val="nil"/>
                  </w:tcBorders>
                  <w:shd w:val="clear" w:color="auto" w:fill="auto"/>
                  <w:vAlign w:val="center"/>
                </w:tcPr>
                <w:p w14:paraId="4740AB22">
                  <w:pPr>
                    <w:spacing w:line="240" w:lineRule="auto"/>
                    <w:jc w:val="center"/>
                    <w:rPr>
                      <w:rFonts w:hint="default" w:ascii="Times New Roman" w:hAnsi="Times New Roman" w:eastAsia="宋体" w:cs="Times New Roman"/>
                      <w:i w:val="0"/>
                      <w:iCs w:val="0"/>
                      <w:color w:val="auto"/>
                      <w:sz w:val="21"/>
                      <w:szCs w:val="21"/>
                      <w:u w:val="none"/>
                    </w:rPr>
                  </w:pPr>
                </w:p>
              </w:tc>
              <w:tc>
                <w:tcPr>
                  <w:tcW w:w="712" w:type="dxa"/>
                  <w:tcBorders>
                    <w:tl2br w:val="nil"/>
                    <w:tr2bl w:val="nil"/>
                  </w:tcBorders>
                  <w:shd w:val="clear" w:color="auto" w:fill="auto"/>
                  <w:vAlign w:val="center"/>
                </w:tcPr>
                <w:p w14:paraId="0F70BEC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905" w:type="dxa"/>
                  <w:tcBorders>
                    <w:tl2br w:val="nil"/>
                    <w:tr2bl w:val="nil"/>
                  </w:tcBorders>
                  <w:shd w:val="clear" w:color="auto" w:fill="auto"/>
                  <w:vAlign w:val="center"/>
                </w:tcPr>
                <w:p w14:paraId="02D9740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1054" w:type="dxa"/>
                  <w:tcBorders>
                    <w:tl2br w:val="nil"/>
                    <w:tr2bl w:val="nil"/>
                  </w:tcBorders>
                  <w:shd w:val="clear" w:color="auto" w:fill="auto"/>
                  <w:vAlign w:val="center"/>
                </w:tcPr>
                <w:p w14:paraId="670B2AE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5.28</w:t>
                  </w:r>
                  <w:r>
                    <w:rPr>
                      <w:rFonts w:hint="eastAsia"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cs="Times New Roman"/>
                      <w:i w:val="0"/>
                      <w:iCs w:val="0"/>
                      <w:color w:val="auto"/>
                      <w:kern w:val="0"/>
                      <w:sz w:val="21"/>
                      <w:szCs w:val="21"/>
                      <w:u w:val="none"/>
                      <w:vertAlign w:val="superscript"/>
                      <w:lang w:val="en-US" w:eastAsia="zh-CN" w:bidi="ar"/>
                    </w:rPr>
                    <w:t>5</w:t>
                  </w:r>
                </w:p>
              </w:tc>
              <w:tc>
                <w:tcPr>
                  <w:tcW w:w="1009" w:type="dxa"/>
                  <w:tcBorders>
                    <w:tl2br w:val="nil"/>
                    <w:tr2bl w:val="nil"/>
                  </w:tcBorders>
                  <w:shd w:val="clear" w:color="auto" w:fill="auto"/>
                  <w:vAlign w:val="center"/>
                </w:tcPr>
                <w:p w14:paraId="1F92974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9.50</w:t>
                  </w:r>
                  <w:r>
                    <w:rPr>
                      <w:rFonts w:hint="eastAsia"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cs="Times New Roman"/>
                      <w:i w:val="0"/>
                      <w:iCs w:val="0"/>
                      <w:color w:val="auto"/>
                      <w:kern w:val="0"/>
                      <w:sz w:val="21"/>
                      <w:szCs w:val="21"/>
                      <w:u w:val="none"/>
                      <w:vertAlign w:val="superscript"/>
                      <w:lang w:val="en-US" w:eastAsia="zh-CN" w:bidi="ar"/>
                    </w:rPr>
                    <w:t>5</w:t>
                  </w:r>
                </w:p>
              </w:tc>
              <w:tc>
                <w:tcPr>
                  <w:tcW w:w="720" w:type="dxa"/>
                  <w:tcBorders>
                    <w:tl2br w:val="nil"/>
                    <w:tr2bl w:val="nil"/>
                  </w:tcBorders>
                  <w:shd w:val="clear" w:color="auto" w:fill="auto"/>
                  <w:vAlign w:val="center"/>
                </w:tcPr>
                <w:p w14:paraId="35875BE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955" w:type="dxa"/>
                  <w:tcBorders>
                    <w:tl2br w:val="nil"/>
                    <w:tr2bl w:val="nil"/>
                  </w:tcBorders>
                  <w:shd w:val="clear" w:color="auto" w:fill="auto"/>
                  <w:vAlign w:val="center"/>
                </w:tcPr>
                <w:p w14:paraId="1FE1438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726" w:type="dxa"/>
                  <w:vMerge w:val="continue"/>
                  <w:tcBorders>
                    <w:tl2br w:val="nil"/>
                    <w:tr2bl w:val="nil"/>
                  </w:tcBorders>
                  <w:shd w:val="clear" w:color="auto" w:fill="auto"/>
                  <w:vAlign w:val="center"/>
                </w:tcPr>
                <w:p w14:paraId="0669E05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eastAsia="zh-CN"/>
                    </w:rPr>
                  </w:pPr>
                </w:p>
              </w:tc>
            </w:tr>
            <w:tr w14:paraId="392B3129">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0" w:hRule="atLeast"/>
                <w:jc w:val="center"/>
              </w:trPr>
              <w:tc>
                <w:tcPr>
                  <w:tcW w:w="502" w:type="dxa"/>
                  <w:vMerge w:val="continue"/>
                  <w:tcBorders>
                    <w:tl2br w:val="nil"/>
                    <w:tr2bl w:val="nil"/>
                  </w:tcBorders>
                  <w:shd w:val="clear" w:color="auto" w:fill="auto"/>
                  <w:vAlign w:val="center"/>
                </w:tcPr>
                <w:p w14:paraId="3C4F3B31">
                  <w:pPr>
                    <w:keepNext w:val="0"/>
                    <w:keepLines w:val="0"/>
                    <w:widowControl/>
                    <w:suppressLineNumbers w:val="0"/>
                    <w:spacing w:line="240" w:lineRule="auto"/>
                    <w:jc w:val="center"/>
                    <w:textAlignment w:val="center"/>
                    <w:rPr>
                      <w:rStyle w:val="104"/>
                      <w:rFonts w:hint="default" w:ascii="Times New Roman" w:hAnsi="Times New Roman" w:eastAsia="宋体"/>
                      <w:color w:val="auto"/>
                      <w:sz w:val="21"/>
                      <w:szCs w:val="21"/>
                      <w:lang w:val="en-US" w:eastAsia="zh-CN" w:bidi="ar"/>
                    </w:rPr>
                  </w:pPr>
                </w:p>
              </w:tc>
              <w:tc>
                <w:tcPr>
                  <w:tcW w:w="661" w:type="dxa"/>
                  <w:tcBorders>
                    <w:tl2br w:val="nil"/>
                    <w:tr2bl w:val="nil"/>
                  </w:tcBorders>
                  <w:shd w:val="clear" w:color="auto" w:fill="auto"/>
                  <w:vAlign w:val="center"/>
                </w:tcPr>
                <w:p w14:paraId="402FE15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丙烯腈</w:t>
                  </w:r>
                </w:p>
              </w:tc>
              <w:tc>
                <w:tcPr>
                  <w:tcW w:w="835" w:type="dxa"/>
                  <w:tcBorders>
                    <w:tl2br w:val="nil"/>
                    <w:tr2bl w:val="nil"/>
                  </w:tcBorders>
                  <w:shd w:val="clear" w:color="auto" w:fill="auto"/>
                  <w:vAlign w:val="center"/>
                </w:tcPr>
                <w:p w14:paraId="67B77F8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26000</w:t>
                  </w:r>
                </w:p>
              </w:tc>
              <w:tc>
                <w:tcPr>
                  <w:tcW w:w="798" w:type="dxa"/>
                  <w:tcBorders>
                    <w:tl2br w:val="nil"/>
                    <w:tr2bl w:val="nil"/>
                  </w:tcBorders>
                  <w:shd w:val="clear" w:color="auto" w:fill="auto"/>
                  <w:vAlign w:val="center"/>
                </w:tcPr>
                <w:p w14:paraId="764A781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0.009</w:t>
                  </w:r>
                </w:p>
              </w:tc>
              <w:tc>
                <w:tcPr>
                  <w:tcW w:w="1054" w:type="dxa"/>
                  <w:tcBorders>
                    <w:tl2br w:val="nil"/>
                    <w:tr2bl w:val="nil"/>
                  </w:tcBorders>
                  <w:shd w:val="clear" w:color="auto" w:fill="auto"/>
                  <w:vAlign w:val="center"/>
                </w:tcPr>
                <w:p w14:paraId="3823868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2.22</w:t>
                  </w:r>
                  <w:r>
                    <w:rPr>
                      <w:rFonts w:hint="eastAsia"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836" w:type="dxa"/>
                  <w:tcBorders>
                    <w:tl2br w:val="nil"/>
                    <w:tr2bl w:val="nil"/>
                  </w:tcBorders>
                  <w:shd w:val="clear" w:color="auto" w:fill="auto"/>
                  <w:vAlign w:val="center"/>
                </w:tcPr>
                <w:p w14:paraId="3A2C824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0.0004</w:t>
                  </w:r>
                </w:p>
              </w:tc>
              <w:tc>
                <w:tcPr>
                  <w:tcW w:w="712" w:type="dxa"/>
                  <w:tcBorders>
                    <w:tl2br w:val="nil"/>
                    <w:tr2bl w:val="nil"/>
                  </w:tcBorders>
                  <w:shd w:val="clear" w:color="auto" w:fill="auto"/>
                  <w:vAlign w:val="center"/>
                </w:tcPr>
                <w:p w14:paraId="688A74B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95</w:t>
                  </w:r>
                </w:p>
              </w:tc>
              <w:tc>
                <w:tcPr>
                  <w:tcW w:w="1530" w:type="dxa"/>
                  <w:vMerge w:val="continue"/>
                  <w:tcBorders>
                    <w:tl2br w:val="nil"/>
                    <w:tr2bl w:val="nil"/>
                  </w:tcBorders>
                  <w:shd w:val="clear" w:color="auto" w:fill="auto"/>
                  <w:vAlign w:val="center"/>
                </w:tcPr>
                <w:p w14:paraId="72D7E7B7">
                  <w:pPr>
                    <w:spacing w:line="240" w:lineRule="auto"/>
                    <w:jc w:val="center"/>
                    <w:rPr>
                      <w:rFonts w:hint="default" w:ascii="Times New Roman" w:hAnsi="Times New Roman" w:eastAsia="宋体" w:cs="Times New Roman"/>
                      <w:i w:val="0"/>
                      <w:iCs w:val="0"/>
                      <w:color w:val="auto"/>
                      <w:sz w:val="21"/>
                      <w:szCs w:val="21"/>
                      <w:u w:val="none"/>
                    </w:rPr>
                  </w:pPr>
                </w:p>
              </w:tc>
              <w:tc>
                <w:tcPr>
                  <w:tcW w:w="712" w:type="dxa"/>
                  <w:tcBorders>
                    <w:tl2br w:val="nil"/>
                    <w:tr2bl w:val="nil"/>
                  </w:tcBorders>
                  <w:shd w:val="clear" w:color="auto" w:fill="auto"/>
                  <w:vAlign w:val="center"/>
                </w:tcPr>
                <w:p w14:paraId="1653DFC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905" w:type="dxa"/>
                  <w:tcBorders>
                    <w:tl2br w:val="nil"/>
                    <w:tr2bl w:val="nil"/>
                  </w:tcBorders>
                  <w:shd w:val="clear" w:color="auto" w:fill="auto"/>
                  <w:vAlign w:val="center"/>
                </w:tcPr>
                <w:p w14:paraId="67D465D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1054" w:type="dxa"/>
                  <w:tcBorders>
                    <w:tl2br w:val="nil"/>
                    <w:tr2bl w:val="nil"/>
                  </w:tcBorders>
                  <w:shd w:val="clear" w:color="auto" w:fill="auto"/>
                  <w:vAlign w:val="center"/>
                </w:tcPr>
                <w:p w14:paraId="48A7F77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2.11</w:t>
                  </w:r>
                  <w:r>
                    <w:rPr>
                      <w:rFonts w:hint="eastAsia"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cs="Times New Roman"/>
                      <w:i w:val="0"/>
                      <w:iCs w:val="0"/>
                      <w:color w:val="auto"/>
                      <w:kern w:val="0"/>
                      <w:sz w:val="21"/>
                      <w:szCs w:val="21"/>
                      <w:u w:val="none"/>
                      <w:vertAlign w:val="superscript"/>
                      <w:lang w:val="en-US" w:eastAsia="zh-CN" w:bidi="ar"/>
                    </w:rPr>
                    <w:t>5</w:t>
                  </w:r>
                </w:p>
              </w:tc>
              <w:tc>
                <w:tcPr>
                  <w:tcW w:w="1009" w:type="dxa"/>
                  <w:tcBorders>
                    <w:tl2br w:val="nil"/>
                    <w:tr2bl w:val="nil"/>
                  </w:tcBorders>
                  <w:shd w:val="clear" w:color="auto" w:fill="auto"/>
                  <w:vAlign w:val="center"/>
                </w:tcPr>
                <w:p w14:paraId="3828E6F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3.80</w:t>
                  </w:r>
                  <w:r>
                    <w:rPr>
                      <w:rFonts w:hint="eastAsia"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cs="Times New Roman"/>
                      <w:i w:val="0"/>
                      <w:iCs w:val="0"/>
                      <w:color w:val="auto"/>
                      <w:kern w:val="0"/>
                      <w:sz w:val="21"/>
                      <w:szCs w:val="21"/>
                      <w:u w:val="none"/>
                      <w:vertAlign w:val="superscript"/>
                      <w:lang w:val="en-US" w:eastAsia="zh-CN" w:bidi="ar"/>
                    </w:rPr>
                    <w:t>5</w:t>
                  </w:r>
                </w:p>
              </w:tc>
              <w:tc>
                <w:tcPr>
                  <w:tcW w:w="720" w:type="dxa"/>
                  <w:tcBorders>
                    <w:tl2br w:val="nil"/>
                    <w:tr2bl w:val="nil"/>
                  </w:tcBorders>
                  <w:shd w:val="clear" w:color="auto" w:fill="auto"/>
                  <w:vAlign w:val="center"/>
                </w:tcPr>
                <w:p w14:paraId="58C1723D">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w:t>
                  </w:r>
                </w:p>
              </w:tc>
              <w:tc>
                <w:tcPr>
                  <w:tcW w:w="955" w:type="dxa"/>
                  <w:tcBorders>
                    <w:tl2br w:val="nil"/>
                    <w:tr2bl w:val="nil"/>
                  </w:tcBorders>
                  <w:shd w:val="clear" w:color="auto" w:fill="auto"/>
                  <w:vAlign w:val="center"/>
                </w:tcPr>
                <w:p w14:paraId="61F173CF">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726" w:type="dxa"/>
                  <w:vMerge w:val="continue"/>
                  <w:tcBorders>
                    <w:tl2br w:val="nil"/>
                    <w:tr2bl w:val="nil"/>
                  </w:tcBorders>
                  <w:shd w:val="clear" w:color="auto" w:fill="auto"/>
                  <w:vAlign w:val="center"/>
                </w:tcPr>
                <w:p w14:paraId="3EADA83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eastAsia="zh-CN"/>
                    </w:rPr>
                  </w:pPr>
                </w:p>
              </w:tc>
            </w:tr>
            <w:tr w14:paraId="3E43EA75">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0" w:hRule="atLeast"/>
                <w:jc w:val="center"/>
              </w:trPr>
              <w:tc>
                <w:tcPr>
                  <w:tcW w:w="502" w:type="dxa"/>
                  <w:vMerge w:val="continue"/>
                  <w:tcBorders>
                    <w:tl2br w:val="nil"/>
                    <w:tr2bl w:val="nil"/>
                  </w:tcBorders>
                  <w:shd w:val="clear" w:color="auto" w:fill="auto"/>
                  <w:vAlign w:val="center"/>
                </w:tcPr>
                <w:p w14:paraId="1F4E521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p>
              </w:tc>
              <w:tc>
                <w:tcPr>
                  <w:tcW w:w="661" w:type="dxa"/>
                  <w:tcBorders>
                    <w:tl2br w:val="nil"/>
                    <w:tr2bl w:val="nil"/>
                  </w:tcBorders>
                  <w:shd w:val="clear" w:color="auto" w:fill="auto"/>
                  <w:vAlign w:val="center"/>
                </w:tcPr>
                <w:p w14:paraId="6FBDCF1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乙苯</w:t>
                  </w:r>
                </w:p>
              </w:tc>
              <w:tc>
                <w:tcPr>
                  <w:tcW w:w="835" w:type="dxa"/>
                  <w:tcBorders>
                    <w:tl2br w:val="nil"/>
                    <w:tr2bl w:val="nil"/>
                  </w:tcBorders>
                  <w:shd w:val="clear" w:color="auto" w:fill="auto"/>
                  <w:vAlign w:val="center"/>
                </w:tcPr>
                <w:p w14:paraId="0ED842E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26000</w:t>
                  </w:r>
                </w:p>
              </w:tc>
              <w:tc>
                <w:tcPr>
                  <w:tcW w:w="798" w:type="dxa"/>
                  <w:tcBorders>
                    <w:tl2br w:val="nil"/>
                    <w:tr2bl w:val="nil"/>
                  </w:tcBorders>
                  <w:shd w:val="clear" w:color="auto" w:fill="auto"/>
                  <w:vAlign w:val="center"/>
                </w:tcPr>
                <w:p w14:paraId="3CAF4BD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0.013</w:t>
                  </w:r>
                </w:p>
              </w:tc>
              <w:tc>
                <w:tcPr>
                  <w:tcW w:w="1054" w:type="dxa"/>
                  <w:tcBorders>
                    <w:tl2br w:val="nil"/>
                    <w:tr2bl w:val="nil"/>
                  </w:tcBorders>
                  <w:shd w:val="clear" w:color="auto" w:fill="auto"/>
                  <w:vAlign w:val="center"/>
                </w:tcPr>
                <w:p w14:paraId="745469F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3.33</w:t>
                  </w:r>
                  <w:r>
                    <w:rPr>
                      <w:rFonts w:hint="eastAsia"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836" w:type="dxa"/>
                  <w:tcBorders>
                    <w:tl2br w:val="nil"/>
                    <w:tr2bl w:val="nil"/>
                  </w:tcBorders>
                  <w:shd w:val="clear" w:color="auto" w:fill="auto"/>
                  <w:vAlign w:val="center"/>
                </w:tcPr>
                <w:p w14:paraId="24D7E04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0.0006</w:t>
                  </w:r>
                </w:p>
              </w:tc>
              <w:tc>
                <w:tcPr>
                  <w:tcW w:w="712" w:type="dxa"/>
                  <w:tcBorders>
                    <w:tl2br w:val="nil"/>
                    <w:tr2bl w:val="nil"/>
                  </w:tcBorders>
                  <w:shd w:val="clear" w:color="auto" w:fill="auto"/>
                  <w:vAlign w:val="center"/>
                </w:tcPr>
                <w:p w14:paraId="1E9DD45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95</w:t>
                  </w:r>
                </w:p>
              </w:tc>
              <w:tc>
                <w:tcPr>
                  <w:tcW w:w="1530" w:type="dxa"/>
                  <w:vMerge w:val="continue"/>
                  <w:tcBorders>
                    <w:tl2br w:val="nil"/>
                    <w:tr2bl w:val="nil"/>
                  </w:tcBorders>
                  <w:shd w:val="clear" w:color="auto" w:fill="auto"/>
                  <w:vAlign w:val="center"/>
                </w:tcPr>
                <w:p w14:paraId="4CCAEA17">
                  <w:pPr>
                    <w:spacing w:line="240" w:lineRule="auto"/>
                    <w:jc w:val="center"/>
                    <w:rPr>
                      <w:rFonts w:hint="default" w:ascii="Times New Roman" w:hAnsi="Times New Roman" w:eastAsia="宋体" w:cs="Times New Roman"/>
                      <w:i w:val="0"/>
                      <w:iCs w:val="0"/>
                      <w:color w:val="auto"/>
                      <w:sz w:val="21"/>
                      <w:szCs w:val="21"/>
                      <w:u w:val="none"/>
                    </w:rPr>
                  </w:pPr>
                </w:p>
              </w:tc>
              <w:tc>
                <w:tcPr>
                  <w:tcW w:w="712" w:type="dxa"/>
                  <w:tcBorders>
                    <w:tl2br w:val="nil"/>
                    <w:tr2bl w:val="nil"/>
                  </w:tcBorders>
                  <w:shd w:val="clear" w:color="auto" w:fill="auto"/>
                  <w:vAlign w:val="center"/>
                </w:tcPr>
                <w:p w14:paraId="4D4D361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905" w:type="dxa"/>
                  <w:tcBorders>
                    <w:tl2br w:val="nil"/>
                    <w:tr2bl w:val="nil"/>
                  </w:tcBorders>
                  <w:shd w:val="clear" w:color="auto" w:fill="auto"/>
                  <w:vAlign w:val="center"/>
                </w:tcPr>
                <w:p w14:paraId="38BFCEC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1054" w:type="dxa"/>
                  <w:tcBorders>
                    <w:tl2br w:val="nil"/>
                    <w:tr2bl w:val="nil"/>
                  </w:tcBorders>
                  <w:shd w:val="clear" w:color="auto" w:fill="auto"/>
                  <w:vAlign w:val="center"/>
                </w:tcPr>
                <w:p w14:paraId="616FE1E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3.17</w:t>
                  </w:r>
                  <w:r>
                    <w:rPr>
                      <w:rFonts w:hint="eastAsia"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cs="Times New Roman"/>
                      <w:i w:val="0"/>
                      <w:iCs w:val="0"/>
                      <w:color w:val="auto"/>
                      <w:kern w:val="0"/>
                      <w:sz w:val="21"/>
                      <w:szCs w:val="21"/>
                      <w:u w:val="none"/>
                      <w:vertAlign w:val="superscript"/>
                      <w:lang w:val="en-US" w:eastAsia="zh-CN" w:bidi="ar"/>
                    </w:rPr>
                    <w:t>5</w:t>
                  </w:r>
                </w:p>
              </w:tc>
              <w:tc>
                <w:tcPr>
                  <w:tcW w:w="1009" w:type="dxa"/>
                  <w:tcBorders>
                    <w:tl2br w:val="nil"/>
                    <w:tr2bl w:val="nil"/>
                  </w:tcBorders>
                  <w:shd w:val="clear" w:color="auto" w:fill="auto"/>
                  <w:vAlign w:val="center"/>
                </w:tcPr>
                <w:p w14:paraId="166016D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5.70</w:t>
                  </w:r>
                  <w:r>
                    <w:rPr>
                      <w:rFonts w:hint="eastAsia"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cs="Times New Roman"/>
                      <w:i w:val="0"/>
                      <w:iCs w:val="0"/>
                      <w:color w:val="auto"/>
                      <w:kern w:val="0"/>
                      <w:sz w:val="21"/>
                      <w:szCs w:val="21"/>
                      <w:u w:val="none"/>
                      <w:vertAlign w:val="superscript"/>
                      <w:lang w:val="en-US" w:eastAsia="zh-CN" w:bidi="ar"/>
                    </w:rPr>
                    <w:t>5</w:t>
                  </w:r>
                </w:p>
              </w:tc>
              <w:tc>
                <w:tcPr>
                  <w:tcW w:w="720" w:type="dxa"/>
                  <w:tcBorders>
                    <w:tl2br w:val="nil"/>
                    <w:tr2bl w:val="nil"/>
                  </w:tcBorders>
                  <w:shd w:val="clear" w:color="auto" w:fill="auto"/>
                  <w:vAlign w:val="center"/>
                </w:tcPr>
                <w:p w14:paraId="1010FD6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w:t>
                  </w:r>
                </w:p>
              </w:tc>
              <w:tc>
                <w:tcPr>
                  <w:tcW w:w="955" w:type="dxa"/>
                  <w:tcBorders>
                    <w:tl2br w:val="nil"/>
                    <w:tr2bl w:val="nil"/>
                  </w:tcBorders>
                  <w:shd w:val="clear" w:color="auto" w:fill="auto"/>
                  <w:vAlign w:val="center"/>
                </w:tcPr>
                <w:p w14:paraId="3C6981C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726" w:type="dxa"/>
                  <w:vMerge w:val="continue"/>
                  <w:tcBorders>
                    <w:tl2br w:val="nil"/>
                    <w:tr2bl w:val="nil"/>
                  </w:tcBorders>
                  <w:shd w:val="clear" w:color="auto" w:fill="auto"/>
                  <w:vAlign w:val="center"/>
                </w:tcPr>
                <w:p w14:paraId="63A3F38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rPr>
                  </w:pPr>
                </w:p>
              </w:tc>
            </w:tr>
            <w:tr w14:paraId="552902D9">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0" w:hRule="atLeast"/>
                <w:jc w:val="center"/>
              </w:trPr>
              <w:tc>
                <w:tcPr>
                  <w:tcW w:w="502" w:type="dxa"/>
                  <w:tcBorders>
                    <w:tl2br w:val="nil"/>
                    <w:tr2bl w:val="nil"/>
                  </w:tcBorders>
                  <w:shd w:val="clear" w:color="auto" w:fill="auto"/>
                  <w:vAlign w:val="center"/>
                </w:tcPr>
                <w:p w14:paraId="1455CF6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rPr>
                  </w:pPr>
                  <w:r>
                    <w:rPr>
                      <w:rStyle w:val="104"/>
                      <w:rFonts w:hint="eastAsia" w:ascii="Times New Roman" w:hAnsi="Times New Roman"/>
                      <w:color w:val="auto"/>
                      <w:sz w:val="21"/>
                      <w:szCs w:val="21"/>
                      <w:lang w:val="en-US" w:eastAsia="zh-CN" w:bidi="ar"/>
                    </w:rPr>
                    <w:t>破碎粉尘</w:t>
                  </w:r>
                </w:p>
              </w:tc>
              <w:tc>
                <w:tcPr>
                  <w:tcW w:w="661" w:type="dxa"/>
                  <w:tcBorders>
                    <w:tl2br w:val="nil"/>
                    <w:tr2bl w:val="nil"/>
                  </w:tcBorders>
                  <w:shd w:val="clear" w:color="auto" w:fill="auto"/>
                  <w:vAlign w:val="center"/>
                </w:tcPr>
                <w:p w14:paraId="5B19391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835" w:type="dxa"/>
                  <w:tcBorders>
                    <w:tl2br w:val="nil"/>
                    <w:tr2bl w:val="nil"/>
                  </w:tcBorders>
                  <w:shd w:val="clear" w:color="auto" w:fill="auto"/>
                  <w:vAlign w:val="center"/>
                </w:tcPr>
                <w:p w14:paraId="05CB6A1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4500</w:t>
                  </w:r>
                </w:p>
              </w:tc>
              <w:tc>
                <w:tcPr>
                  <w:tcW w:w="798" w:type="dxa"/>
                  <w:tcBorders>
                    <w:tl2br w:val="nil"/>
                    <w:tr2bl w:val="nil"/>
                  </w:tcBorders>
                  <w:shd w:val="clear" w:color="auto" w:fill="auto"/>
                  <w:vAlign w:val="center"/>
                </w:tcPr>
                <w:p w14:paraId="03D9542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4.074</w:t>
                  </w:r>
                </w:p>
              </w:tc>
              <w:tc>
                <w:tcPr>
                  <w:tcW w:w="1054" w:type="dxa"/>
                  <w:tcBorders>
                    <w:tl2br w:val="nil"/>
                    <w:tr2bl w:val="nil"/>
                  </w:tcBorders>
                  <w:shd w:val="clear" w:color="auto" w:fill="auto"/>
                  <w:vAlign w:val="center"/>
                </w:tcPr>
                <w:p w14:paraId="7D08D70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0.018</w:t>
                  </w:r>
                </w:p>
              </w:tc>
              <w:tc>
                <w:tcPr>
                  <w:tcW w:w="836" w:type="dxa"/>
                  <w:tcBorders>
                    <w:tl2br w:val="nil"/>
                    <w:tr2bl w:val="nil"/>
                  </w:tcBorders>
                  <w:shd w:val="clear" w:color="auto" w:fill="auto"/>
                  <w:vAlign w:val="center"/>
                </w:tcPr>
                <w:p w14:paraId="6DC9330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0.0011</w:t>
                  </w:r>
                </w:p>
              </w:tc>
              <w:tc>
                <w:tcPr>
                  <w:tcW w:w="712" w:type="dxa"/>
                  <w:tcBorders>
                    <w:tl2br w:val="nil"/>
                    <w:tr2bl w:val="nil"/>
                  </w:tcBorders>
                  <w:shd w:val="clear" w:color="auto" w:fill="auto"/>
                  <w:vAlign w:val="center"/>
                </w:tcPr>
                <w:p w14:paraId="79F590D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1530" w:type="dxa"/>
                  <w:tcBorders>
                    <w:tl2br w:val="nil"/>
                    <w:tr2bl w:val="nil"/>
                  </w:tcBorders>
                  <w:shd w:val="clear" w:color="auto" w:fill="auto"/>
                  <w:vAlign w:val="center"/>
                </w:tcPr>
                <w:p w14:paraId="6BFEDEF5">
                  <w:pPr>
                    <w:spacing w:line="240" w:lineRule="auto"/>
                    <w:jc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集气罩收集后进入布袋除尘器TA002处理后用排气筒DA002达标排放</w:t>
                  </w:r>
                </w:p>
              </w:tc>
              <w:tc>
                <w:tcPr>
                  <w:tcW w:w="712" w:type="dxa"/>
                  <w:tcBorders>
                    <w:tl2br w:val="nil"/>
                    <w:tr2bl w:val="nil"/>
                  </w:tcBorders>
                  <w:shd w:val="clear" w:color="auto" w:fill="auto"/>
                  <w:vAlign w:val="center"/>
                </w:tcPr>
                <w:p w14:paraId="51B8634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99</w:t>
                  </w:r>
                </w:p>
              </w:tc>
              <w:tc>
                <w:tcPr>
                  <w:tcW w:w="905" w:type="dxa"/>
                  <w:tcBorders>
                    <w:tl2br w:val="nil"/>
                    <w:tr2bl w:val="nil"/>
                  </w:tcBorders>
                  <w:shd w:val="clear" w:color="auto" w:fill="auto"/>
                  <w:vAlign w:val="center"/>
                </w:tcPr>
                <w:p w14:paraId="151EA27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0.037</w:t>
                  </w:r>
                </w:p>
              </w:tc>
              <w:tc>
                <w:tcPr>
                  <w:tcW w:w="1054" w:type="dxa"/>
                  <w:tcBorders>
                    <w:tl2br w:val="nil"/>
                    <w:tr2bl w:val="nil"/>
                  </w:tcBorders>
                  <w:shd w:val="clear" w:color="auto" w:fill="auto"/>
                  <w:vAlign w:val="center"/>
                </w:tcPr>
                <w:p w14:paraId="651E9C0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1.65</w:t>
                  </w:r>
                  <w:r>
                    <w:rPr>
                      <w:rFonts w:hint="eastAsia"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cs="Times New Roman"/>
                      <w:i w:val="0"/>
                      <w:iCs w:val="0"/>
                      <w:color w:val="auto"/>
                      <w:kern w:val="0"/>
                      <w:sz w:val="21"/>
                      <w:szCs w:val="21"/>
                      <w:u w:val="none"/>
                      <w:vertAlign w:val="superscript"/>
                      <w:lang w:val="en-US" w:eastAsia="zh-CN" w:bidi="ar"/>
                    </w:rPr>
                    <w:t>5</w:t>
                  </w:r>
                </w:p>
              </w:tc>
              <w:tc>
                <w:tcPr>
                  <w:tcW w:w="1009" w:type="dxa"/>
                  <w:tcBorders>
                    <w:tl2br w:val="nil"/>
                    <w:tr2bl w:val="nil"/>
                  </w:tcBorders>
                  <w:shd w:val="clear" w:color="auto" w:fill="auto"/>
                  <w:vAlign w:val="center"/>
                </w:tcPr>
                <w:p w14:paraId="336226E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9.90</w:t>
                  </w:r>
                  <w:r>
                    <w:rPr>
                      <w:rFonts w:hint="eastAsia"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cs="Times New Roman"/>
                      <w:i w:val="0"/>
                      <w:iCs w:val="0"/>
                      <w:color w:val="auto"/>
                      <w:kern w:val="0"/>
                      <w:sz w:val="21"/>
                      <w:szCs w:val="21"/>
                      <w:u w:val="none"/>
                      <w:vertAlign w:val="superscript"/>
                      <w:lang w:val="en-US" w:eastAsia="zh-CN" w:bidi="ar"/>
                    </w:rPr>
                    <w:t>6</w:t>
                  </w:r>
                </w:p>
              </w:tc>
              <w:tc>
                <w:tcPr>
                  <w:tcW w:w="720" w:type="dxa"/>
                  <w:tcBorders>
                    <w:tl2br w:val="nil"/>
                    <w:tr2bl w:val="nil"/>
                  </w:tcBorders>
                  <w:shd w:val="clear" w:color="auto" w:fill="auto"/>
                  <w:vAlign w:val="center"/>
                </w:tcPr>
                <w:p w14:paraId="6C28C57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w:t>
                  </w:r>
                </w:p>
              </w:tc>
              <w:tc>
                <w:tcPr>
                  <w:tcW w:w="955" w:type="dxa"/>
                  <w:tcBorders>
                    <w:tl2br w:val="nil"/>
                    <w:tr2bl w:val="nil"/>
                  </w:tcBorders>
                  <w:shd w:val="clear" w:color="auto" w:fill="auto"/>
                  <w:vAlign w:val="center"/>
                </w:tcPr>
                <w:p w14:paraId="21037CC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20</w:t>
                  </w:r>
                </w:p>
              </w:tc>
              <w:tc>
                <w:tcPr>
                  <w:tcW w:w="726" w:type="dxa"/>
                  <w:tcBorders>
                    <w:tl2br w:val="nil"/>
                    <w:tr2bl w:val="nil"/>
                  </w:tcBorders>
                  <w:shd w:val="clear" w:color="auto" w:fill="auto"/>
                  <w:vAlign w:val="center"/>
                </w:tcPr>
                <w:p w14:paraId="03AA5FF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60</w:t>
                  </w:r>
                </w:p>
              </w:tc>
            </w:tr>
          </w:tbl>
          <w:p w14:paraId="6C9FEA87">
            <w:pPr>
              <w:pStyle w:val="63"/>
              <w:keepNext/>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eastAsia="宋体"/>
                <w:b w:val="0"/>
                <w:bCs/>
                <w:color w:val="auto"/>
                <w:sz w:val="24"/>
                <w:szCs w:val="24"/>
                <w:lang w:val="en-US" w:eastAsia="zh-CN"/>
              </w:rPr>
            </w:pPr>
            <w:r>
              <w:rPr>
                <w:rFonts w:hint="eastAsia"/>
                <w:b w:val="0"/>
                <w:bCs/>
                <w:color w:val="auto"/>
                <w:sz w:val="24"/>
                <w:szCs w:val="24"/>
                <w:lang w:val="en-US" w:eastAsia="zh-CN"/>
              </w:rPr>
              <w:t>无组织废气污染源强如下：</w:t>
            </w:r>
          </w:p>
          <w:p w14:paraId="1A20A7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表</w:t>
            </w:r>
            <w:r>
              <w:rPr>
                <w:rFonts w:hint="eastAsia"/>
                <w:b/>
                <w:bCs/>
                <w:color w:val="auto"/>
                <w:sz w:val="21"/>
                <w:szCs w:val="21"/>
                <w:highlight w:val="none"/>
                <w:lang w:val="en-US" w:eastAsia="zh-CN"/>
              </w:rPr>
              <w:t>4-2</w:t>
            </w:r>
            <w:r>
              <w:rPr>
                <w:rFonts w:hint="default" w:ascii="Times New Roman" w:hAnsi="Times New Roman" w:eastAsia="宋体"/>
                <w:b/>
                <w:bCs/>
                <w:color w:val="auto"/>
                <w:sz w:val="21"/>
                <w:szCs w:val="21"/>
                <w:highlight w:val="none"/>
              </w:rPr>
              <w:t xml:space="preserve"> </w:t>
            </w:r>
            <w:r>
              <w:rPr>
                <w:rFonts w:hint="eastAsia"/>
                <w:b/>
                <w:bCs/>
                <w:color w:val="auto"/>
                <w:sz w:val="21"/>
                <w:szCs w:val="21"/>
                <w:highlight w:val="none"/>
                <w:lang w:val="en-US" w:eastAsia="zh-CN"/>
              </w:rPr>
              <w:t xml:space="preserve"> </w:t>
            </w:r>
            <w:r>
              <w:rPr>
                <w:rFonts w:hint="default" w:ascii="Times New Roman" w:hAnsi="Times New Roman" w:eastAsia="宋体"/>
                <w:b/>
                <w:bCs/>
                <w:color w:val="auto"/>
                <w:sz w:val="21"/>
                <w:szCs w:val="21"/>
                <w:highlight w:val="none"/>
              </w:rPr>
              <w:t>项目无组织排放大气污染物情况一览表</w:t>
            </w:r>
          </w:p>
          <w:tbl>
            <w:tblPr>
              <w:tblStyle w:val="29"/>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445"/>
              <w:gridCol w:w="1255"/>
              <w:gridCol w:w="1375"/>
              <w:gridCol w:w="1883"/>
              <w:gridCol w:w="2151"/>
              <w:gridCol w:w="1349"/>
              <w:gridCol w:w="1398"/>
              <w:gridCol w:w="1490"/>
            </w:tblGrid>
            <w:tr w14:paraId="27703F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 w:type="pct"/>
                  <w:noWrap w:val="0"/>
                  <w:vAlign w:val="center"/>
                </w:tcPr>
                <w:p w14:paraId="6EE5630E">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1"/>
                      <w:szCs w:val="21"/>
                    </w:rPr>
                  </w:pPr>
                  <w:r>
                    <w:rPr>
                      <w:b/>
                      <w:bCs/>
                      <w:color w:val="auto"/>
                      <w:sz w:val="21"/>
                      <w:szCs w:val="21"/>
                    </w:rPr>
                    <w:t>编号</w:t>
                  </w:r>
                </w:p>
              </w:tc>
              <w:tc>
                <w:tcPr>
                  <w:tcW w:w="555" w:type="pct"/>
                  <w:noWrap w:val="0"/>
                  <w:vAlign w:val="center"/>
                </w:tcPr>
                <w:p w14:paraId="0E408534">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1"/>
                      <w:szCs w:val="21"/>
                    </w:rPr>
                  </w:pPr>
                  <w:r>
                    <w:rPr>
                      <w:b/>
                      <w:bCs/>
                      <w:color w:val="auto"/>
                      <w:sz w:val="21"/>
                      <w:szCs w:val="21"/>
                    </w:rPr>
                    <w:t>污染源位置</w:t>
                  </w:r>
                </w:p>
              </w:tc>
              <w:tc>
                <w:tcPr>
                  <w:tcW w:w="482" w:type="pct"/>
                  <w:noWrap w:val="0"/>
                  <w:vAlign w:val="center"/>
                </w:tcPr>
                <w:p w14:paraId="5D17611A">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1"/>
                      <w:szCs w:val="21"/>
                    </w:rPr>
                  </w:pPr>
                  <w:r>
                    <w:rPr>
                      <w:b/>
                      <w:bCs/>
                      <w:color w:val="auto"/>
                      <w:sz w:val="21"/>
                      <w:szCs w:val="21"/>
                    </w:rPr>
                    <w:t>污染工序</w:t>
                  </w:r>
                </w:p>
              </w:tc>
              <w:tc>
                <w:tcPr>
                  <w:tcW w:w="528" w:type="pct"/>
                  <w:noWrap w:val="0"/>
                  <w:vAlign w:val="center"/>
                </w:tcPr>
                <w:p w14:paraId="31507D0F">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1"/>
                      <w:szCs w:val="21"/>
                    </w:rPr>
                  </w:pPr>
                  <w:r>
                    <w:rPr>
                      <w:b/>
                      <w:bCs/>
                      <w:color w:val="auto"/>
                      <w:sz w:val="21"/>
                      <w:szCs w:val="21"/>
                    </w:rPr>
                    <w:t>污染物名称</w:t>
                  </w:r>
                </w:p>
              </w:tc>
              <w:tc>
                <w:tcPr>
                  <w:tcW w:w="723" w:type="pct"/>
                  <w:noWrap w:val="0"/>
                  <w:vAlign w:val="center"/>
                </w:tcPr>
                <w:p w14:paraId="4CCD248F">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1"/>
                      <w:szCs w:val="21"/>
                    </w:rPr>
                  </w:pPr>
                  <w:r>
                    <w:rPr>
                      <w:b/>
                      <w:bCs/>
                      <w:color w:val="auto"/>
                      <w:sz w:val="21"/>
                      <w:szCs w:val="21"/>
                    </w:rPr>
                    <w:t>污染源排放量（</w:t>
                  </w:r>
                  <w:r>
                    <w:rPr>
                      <w:rFonts w:hint="eastAsia"/>
                      <w:b/>
                      <w:bCs/>
                      <w:color w:val="auto"/>
                      <w:sz w:val="21"/>
                      <w:szCs w:val="21"/>
                      <w:lang w:val="en-US" w:eastAsia="zh-CN"/>
                    </w:rPr>
                    <w:t>t</w:t>
                  </w:r>
                  <w:r>
                    <w:rPr>
                      <w:b/>
                      <w:bCs/>
                      <w:color w:val="auto"/>
                      <w:sz w:val="21"/>
                      <w:szCs w:val="21"/>
                    </w:rPr>
                    <w:t>/a）</w:t>
                  </w:r>
                </w:p>
              </w:tc>
              <w:tc>
                <w:tcPr>
                  <w:tcW w:w="826" w:type="pct"/>
                  <w:noWrap w:val="0"/>
                  <w:vAlign w:val="center"/>
                </w:tcPr>
                <w:p w14:paraId="2ED51CEA">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1"/>
                      <w:szCs w:val="21"/>
                    </w:rPr>
                  </w:pPr>
                  <w:r>
                    <w:rPr>
                      <w:rFonts w:hint="eastAsia"/>
                      <w:b/>
                      <w:bCs/>
                      <w:color w:val="auto"/>
                      <w:sz w:val="21"/>
                      <w:szCs w:val="21"/>
                    </w:rPr>
                    <w:t>排放速率/浓度（kg/h）</w:t>
                  </w:r>
                </w:p>
              </w:tc>
              <w:tc>
                <w:tcPr>
                  <w:tcW w:w="518" w:type="pct"/>
                  <w:noWrap w:val="0"/>
                  <w:vAlign w:val="center"/>
                </w:tcPr>
                <w:p w14:paraId="62EE307B">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1"/>
                      <w:szCs w:val="21"/>
                    </w:rPr>
                  </w:pPr>
                  <w:r>
                    <w:rPr>
                      <w:b/>
                      <w:bCs/>
                      <w:color w:val="auto"/>
                      <w:sz w:val="21"/>
                      <w:szCs w:val="21"/>
                    </w:rPr>
                    <w:t>面源</w:t>
                  </w:r>
                  <w:r>
                    <w:rPr>
                      <w:rFonts w:hint="eastAsia"/>
                      <w:b/>
                      <w:bCs/>
                      <w:color w:val="auto"/>
                      <w:sz w:val="21"/>
                      <w:szCs w:val="21"/>
                    </w:rPr>
                    <w:t>长</w:t>
                  </w:r>
                  <w:r>
                    <w:rPr>
                      <w:b/>
                      <w:bCs/>
                      <w:color w:val="auto"/>
                      <w:sz w:val="21"/>
                      <w:szCs w:val="21"/>
                    </w:rPr>
                    <w:t>度（m）</w:t>
                  </w:r>
                </w:p>
              </w:tc>
              <w:tc>
                <w:tcPr>
                  <w:tcW w:w="537" w:type="pct"/>
                  <w:noWrap w:val="0"/>
                  <w:vAlign w:val="center"/>
                </w:tcPr>
                <w:p w14:paraId="4AF67FCA">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1"/>
                      <w:szCs w:val="21"/>
                    </w:rPr>
                  </w:pPr>
                  <w:r>
                    <w:rPr>
                      <w:b/>
                      <w:bCs/>
                      <w:color w:val="auto"/>
                      <w:sz w:val="21"/>
                      <w:szCs w:val="21"/>
                    </w:rPr>
                    <w:t>面源</w:t>
                  </w:r>
                  <w:r>
                    <w:rPr>
                      <w:rFonts w:hint="eastAsia"/>
                      <w:b/>
                      <w:bCs/>
                      <w:color w:val="auto"/>
                      <w:sz w:val="21"/>
                      <w:szCs w:val="21"/>
                    </w:rPr>
                    <w:t>宽</w:t>
                  </w:r>
                  <w:r>
                    <w:rPr>
                      <w:b/>
                      <w:bCs/>
                      <w:color w:val="auto"/>
                      <w:sz w:val="21"/>
                      <w:szCs w:val="21"/>
                    </w:rPr>
                    <w:t>度（m）</w:t>
                  </w:r>
                </w:p>
              </w:tc>
              <w:tc>
                <w:tcPr>
                  <w:tcW w:w="572" w:type="pct"/>
                  <w:noWrap w:val="0"/>
                  <w:vAlign w:val="center"/>
                </w:tcPr>
                <w:p w14:paraId="46288E49">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1"/>
                      <w:szCs w:val="21"/>
                    </w:rPr>
                  </w:pPr>
                  <w:r>
                    <w:rPr>
                      <w:b/>
                      <w:bCs/>
                      <w:color w:val="auto"/>
                      <w:sz w:val="21"/>
                      <w:szCs w:val="21"/>
                    </w:rPr>
                    <w:t>面源高度（m）</w:t>
                  </w:r>
                </w:p>
              </w:tc>
            </w:tr>
            <w:tr w14:paraId="02CF1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 w:type="pct"/>
                  <w:vMerge w:val="restart"/>
                  <w:noWrap w:val="0"/>
                  <w:vAlign w:val="center"/>
                </w:tcPr>
                <w:p w14:paraId="00CBA111">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b w:val="0"/>
                      <w:bCs w:val="0"/>
                      <w:color w:val="auto"/>
                      <w:sz w:val="21"/>
                      <w:szCs w:val="21"/>
                      <w:lang w:val="en-US" w:eastAsia="zh-CN"/>
                    </w:rPr>
                  </w:pPr>
                  <w:r>
                    <w:rPr>
                      <w:rFonts w:hint="eastAsia"/>
                      <w:b w:val="0"/>
                      <w:bCs w:val="0"/>
                      <w:color w:val="auto"/>
                      <w:sz w:val="21"/>
                      <w:szCs w:val="21"/>
                      <w:lang w:val="en-US" w:eastAsia="zh-CN"/>
                    </w:rPr>
                    <w:t>1</w:t>
                  </w:r>
                </w:p>
              </w:tc>
              <w:tc>
                <w:tcPr>
                  <w:tcW w:w="555" w:type="pct"/>
                  <w:vMerge w:val="restart"/>
                  <w:noWrap w:val="0"/>
                  <w:vAlign w:val="center"/>
                </w:tcPr>
                <w:p w14:paraId="611CFAB7">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b w:val="0"/>
                      <w:bCs w:val="0"/>
                      <w:color w:val="auto"/>
                      <w:sz w:val="21"/>
                      <w:szCs w:val="21"/>
                      <w:lang w:val="en-US" w:eastAsia="zh-CN"/>
                    </w:rPr>
                  </w:pPr>
                  <w:r>
                    <w:rPr>
                      <w:rFonts w:hint="eastAsia"/>
                      <w:b w:val="0"/>
                      <w:bCs w:val="0"/>
                      <w:color w:val="auto"/>
                      <w:sz w:val="21"/>
                      <w:szCs w:val="21"/>
                      <w:lang w:val="en-US" w:eastAsia="zh-CN"/>
                    </w:rPr>
                    <w:t>生产车间</w:t>
                  </w:r>
                </w:p>
              </w:tc>
              <w:tc>
                <w:tcPr>
                  <w:tcW w:w="482" w:type="pct"/>
                  <w:vMerge w:val="restart"/>
                  <w:noWrap w:val="0"/>
                  <w:vAlign w:val="center"/>
                </w:tcPr>
                <w:p w14:paraId="3BA7BA65">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b w:val="0"/>
                      <w:bCs w:val="0"/>
                      <w:color w:val="auto"/>
                      <w:sz w:val="21"/>
                      <w:szCs w:val="21"/>
                      <w:lang w:val="en-US" w:eastAsia="zh-CN"/>
                    </w:rPr>
                  </w:pPr>
                  <w:r>
                    <w:rPr>
                      <w:rFonts w:hint="eastAsia"/>
                      <w:b w:val="0"/>
                      <w:bCs w:val="0"/>
                      <w:color w:val="auto"/>
                      <w:sz w:val="21"/>
                      <w:szCs w:val="21"/>
                      <w:lang w:val="en-US" w:eastAsia="zh-CN"/>
                    </w:rPr>
                    <w:t>注塑</w:t>
                  </w:r>
                </w:p>
              </w:tc>
              <w:tc>
                <w:tcPr>
                  <w:tcW w:w="528" w:type="pct"/>
                  <w:noWrap w:val="0"/>
                  <w:vAlign w:val="center"/>
                </w:tcPr>
                <w:p w14:paraId="628FAC4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非甲烷总烃</w:t>
                  </w:r>
                </w:p>
              </w:tc>
              <w:tc>
                <w:tcPr>
                  <w:tcW w:w="723" w:type="pct"/>
                  <w:noWrap w:val="0"/>
                  <w:vAlign w:val="center"/>
                </w:tcPr>
                <w:p w14:paraId="57216756">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b w:val="0"/>
                      <w:bCs w:val="0"/>
                      <w:color w:val="auto"/>
                      <w:sz w:val="21"/>
                      <w:szCs w:val="21"/>
                      <w:lang w:val="en-US" w:eastAsia="zh-CN"/>
                    </w:rPr>
                  </w:pPr>
                  <w:r>
                    <w:rPr>
                      <w:rFonts w:hint="eastAsia"/>
                      <w:b w:val="0"/>
                      <w:bCs w:val="0"/>
                      <w:color w:val="auto"/>
                      <w:sz w:val="21"/>
                      <w:szCs w:val="21"/>
                      <w:lang w:val="en-US" w:eastAsia="zh-CN"/>
                    </w:rPr>
                    <w:t>0.0192</w:t>
                  </w:r>
                </w:p>
              </w:tc>
              <w:tc>
                <w:tcPr>
                  <w:tcW w:w="826" w:type="pct"/>
                  <w:noWrap w:val="0"/>
                  <w:vAlign w:val="center"/>
                </w:tcPr>
                <w:p w14:paraId="650082D4">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0.011</w:t>
                  </w:r>
                </w:p>
              </w:tc>
              <w:tc>
                <w:tcPr>
                  <w:tcW w:w="518" w:type="pct"/>
                  <w:vMerge w:val="restart"/>
                  <w:noWrap w:val="0"/>
                  <w:vAlign w:val="center"/>
                </w:tcPr>
                <w:p w14:paraId="6C02703B">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b w:val="0"/>
                      <w:bCs w:val="0"/>
                      <w:color w:val="auto"/>
                      <w:sz w:val="21"/>
                      <w:szCs w:val="21"/>
                      <w:lang w:val="en-US" w:eastAsia="zh-CN"/>
                    </w:rPr>
                  </w:pPr>
                  <w:r>
                    <w:rPr>
                      <w:rFonts w:hint="eastAsia"/>
                      <w:b w:val="0"/>
                      <w:bCs w:val="0"/>
                      <w:color w:val="auto"/>
                      <w:sz w:val="21"/>
                      <w:szCs w:val="21"/>
                      <w:lang w:val="en-US" w:eastAsia="zh-CN"/>
                    </w:rPr>
                    <w:t>58.8</w:t>
                  </w:r>
                </w:p>
              </w:tc>
              <w:tc>
                <w:tcPr>
                  <w:tcW w:w="537" w:type="pct"/>
                  <w:vMerge w:val="restart"/>
                  <w:noWrap w:val="0"/>
                  <w:vAlign w:val="center"/>
                </w:tcPr>
                <w:p w14:paraId="622D873C">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b w:val="0"/>
                      <w:bCs w:val="0"/>
                      <w:color w:val="auto"/>
                      <w:sz w:val="21"/>
                      <w:szCs w:val="21"/>
                      <w:lang w:val="en-US" w:eastAsia="zh-CN"/>
                    </w:rPr>
                  </w:pPr>
                  <w:r>
                    <w:rPr>
                      <w:rFonts w:hint="eastAsia"/>
                      <w:b w:val="0"/>
                      <w:bCs w:val="0"/>
                      <w:color w:val="auto"/>
                      <w:sz w:val="21"/>
                      <w:szCs w:val="21"/>
                      <w:lang w:val="en-US" w:eastAsia="zh-CN"/>
                    </w:rPr>
                    <w:t>25.2</w:t>
                  </w:r>
                </w:p>
              </w:tc>
              <w:tc>
                <w:tcPr>
                  <w:tcW w:w="572" w:type="pct"/>
                  <w:vMerge w:val="restart"/>
                  <w:noWrap w:val="0"/>
                  <w:vAlign w:val="center"/>
                </w:tcPr>
                <w:p w14:paraId="0D307353">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b w:val="0"/>
                      <w:bCs w:val="0"/>
                      <w:color w:val="auto"/>
                      <w:sz w:val="21"/>
                      <w:szCs w:val="21"/>
                      <w:lang w:val="en-US" w:eastAsia="zh-CN"/>
                    </w:rPr>
                  </w:pPr>
                  <w:r>
                    <w:rPr>
                      <w:rFonts w:hint="eastAsia"/>
                      <w:b w:val="0"/>
                      <w:bCs w:val="0"/>
                      <w:color w:val="auto"/>
                      <w:sz w:val="21"/>
                      <w:szCs w:val="21"/>
                      <w:lang w:val="en-US" w:eastAsia="zh-CN"/>
                    </w:rPr>
                    <w:t>5</w:t>
                  </w:r>
                </w:p>
              </w:tc>
            </w:tr>
            <w:tr w14:paraId="1EFE8F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 w:type="pct"/>
                  <w:vMerge w:val="continue"/>
                  <w:noWrap w:val="0"/>
                  <w:vAlign w:val="center"/>
                </w:tcPr>
                <w:p w14:paraId="79A1478A">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b w:val="0"/>
                      <w:bCs w:val="0"/>
                      <w:color w:val="auto"/>
                      <w:sz w:val="21"/>
                      <w:szCs w:val="21"/>
                      <w:lang w:val="en-US" w:eastAsia="zh-CN"/>
                    </w:rPr>
                  </w:pPr>
                </w:p>
              </w:tc>
              <w:tc>
                <w:tcPr>
                  <w:tcW w:w="555" w:type="pct"/>
                  <w:vMerge w:val="continue"/>
                  <w:noWrap w:val="0"/>
                  <w:vAlign w:val="center"/>
                </w:tcPr>
                <w:p w14:paraId="06769556">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1"/>
                      <w:szCs w:val="21"/>
                      <w:lang w:val="en-US" w:eastAsia="zh-CN"/>
                    </w:rPr>
                  </w:pPr>
                </w:p>
              </w:tc>
              <w:tc>
                <w:tcPr>
                  <w:tcW w:w="482" w:type="pct"/>
                  <w:vMerge w:val="continue"/>
                  <w:noWrap w:val="0"/>
                  <w:vAlign w:val="center"/>
                </w:tcPr>
                <w:p w14:paraId="0DF5CE3D">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1"/>
                      <w:szCs w:val="21"/>
                      <w:lang w:val="en-US" w:eastAsia="zh-CN"/>
                    </w:rPr>
                  </w:pPr>
                </w:p>
              </w:tc>
              <w:tc>
                <w:tcPr>
                  <w:tcW w:w="528" w:type="pct"/>
                  <w:noWrap w:val="0"/>
                  <w:vAlign w:val="center"/>
                </w:tcPr>
                <w:p w14:paraId="0A90FFB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苯乙烯</w:t>
                  </w:r>
                </w:p>
              </w:tc>
              <w:tc>
                <w:tcPr>
                  <w:tcW w:w="723" w:type="pct"/>
                  <w:noWrap w:val="0"/>
                  <w:vAlign w:val="center"/>
                </w:tcPr>
                <w:p w14:paraId="602754F8">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b w:val="0"/>
                      <w:bCs w:val="0"/>
                      <w:color w:val="auto"/>
                      <w:sz w:val="21"/>
                      <w:szCs w:val="21"/>
                      <w:lang w:val="en-US" w:eastAsia="zh-CN"/>
                    </w:rPr>
                  </w:pPr>
                  <w:r>
                    <w:rPr>
                      <w:rFonts w:hint="eastAsia"/>
                      <w:b w:val="0"/>
                      <w:bCs w:val="0"/>
                      <w:color w:val="auto"/>
                      <w:sz w:val="21"/>
                      <w:szCs w:val="21"/>
                      <w:lang w:val="en-US" w:eastAsia="zh-CN"/>
                    </w:rPr>
                    <w:t>5.00</w:t>
                  </w:r>
                  <w:r>
                    <w:rPr>
                      <w:rFonts w:hint="default" w:ascii="Times New Roman" w:hAnsi="Times New Roman" w:cs="Times New Roman"/>
                      <w:b w:val="0"/>
                      <w:bCs w:val="0"/>
                      <w:color w:val="auto"/>
                      <w:sz w:val="21"/>
                      <w:szCs w:val="21"/>
                      <w:lang w:val="en-US" w:eastAsia="zh-CN"/>
                    </w:rPr>
                    <w:t>×10</w:t>
                  </w:r>
                  <w:r>
                    <w:rPr>
                      <w:rFonts w:hint="default" w:ascii="Times New Roman" w:hAnsi="Times New Roman" w:cs="Times New Roman"/>
                      <w:b w:val="0"/>
                      <w:bCs w:val="0"/>
                      <w:color w:val="auto"/>
                      <w:sz w:val="21"/>
                      <w:szCs w:val="21"/>
                      <w:vertAlign w:val="superscript"/>
                      <w:lang w:val="en-US" w:eastAsia="zh-CN"/>
                    </w:rPr>
                    <w:t>-</w:t>
                  </w:r>
                  <w:r>
                    <w:rPr>
                      <w:rFonts w:hint="eastAsia" w:ascii="Times New Roman" w:hAnsi="Times New Roman" w:cs="Times New Roman"/>
                      <w:b w:val="0"/>
                      <w:bCs w:val="0"/>
                      <w:color w:val="auto"/>
                      <w:sz w:val="21"/>
                      <w:szCs w:val="21"/>
                      <w:vertAlign w:val="superscript"/>
                      <w:lang w:val="en-US" w:eastAsia="zh-CN"/>
                    </w:rPr>
                    <w:t>5</w:t>
                  </w:r>
                </w:p>
              </w:tc>
              <w:tc>
                <w:tcPr>
                  <w:tcW w:w="826" w:type="pct"/>
                  <w:noWrap w:val="0"/>
                  <w:vAlign w:val="center"/>
                </w:tcPr>
                <w:p w14:paraId="1A93A187">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b w:val="0"/>
                      <w:bCs w:val="0"/>
                      <w:color w:val="auto"/>
                      <w:sz w:val="21"/>
                      <w:szCs w:val="21"/>
                      <w:lang w:val="en-US" w:eastAsia="zh-CN"/>
                    </w:rPr>
                    <w:t>2.78</w:t>
                  </w:r>
                  <w:r>
                    <w:rPr>
                      <w:rFonts w:hint="default" w:ascii="Times New Roman" w:hAnsi="Times New Roman" w:cs="Times New Roman"/>
                      <w:b w:val="0"/>
                      <w:bCs w:val="0"/>
                      <w:color w:val="auto"/>
                      <w:sz w:val="21"/>
                      <w:szCs w:val="21"/>
                      <w:lang w:val="en-US" w:eastAsia="zh-CN"/>
                    </w:rPr>
                    <w:t>×10</w:t>
                  </w:r>
                  <w:r>
                    <w:rPr>
                      <w:rFonts w:hint="default" w:ascii="Times New Roman" w:hAnsi="Times New Roman" w:cs="Times New Roman"/>
                      <w:b w:val="0"/>
                      <w:bCs w:val="0"/>
                      <w:color w:val="auto"/>
                      <w:sz w:val="21"/>
                      <w:szCs w:val="21"/>
                      <w:vertAlign w:val="superscript"/>
                      <w:lang w:val="en-US" w:eastAsia="zh-CN"/>
                    </w:rPr>
                    <w:t>-</w:t>
                  </w:r>
                  <w:r>
                    <w:rPr>
                      <w:rFonts w:hint="eastAsia" w:ascii="Times New Roman" w:hAnsi="Times New Roman" w:cs="Times New Roman"/>
                      <w:b w:val="0"/>
                      <w:bCs w:val="0"/>
                      <w:color w:val="auto"/>
                      <w:sz w:val="21"/>
                      <w:szCs w:val="21"/>
                      <w:vertAlign w:val="superscript"/>
                      <w:lang w:val="en-US" w:eastAsia="zh-CN"/>
                    </w:rPr>
                    <w:t>5</w:t>
                  </w:r>
                </w:p>
              </w:tc>
              <w:tc>
                <w:tcPr>
                  <w:tcW w:w="518" w:type="pct"/>
                  <w:vMerge w:val="continue"/>
                  <w:noWrap w:val="0"/>
                  <w:vAlign w:val="center"/>
                </w:tcPr>
                <w:p w14:paraId="5D6C9EE6">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b w:val="0"/>
                      <w:bCs w:val="0"/>
                      <w:color w:val="auto"/>
                      <w:sz w:val="21"/>
                      <w:szCs w:val="21"/>
                    </w:rPr>
                  </w:pPr>
                </w:p>
              </w:tc>
              <w:tc>
                <w:tcPr>
                  <w:tcW w:w="537" w:type="pct"/>
                  <w:vMerge w:val="continue"/>
                  <w:noWrap w:val="0"/>
                  <w:vAlign w:val="center"/>
                </w:tcPr>
                <w:p w14:paraId="7383ABD4">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b w:val="0"/>
                      <w:bCs w:val="0"/>
                      <w:color w:val="auto"/>
                      <w:sz w:val="21"/>
                      <w:szCs w:val="21"/>
                    </w:rPr>
                  </w:pPr>
                </w:p>
              </w:tc>
              <w:tc>
                <w:tcPr>
                  <w:tcW w:w="572" w:type="pct"/>
                  <w:vMerge w:val="continue"/>
                  <w:noWrap w:val="0"/>
                  <w:vAlign w:val="center"/>
                </w:tcPr>
                <w:p w14:paraId="17DC145F">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b w:val="0"/>
                      <w:bCs w:val="0"/>
                      <w:color w:val="auto"/>
                      <w:sz w:val="21"/>
                      <w:szCs w:val="21"/>
                    </w:rPr>
                  </w:pPr>
                </w:p>
              </w:tc>
            </w:tr>
            <w:tr w14:paraId="221A42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 w:type="pct"/>
                  <w:noWrap w:val="0"/>
                  <w:vAlign w:val="center"/>
                </w:tcPr>
                <w:p w14:paraId="00F1486C">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b w:val="0"/>
                      <w:bCs w:val="0"/>
                      <w:color w:val="auto"/>
                      <w:sz w:val="21"/>
                      <w:szCs w:val="21"/>
                      <w:lang w:val="en-US" w:eastAsia="zh-CN"/>
                    </w:rPr>
                  </w:pPr>
                  <w:r>
                    <w:rPr>
                      <w:rFonts w:hint="eastAsia"/>
                      <w:b w:val="0"/>
                      <w:bCs w:val="0"/>
                      <w:color w:val="auto"/>
                      <w:sz w:val="21"/>
                      <w:szCs w:val="21"/>
                      <w:lang w:val="en-US" w:eastAsia="zh-CN"/>
                    </w:rPr>
                    <w:t>2</w:t>
                  </w:r>
                </w:p>
              </w:tc>
              <w:tc>
                <w:tcPr>
                  <w:tcW w:w="555" w:type="pct"/>
                  <w:vMerge w:val="continue"/>
                  <w:noWrap w:val="0"/>
                  <w:vAlign w:val="center"/>
                </w:tcPr>
                <w:p w14:paraId="6E62DADC">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1"/>
                      <w:szCs w:val="21"/>
                      <w:lang w:val="en-US" w:eastAsia="zh-CN"/>
                    </w:rPr>
                  </w:pPr>
                </w:p>
              </w:tc>
              <w:tc>
                <w:tcPr>
                  <w:tcW w:w="482" w:type="pct"/>
                  <w:vMerge w:val="continue"/>
                  <w:noWrap w:val="0"/>
                  <w:vAlign w:val="center"/>
                </w:tcPr>
                <w:p w14:paraId="66705677">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1"/>
                      <w:szCs w:val="21"/>
                      <w:lang w:val="en-US" w:eastAsia="zh-CN"/>
                    </w:rPr>
                  </w:pPr>
                </w:p>
              </w:tc>
              <w:tc>
                <w:tcPr>
                  <w:tcW w:w="528" w:type="pct"/>
                  <w:noWrap w:val="0"/>
                  <w:vAlign w:val="center"/>
                </w:tcPr>
                <w:p w14:paraId="620C90C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cs="Times New Roman"/>
                      <w:b w:val="0"/>
                      <w:bCs/>
                      <w:color w:val="auto"/>
                      <w:sz w:val="21"/>
                      <w:szCs w:val="21"/>
                      <w:lang w:val="en-US" w:eastAsia="zh-CN"/>
                    </w:rPr>
                  </w:pPr>
                  <w:r>
                    <w:rPr>
                      <w:rFonts w:hint="eastAsia" w:cs="Times New Roman"/>
                      <w:b w:val="0"/>
                      <w:bCs/>
                      <w:color w:val="auto"/>
                      <w:sz w:val="21"/>
                      <w:szCs w:val="21"/>
                      <w:lang w:val="en-US" w:eastAsia="zh-CN"/>
                    </w:rPr>
                    <w:t>丙烯腈</w:t>
                  </w:r>
                </w:p>
              </w:tc>
              <w:tc>
                <w:tcPr>
                  <w:tcW w:w="723" w:type="pct"/>
                  <w:noWrap w:val="0"/>
                  <w:vAlign w:val="center"/>
                </w:tcPr>
                <w:p w14:paraId="2E2CB0DB">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b w:val="0"/>
                      <w:bCs w:val="0"/>
                      <w:color w:val="auto"/>
                      <w:sz w:val="21"/>
                      <w:szCs w:val="21"/>
                      <w:lang w:val="en-US" w:eastAsia="zh-CN"/>
                    </w:rPr>
                  </w:pPr>
                  <w:r>
                    <w:rPr>
                      <w:rFonts w:hint="eastAsia"/>
                      <w:b w:val="0"/>
                      <w:bCs w:val="0"/>
                      <w:color w:val="auto"/>
                      <w:sz w:val="21"/>
                      <w:szCs w:val="21"/>
                      <w:lang w:val="en-US" w:eastAsia="zh-CN"/>
                    </w:rPr>
                    <w:t>2.00</w:t>
                  </w:r>
                  <w:r>
                    <w:rPr>
                      <w:rFonts w:hint="default" w:ascii="Times New Roman" w:hAnsi="Times New Roman" w:cs="Times New Roman"/>
                      <w:b w:val="0"/>
                      <w:bCs w:val="0"/>
                      <w:color w:val="auto"/>
                      <w:sz w:val="21"/>
                      <w:szCs w:val="21"/>
                      <w:lang w:val="en-US" w:eastAsia="zh-CN"/>
                    </w:rPr>
                    <w:t>×10</w:t>
                  </w:r>
                  <w:r>
                    <w:rPr>
                      <w:rFonts w:hint="default" w:ascii="Times New Roman" w:hAnsi="Times New Roman" w:cs="Times New Roman"/>
                      <w:b w:val="0"/>
                      <w:bCs w:val="0"/>
                      <w:color w:val="auto"/>
                      <w:sz w:val="21"/>
                      <w:szCs w:val="21"/>
                      <w:vertAlign w:val="superscript"/>
                      <w:lang w:val="en-US" w:eastAsia="zh-CN"/>
                    </w:rPr>
                    <w:t>-</w:t>
                  </w:r>
                  <w:r>
                    <w:rPr>
                      <w:rFonts w:hint="eastAsia" w:ascii="Times New Roman" w:hAnsi="Times New Roman" w:cs="Times New Roman"/>
                      <w:b w:val="0"/>
                      <w:bCs w:val="0"/>
                      <w:color w:val="auto"/>
                      <w:sz w:val="21"/>
                      <w:szCs w:val="21"/>
                      <w:vertAlign w:val="superscript"/>
                      <w:lang w:val="en-US" w:eastAsia="zh-CN"/>
                    </w:rPr>
                    <w:t>5</w:t>
                  </w:r>
                </w:p>
              </w:tc>
              <w:tc>
                <w:tcPr>
                  <w:tcW w:w="826" w:type="pct"/>
                  <w:noWrap w:val="0"/>
                  <w:vAlign w:val="center"/>
                </w:tcPr>
                <w:p w14:paraId="1BEF5AE2">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1"/>
                      <w:szCs w:val="21"/>
                      <w:lang w:val="en-US" w:eastAsia="zh-CN"/>
                    </w:rPr>
                  </w:pPr>
                  <w:r>
                    <w:rPr>
                      <w:rFonts w:hint="eastAsia"/>
                      <w:b w:val="0"/>
                      <w:bCs w:val="0"/>
                      <w:color w:val="auto"/>
                      <w:sz w:val="21"/>
                      <w:szCs w:val="21"/>
                      <w:lang w:val="en-US" w:eastAsia="zh-CN"/>
                    </w:rPr>
                    <w:t>1.11</w:t>
                  </w:r>
                  <w:r>
                    <w:rPr>
                      <w:rFonts w:hint="default" w:ascii="Times New Roman" w:hAnsi="Times New Roman" w:cs="Times New Roman"/>
                      <w:b w:val="0"/>
                      <w:bCs w:val="0"/>
                      <w:color w:val="auto"/>
                      <w:sz w:val="21"/>
                      <w:szCs w:val="21"/>
                      <w:lang w:val="en-US" w:eastAsia="zh-CN"/>
                    </w:rPr>
                    <w:t>×10</w:t>
                  </w:r>
                  <w:r>
                    <w:rPr>
                      <w:rFonts w:hint="default" w:ascii="Times New Roman" w:hAnsi="Times New Roman" w:cs="Times New Roman"/>
                      <w:b w:val="0"/>
                      <w:bCs w:val="0"/>
                      <w:color w:val="auto"/>
                      <w:sz w:val="21"/>
                      <w:szCs w:val="21"/>
                      <w:vertAlign w:val="superscript"/>
                      <w:lang w:val="en-US" w:eastAsia="zh-CN"/>
                    </w:rPr>
                    <w:t>-</w:t>
                  </w:r>
                  <w:r>
                    <w:rPr>
                      <w:rFonts w:hint="eastAsia" w:ascii="Times New Roman" w:hAnsi="Times New Roman" w:cs="Times New Roman"/>
                      <w:b w:val="0"/>
                      <w:bCs w:val="0"/>
                      <w:color w:val="auto"/>
                      <w:sz w:val="21"/>
                      <w:szCs w:val="21"/>
                      <w:vertAlign w:val="superscript"/>
                      <w:lang w:val="en-US" w:eastAsia="zh-CN"/>
                    </w:rPr>
                    <w:t>5</w:t>
                  </w:r>
                </w:p>
              </w:tc>
              <w:tc>
                <w:tcPr>
                  <w:tcW w:w="518" w:type="pct"/>
                  <w:vMerge w:val="continue"/>
                  <w:noWrap w:val="0"/>
                  <w:vAlign w:val="center"/>
                </w:tcPr>
                <w:p w14:paraId="46A8CB6D">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b w:val="0"/>
                      <w:bCs w:val="0"/>
                      <w:color w:val="auto"/>
                      <w:sz w:val="21"/>
                      <w:szCs w:val="21"/>
                    </w:rPr>
                  </w:pPr>
                </w:p>
              </w:tc>
              <w:tc>
                <w:tcPr>
                  <w:tcW w:w="537" w:type="pct"/>
                  <w:vMerge w:val="continue"/>
                  <w:noWrap w:val="0"/>
                  <w:vAlign w:val="center"/>
                </w:tcPr>
                <w:p w14:paraId="56F097B8">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b w:val="0"/>
                      <w:bCs w:val="0"/>
                      <w:color w:val="auto"/>
                      <w:sz w:val="21"/>
                      <w:szCs w:val="21"/>
                    </w:rPr>
                  </w:pPr>
                </w:p>
              </w:tc>
              <w:tc>
                <w:tcPr>
                  <w:tcW w:w="572" w:type="pct"/>
                  <w:vMerge w:val="continue"/>
                  <w:noWrap w:val="0"/>
                  <w:vAlign w:val="center"/>
                </w:tcPr>
                <w:p w14:paraId="67EC4407">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b w:val="0"/>
                      <w:bCs w:val="0"/>
                      <w:color w:val="auto"/>
                      <w:sz w:val="21"/>
                      <w:szCs w:val="21"/>
                    </w:rPr>
                  </w:pPr>
                </w:p>
              </w:tc>
            </w:tr>
            <w:tr w14:paraId="2798B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 w:type="pct"/>
                  <w:noWrap w:val="0"/>
                  <w:vAlign w:val="center"/>
                </w:tcPr>
                <w:p w14:paraId="211D38CF">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b w:val="0"/>
                      <w:bCs w:val="0"/>
                      <w:color w:val="auto"/>
                      <w:sz w:val="21"/>
                      <w:szCs w:val="21"/>
                      <w:lang w:val="en-US" w:eastAsia="zh-CN"/>
                    </w:rPr>
                  </w:pPr>
                  <w:r>
                    <w:rPr>
                      <w:rFonts w:hint="eastAsia"/>
                      <w:b w:val="0"/>
                      <w:bCs w:val="0"/>
                      <w:color w:val="auto"/>
                      <w:sz w:val="21"/>
                      <w:szCs w:val="21"/>
                      <w:lang w:val="en-US" w:eastAsia="zh-CN"/>
                    </w:rPr>
                    <w:t>3</w:t>
                  </w:r>
                </w:p>
              </w:tc>
              <w:tc>
                <w:tcPr>
                  <w:tcW w:w="555" w:type="pct"/>
                  <w:vMerge w:val="continue"/>
                  <w:noWrap w:val="0"/>
                  <w:vAlign w:val="center"/>
                </w:tcPr>
                <w:p w14:paraId="5D394380">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1"/>
                      <w:szCs w:val="21"/>
                      <w:lang w:val="en-US" w:eastAsia="zh-CN"/>
                    </w:rPr>
                  </w:pPr>
                </w:p>
              </w:tc>
              <w:tc>
                <w:tcPr>
                  <w:tcW w:w="482" w:type="pct"/>
                  <w:vMerge w:val="continue"/>
                  <w:noWrap w:val="0"/>
                  <w:vAlign w:val="center"/>
                </w:tcPr>
                <w:p w14:paraId="3B158115">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1"/>
                      <w:szCs w:val="21"/>
                      <w:lang w:val="en-US" w:eastAsia="zh-CN"/>
                    </w:rPr>
                  </w:pPr>
                </w:p>
              </w:tc>
              <w:tc>
                <w:tcPr>
                  <w:tcW w:w="528" w:type="pct"/>
                  <w:noWrap w:val="0"/>
                  <w:vAlign w:val="center"/>
                </w:tcPr>
                <w:p w14:paraId="3C44AE3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cs="Times New Roman"/>
                      <w:b w:val="0"/>
                      <w:bCs/>
                      <w:color w:val="auto"/>
                      <w:sz w:val="21"/>
                      <w:szCs w:val="21"/>
                      <w:lang w:val="en-US" w:eastAsia="zh-CN"/>
                    </w:rPr>
                  </w:pPr>
                  <w:r>
                    <w:rPr>
                      <w:rFonts w:hint="eastAsia" w:cs="Times New Roman"/>
                      <w:b w:val="0"/>
                      <w:bCs/>
                      <w:color w:val="auto"/>
                      <w:sz w:val="21"/>
                      <w:szCs w:val="21"/>
                      <w:lang w:val="en-US" w:eastAsia="zh-CN"/>
                    </w:rPr>
                    <w:t>乙苯</w:t>
                  </w:r>
                </w:p>
              </w:tc>
              <w:tc>
                <w:tcPr>
                  <w:tcW w:w="723" w:type="pct"/>
                  <w:noWrap w:val="0"/>
                  <w:vAlign w:val="center"/>
                </w:tcPr>
                <w:p w14:paraId="2B2B85FE">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b w:val="0"/>
                      <w:bCs w:val="0"/>
                      <w:color w:val="auto"/>
                      <w:sz w:val="21"/>
                      <w:szCs w:val="21"/>
                      <w:lang w:val="en-US" w:eastAsia="zh-CN"/>
                    </w:rPr>
                  </w:pPr>
                  <w:r>
                    <w:rPr>
                      <w:rFonts w:hint="eastAsia"/>
                      <w:b w:val="0"/>
                      <w:bCs w:val="0"/>
                      <w:color w:val="auto"/>
                      <w:sz w:val="21"/>
                      <w:szCs w:val="21"/>
                      <w:lang w:val="en-US" w:eastAsia="zh-CN"/>
                    </w:rPr>
                    <w:t>3.00</w:t>
                  </w:r>
                  <w:r>
                    <w:rPr>
                      <w:rFonts w:hint="default" w:ascii="Times New Roman" w:hAnsi="Times New Roman" w:cs="Times New Roman"/>
                      <w:b w:val="0"/>
                      <w:bCs w:val="0"/>
                      <w:color w:val="auto"/>
                      <w:sz w:val="21"/>
                      <w:szCs w:val="21"/>
                      <w:lang w:val="en-US" w:eastAsia="zh-CN"/>
                    </w:rPr>
                    <w:t>×10</w:t>
                  </w:r>
                  <w:r>
                    <w:rPr>
                      <w:rFonts w:hint="default" w:ascii="Times New Roman" w:hAnsi="Times New Roman" w:cs="Times New Roman"/>
                      <w:b w:val="0"/>
                      <w:bCs w:val="0"/>
                      <w:color w:val="auto"/>
                      <w:sz w:val="21"/>
                      <w:szCs w:val="21"/>
                      <w:vertAlign w:val="superscript"/>
                      <w:lang w:val="en-US" w:eastAsia="zh-CN"/>
                    </w:rPr>
                    <w:t>-</w:t>
                  </w:r>
                  <w:r>
                    <w:rPr>
                      <w:rFonts w:hint="eastAsia" w:ascii="Times New Roman" w:hAnsi="Times New Roman" w:cs="Times New Roman"/>
                      <w:b w:val="0"/>
                      <w:bCs w:val="0"/>
                      <w:color w:val="auto"/>
                      <w:sz w:val="21"/>
                      <w:szCs w:val="21"/>
                      <w:vertAlign w:val="superscript"/>
                      <w:lang w:val="en-US" w:eastAsia="zh-CN"/>
                    </w:rPr>
                    <w:t>5</w:t>
                  </w:r>
                </w:p>
              </w:tc>
              <w:tc>
                <w:tcPr>
                  <w:tcW w:w="826" w:type="pct"/>
                  <w:noWrap w:val="0"/>
                  <w:vAlign w:val="center"/>
                </w:tcPr>
                <w:p w14:paraId="15FB014F">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1"/>
                      <w:szCs w:val="21"/>
                      <w:lang w:val="en-US" w:eastAsia="zh-CN"/>
                    </w:rPr>
                  </w:pPr>
                  <w:r>
                    <w:rPr>
                      <w:rFonts w:hint="eastAsia"/>
                      <w:b w:val="0"/>
                      <w:bCs w:val="0"/>
                      <w:color w:val="auto"/>
                      <w:sz w:val="21"/>
                      <w:szCs w:val="21"/>
                      <w:lang w:val="en-US" w:eastAsia="zh-CN"/>
                    </w:rPr>
                    <w:t>1.67</w:t>
                  </w:r>
                  <w:r>
                    <w:rPr>
                      <w:rFonts w:hint="default" w:ascii="Times New Roman" w:hAnsi="Times New Roman" w:cs="Times New Roman"/>
                      <w:b w:val="0"/>
                      <w:bCs w:val="0"/>
                      <w:color w:val="auto"/>
                      <w:sz w:val="21"/>
                      <w:szCs w:val="21"/>
                      <w:lang w:val="en-US" w:eastAsia="zh-CN"/>
                    </w:rPr>
                    <w:t>×10</w:t>
                  </w:r>
                  <w:r>
                    <w:rPr>
                      <w:rFonts w:hint="default" w:ascii="Times New Roman" w:hAnsi="Times New Roman" w:cs="Times New Roman"/>
                      <w:b w:val="0"/>
                      <w:bCs w:val="0"/>
                      <w:color w:val="auto"/>
                      <w:sz w:val="21"/>
                      <w:szCs w:val="21"/>
                      <w:vertAlign w:val="superscript"/>
                      <w:lang w:val="en-US" w:eastAsia="zh-CN"/>
                    </w:rPr>
                    <w:t>-</w:t>
                  </w:r>
                  <w:r>
                    <w:rPr>
                      <w:rFonts w:hint="eastAsia" w:ascii="Times New Roman" w:hAnsi="Times New Roman" w:cs="Times New Roman"/>
                      <w:b w:val="0"/>
                      <w:bCs w:val="0"/>
                      <w:color w:val="auto"/>
                      <w:sz w:val="21"/>
                      <w:szCs w:val="21"/>
                      <w:vertAlign w:val="superscript"/>
                      <w:lang w:val="en-US" w:eastAsia="zh-CN"/>
                    </w:rPr>
                    <w:t>5</w:t>
                  </w:r>
                </w:p>
              </w:tc>
              <w:tc>
                <w:tcPr>
                  <w:tcW w:w="518" w:type="pct"/>
                  <w:vMerge w:val="continue"/>
                  <w:noWrap w:val="0"/>
                  <w:vAlign w:val="center"/>
                </w:tcPr>
                <w:p w14:paraId="20526AFF">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b w:val="0"/>
                      <w:bCs w:val="0"/>
                      <w:color w:val="auto"/>
                      <w:sz w:val="21"/>
                      <w:szCs w:val="21"/>
                    </w:rPr>
                  </w:pPr>
                </w:p>
              </w:tc>
              <w:tc>
                <w:tcPr>
                  <w:tcW w:w="537" w:type="pct"/>
                  <w:vMerge w:val="continue"/>
                  <w:noWrap w:val="0"/>
                  <w:vAlign w:val="center"/>
                </w:tcPr>
                <w:p w14:paraId="23BC0E3F">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b w:val="0"/>
                      <w:bCs w:val="0"/>
                      <w:color w:val="auto"/>
                      <w:sz w:val="21"/>
                      <w:szCs w:val="21"/>
                    </w:rPr>
                  </w:pPr>
                </w:p>
              </w:tc>
              <w:tc>
                <w:tcPr>
                  <w:tcW w:w="572" w:type="pct"/>
                  <w:vMerge w:val="continue"/>
                  <w:noWrap w:val="0"/>
                  <w:vAlign w:val="center"/>
                </w:tcPr>
                <w:p w14:paraId="592C6E3C">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b w:val="0"/>
                      <w:bCs w:val="0"/>
                      <w:color w:val="auto"/>
                      <w:sz w:val="21"/>
                      <w:szCs w:val="21"/>
                    </w:rPr>
                  </w:pPr>
                </w:p>
              </w:tc>
            </w:tr>
            <w:tr w14:paraId="56452B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 w:type="pct"/>
                  <w:noWrap w:val="0"/>
                  <w:vAlign w:val="center"/>
                </w:tcPr>
                <w:p w14:paraId="67CF699E">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b w:val="0"/>
                      <w:bCs w:val="0"/>
                      <w:color w:val="auto"/>
                      <w:sz w:val="21"/>
                      <w:szCs w:val="21"/>
                      <w:lang w:val="en-US" w:eastAsia="zh-CN"/>
                    </w:rPr>
                  </w:pPr>
                  <w:r>
                    <w:rPr>
                      <w:rFonts w:hint="eastAsia"/>
                      <w:b w:val="0"/>
                      <w:bCs w:val="0"/>
                      <w:color w:val="auto"/>
                      <w:sz w:val="21"/>
                      <w:szCs w:val="21"/>
                      <w:lang w:val="en-US" w:eastAsia="zh-CN"/>
                    </w:rPr>
                    <w:t>5</w:t>
                  </w:r>
                </w:p>
              </w:tc>
              <w:tc>
                <w:tcPr>
                  <w:tcW w:w="555" w:type="pct"/>
                  <w:vMerge w:val="continue"/>
                  <w:noWrap w:val="0"/>
                  <w:vAlign w:val="center"/>
                </w:tcPr>
                <w:p w14:paraId="3F98D813">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1"/>
                      <w:szCs w:val="21"/>
                      <w:lang w:val="en-US" w:eastAsia="zh-CN"/>
                    </w:rPr>
                  </w:pPr>
                </w:p>
              </w:tc>
              <w:tc>
                <w:tcPr>
                  <w:tcW w:w="482" w:type="pct"/>
                  <w:noWrap w:val="0"/>
                  <w:vAlign w:val="center"/>
                </w:tcPr>
                <w:p w14:paraId="1BDDFBB6">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b w:val="0"/>
                      <w:bCs w:val="0"/>
                      <w:color w:val="auto"/>
                      <w:sz w:val="21"/>
                      <w:szCs w:val="21"/>
                      <w:lang w:val="en-US" w:eastAsia="zh-CN"/>
                    </w:rPr>
                  </w:pPr>
                  <w:r>
                    <w:rPr>
                      <w:rFonts w:hint="eastAsia"/>
                      <w:b w:val="0"/>
                      <w:bCs w:val="0"/>
                      <w:color w:val="auto"/>
                      <w:sz w:val="21"/>
                      <w:szCs w:val="21"/>
                      <w:lang w:val="en-US" w:eastAsia="zh-CN"/>
                    </w:rPr>
                    <w:t>破碎</w:t>
                  </w:r>
                </w:p>
              </w:tc>
              <w:tc>
                <w:tcPr>
                  <w:tcW w:w="528" w:type="pct"/>
                  <w:noWrap w:val="0"/>
                  <w:vAlign w:val="center"/>
                </w:tcPr>
                <w:p w14:paraId="63A36FDD">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b w:val="0"/>
                      <w:bCs w:val="0"/>
                      <w:color w:val="auto"/>
                      <w:sz w:val="21"/>
                      <w:szCs w:val="21"/>
                      <w:lang w:val="en-US" w:eastAsia="zh-CN"/>
                    </w:rPr>
                  </w:pPr>
                  <w:r>
                    <w:rPr>
                      <w:rFonts w:hint="eastAsia"/>
                      <w:b w:val="0"/>
                      <w:bCs w:val="0"/>
                      <w:color w:val="auto"/>
                      <w:sz w:val="21"/>
                      <w:szCs w:val="21"/>
                      <w:lang w:val="en-US" w:eastAsia="zh-CN"/>
                    </w:rPr>
                    <w:t>颗粒物</w:t>
                  </w:r>
                </w:p>
              </w:tc>
              <w:tc>
                <w:tcPr>
                  <w:tcW w:w="723" w:type="pct"/>
                  <w:noWrap w:val="0"/>
                  <w:vAlign w:val="center"/>
                </w:tcPr>
                <w:p w14:paraId="1A0CBFFA">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1"/>
                      <w:szCs w:val="21"/>
                      <w:lang w:val="en-US" w:eastAsia="zh-CN"/>
                    </w:rPr>
                  </w:pPr>
                  <w:r>
                    <w:rPr>
                      <w:rFonts w:hint="eastAsia" w:cs="Times New Roman"/>
                      <w:b w:val="0"/>
                      <w:bCs w:val="0"/>
                      <w:color w:val="auto"/>
                      <w:sz w:val="21"/>
                      <w:szCs w:val="21"/>
                      <w:lang w:val="en-US" w:eastAsia="zh-CN"/>
                    </w:rPr>
                    <w:t>1.10</w:t>
                  </w:r>
                  <w:r>
                    <w:rPr>
                      <w:rFonts w:hint="default" w:ascii="Times New Roman" w:hAnsi="Times New Roman" w:cs="Times New Roman"/>
                      <w:b w:val="0"/>
                      <w:bCs w:val="0"/>
                      <w:color w:val="auto"/>
                      <w:sz w:val="21"/>
                      <w:szCs w:val="21"/>
                      <w:lang w:val="en-US" w:eastAsia="zh-CN"/>
                    </w:rPr>
                    <w:t>×10</w:t>
                  </w:r>
                  <w:r>
                    <w:rPr>
                      <w:rFonts w:hint="default" w:ascii="Times New Roman" w:hAnsi="Times New Roman" w:cs="Times New Roman"/>
                      <w:b w:val="0"/>
                      <w:bCs w:val="0"/>
                      <w:color w:val="auto"/>
                      <w:sz w:val="21"/>
                      <w:szCs w:val="21"/>
                      <w:vertAlign w:val="superscript"/>
                      <w:lang w:val="en-US" w:eastAsia="zh-CN"/>
                    </w:rPr>
                    <w:t>-4</w:t>
                  </w:r>
                </w:p>
              </w:tc>
              <w:tc>
                <w:tcPr>
                  <w:tcW w:w="826" w:type="pct"/>
                  <w:noWrap w:val="0"/>
                  <w:vAlign w:val="center"/>
                </w:tcPr>
                <w:p w14:paraId="17974FFE">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color w:val="auto"/>
                      <w:sz w:val="21"/>
                      <w:szCs w:val="21"/>
                      <w:highlight w:val="none"/>
                      <w:lang w:val="en-US" w:eastAsia="zh-CN"/>
                    </w:rPr>
                    <w:t>1.83</w:t>
                  </w:r>
                  <w:r>
                    <w:rPr>
                      <w:rFonts w:hint="default" w:ascii="Arial" w:hAnsi="Arial" w:cs="Arial"/>
                      <w:b w:val="0"/>
                      <w:bCs/>
                      <w:color w:val="auto"/>
                      <w:sz w:val="21"/>
                      <w:szCs w:val="21"/>
                      <w:highlight w:val="none"/>
                      <w:lang w:val="en-US" w:eastAsia="zh-CN"/>
                    </w:rPr>
                    <w:t>×</w:t>
                  </w:r>
                  <w:r>
                    <w:rPr>
                      <w:rFonts w:hint="eastAsia" w:cs="Times New Roman"/>
                      <w:b w:val="0"/>
                      <w:bCs/>
                      <w:color w:val="auto"/>
                      <w:sz w:val="21"/>
                      <w:szCs w:val="21"/>
                      <w:highlight w:val="none"/>
                      <w:lang w:val="en-US" w:eastAsia="zh-CN"/>
                    </w:rPr>
                    <w:t>10</w:t>
                  </w:r>
                  <w:r>
                    <w:rPr>
                      <w:rFonts w:hint="eastAsia" w:cs="Times New Roman"/>
                      <w:b w:val="0"/>
                      <w:bCs/>
                      <w:color w:val="auto"/>
                      <w:sz w:val="21"/>
                      <w:szCs w:val="21"/>
                      <w:highlight w:val="none"/>
                      <w:vertAlign w:val="superscript"/>
                      <w:lang w:val="en-US" w:eastAsia="zh-CN"/>
                    </w:rPr>
                    <w:t>-3</w:t>
                  </w:r>
                </w:p>
              </w:tc>
              <w:tc>
                <w:tcPr>
                  <w:tcW w:w="518" w:type="pct"/>
                  <w:vMerge w:val="continue"/>
                  <w:noWrap w:val="0"/>
                  <w:vAlign w:val="center"/>
                </w:tcPr>
                <w:p w14:paraId="421AA1BE">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b w:val="0"/>
                      <w:bCs w:val="0"/>
                      <w:color w:val="auto"/>
                      <w:sz w:val="21"/>
                      <w:szCs w:val="21"/>
                    </w:rPr>
                  </w:pPr>
                </w:p>
              </w:tc>
              <w:tc>
                <w:tcPr>
                  <w:tcW w:w="537" w:type="pct"/>
                  <w:vMerge w:val="continue"/>
                  <w:noWrap w:val="0"/>
                  <w:vAlign w:val="center"/>
                </w:tcPr>
                <w:p w14:paraId="09AC8741">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b w:val="0"/>
                      <w:bCs w:val="0"/>
                      <w:color w:val="auto"/>
                      <w:sz w:val="21"/>
                      <w:szCs w:val="21"/>
                    </w:rPr>
                  </w:pPr>
                </w:p>
              </w:tc>
              <w:tc>
                <w:tcPr>
                  <w:tcW w:w="572" w:type="pct"/>
                  <w:vMerge w:val="continue"/>
                  <w:noWrap w:val="0"/>
                  <w:vAlign w:val="center"/>
                </w:tcPr>
                <w:p w14:paraId="440E7EB2">
                  <w:pPr>
                    <w:pStyle w:val="1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b w:val="0"/>
                      <w:bCs w:val="0"/>
                      <w:color w:val="auto"/>
                      <w:sz w:val="21"/>
                      <w:szCs w:val="21"/>
                    </w:rPr>
                  </w:pPr>
                </w:p>
              </w:tc>
            </w:tr>
          </w:tbl>
          <w:p w14:paraId="7B842101">
            <w:pPr>
              <w:pStyle w:val="8"/>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注：非甲烷总烃含苯乙烯、丙烯腈、乙苯</w:t>
            </w:r>
          </w:p>
          <w:p w14:paraId="2FC59FDA">
            <w:pPr>
              <w:pStyle w:val="63"/>
              <w:spacing w:before="120" w:beforeLines="50"/>
              <w:ind w:firstLine="480" w:firstLineChars="200"/>
              <w:jc w:val="both"/>
              <w:rPr>
                <w:b w:val="0"/>
                <w:bCs/>
                <w:color w:val="auto"/>
                <w:sz w:val="24"/>
              </w:rPr>
            </w:pPr>
            <w:r>
              <w:rPr>
                <w:rFonts w:hint="eastAsia"/>
                <w:b w:val="0"/>
                <w:bCs/>
                <w:color w:val="auto"/>
                <w:sz w:val="24"/>
              </w:rPr>
              <w:t>废气排放口情况如下：</w:t>
            </w:r>
          </w:p>
          <w:p w14:paraId="019F33A8">
            <w:pPr>
              <w:pStyle w:val="63"/>
              <w:spacing w:line="240" w:lineRule="auto"/>
              <w:rPr>
                <w:rFonts w:hint="eastAsia"/>
                <w:color w:val="auto"/>
              </w:rPr>
            </w:pPr>
            <w:r>
              <w:rPr>
                <w:rFonts w:hint="eastAsia"/>
                <w:color w:val="auto"/>
              </w:rPr>
              <w:t>表4-3</w:t>
            </w:r>
            <w:r>
              <w:rPr>
                <w:rFonts w:hint="eastAsia"/>
                <w:color w:val="auto"/>
                <w:lang w:val="en-US" w:eastAsia="zh-CN"/>
              </w:rPr>
              <w:t xml:space="preserve"> </w:t>
            </w:r>
            <w:r>
              <w:rPr>
                <w:rFonts w:hint="eastAsia"/>
                <w:color w:val="auto"/>
              </w:rPr>
              <w:t xml:space="preserve"> 大气排放口基本情况表</w:t>
            </w:r>
          </w:p>
          <w:tbl>
            <w:tblPr>
              <w:tblStyle w:val="29"/>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784"/>
              <w:gridCol w:w="1372"/>
              <w:gridCol w:w="1800"/>
              <w:gridCol w:w="1709"/>
              <w:gridCol w:w="1812"/>
              <w:gridCol w:w="985"/>
              <w:gridCol w:w="1179"/>
              <w:gridCol w:w="1126"/>
            </w:tblGrid>
            <w:tr w14:paraId="60C9E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8" w:type="pct"/>
                  <w:vMerge w:val="restart"/>
                  <w:noWrap w:val="0"/>
                  <w:vAlign w:val="center"/>
                </w:tcPr>
                <w:p w14:paraId="3A54B946">
                  <w:pPr>
                    <w:spacing w:line="240" w:lineRule="auto"/>
                    <w:jc w:val="center"/>
                    <w:rPr>
                      <w:b/>
                      <w:bCs/>
                      <w:color w:val="auto"/>
                      <w:sz w:val="21"/>
                      <w:szCs w:val="21"/>
                    </w:rPr>
                  </w:pPr>
                  <w:r>
                    <w:rPr>
                      <w:rFonts w:hint="eastAsia"/>
                      <w:b/>
                      <w:bCs/>
                      <w:color w:val="auto"/>
                      <w:sz w:val="21"/>
                      <w:szCs w:val="21"/>
                    </w:rPr>
                    <w:t>排放口编号</w:t>
                  </w:r>
                </w:p>
              </w:tc>
              <w:tc>
                <w:tcPr>
                  <w:tcW w:w="685" w:type="pct"/>
                  <w:vMerge w:val="restart"/>
                  <w:noWrap w:val="0"/>
                  <w:vAlign w:val="center"/>
                </w:tcPr>
                <w:p w14:paraId="3E75EF2F">
                  <w:pPr>
                    <w:spacing w:line="240" w:lineRule="auto"/>
                    <w:jc w:val="center"/>
                    <w:rPr>
                      <w:rFonts w:hint="eastAsia"/>
                      <w:b/>
                      <w:bCs/>
                      <w:color w:val="auto"/>
                      <w:sz w:val="21"/>
                      <w:szCs w:val="21"/>
                    </w:rPr>
                  </w:pPr>
                  <w:r>
                    <w:rPr>
                      <w:rFonts w:hint="eastAsia"/>
                      <w:b/>
                      <w:bCs/>
                      <w:color w:val="auto"/>
                      <w:sz w:val="21"/>
                      <w:szCs w:val="21"/>
                    </w:rPr>
                    <w:t>排放口名称</w:t>
                  </w:r>
                </w:p>
              </w:tc>
              <w:tc>
                <w:tcPr>
                  <w:tcW w:w="527" w:type="pct"/>
                  <w:vMerge w:val="restart"/>
                  <w:noWrap w:val="0"/>
                  <w:vAlign w:val="center"/>
                </w:tcPr>
                <w:p w14:paraId="0AD6BA3B">
                  <w:pPr>
                    <w:spacing w:line="240" w:lineRule="auto"/>
                    <w:jc w:val="center"/>
                    <w:rPr>
                      <w:rFonts w:hint="eastAsia"/>
                      <w:b/>
                      <w:bCs/>
                      <w:color w:val="auto"/>
                      <w:sz w:val="21"/>
                      <w:szCs w:val="21"/>
                    </w:rPr>
                  </w:pPr>
                  <w:r>
                    <w:rPr>
                      <w:rFonts w:hint="eastAsia"/>
                      <w:b/>
                      <w:bCs/>
                      <w:color w:val="auto"/>
                      <w:sz w:val="21"/>
                      <w:szCs w:val="21"/>
                    </w:rPr>
                    <w:t>排放口类型</w:t>
                  </w:r>
                </w:p>
              </w:tc>
              <w:tc>
                <w:tcPr>
                  <w:tcW w:w="691" w:type="pct"/>
                  <w:vMerge w:val="restart"/>
                  <w:noWrap w:val="0"/>
                  <w:vAlign w:val="center"/>
                </w:tcPr>
                <w:p w14:paraId="0E2D4772">
                  <w:pPr>
                    <w:spacing w:line="240" w:lineRule="auto"/>
                    <w:jc w:val="center"/>
                    <w:rPr>
                      <w:b/>
                      <w:bCs/>
                      <w:color w:val="auto"/>
                      <w:sz w:val="21"/>
                      <w:szCs w:val="21"/>
                    </w:rPr>
                  </w:pPr>
                  <w:r>
                    <w:rPr>
                      <w:rFonts w:hint="eastAsia"/>
                      <w:b/>
                      <w:bCs/>
                      <w:color w:val="auto"/>
                      <w:sz w:val="21"/>
                      <w:szCs w:val="21"/>
                    </w:rPr>
                    <w:t>污染物种类</w:t>
                  </w:r>
                </w:p>
              </w:tc>
              <w:tc>
                <w:tcPr>
                  <w:tcW w:w="1352" w:type="pct"/>
                  <w:gridSpan w:val="2"/>
                  <w:noWrap w:val="0"/>
                  <w:vAlign w:val="center"/>
                </w:tcPr>
                <w:p w14:paraId="29BD6CC3">
                  <w:pPr>
                    <w:spacing w:line="240" w:lineRule="auto"/>
                    <w:jc w:val="center"/>
                    <w:rPr>
                      <w:rFonts w:hint="eastAsia"/>
                      <w:b/>
                      <w:bCs/>
                      <w:color w:val="auto"/>
                      <w:sz w:val="21"/>
                      <w:szCs w:val="21"/>
                    </w:rPr>
                  </w:pPr>
                  <w:r>
                    <w:rPr>
                      <w:rFonts w:hint="eastAsia"/>
                      <w:b/>
                      <w:bCs/>
                      <w:color w:val="auto"/>
                      <w:sz w:val="21"/>
                      <w:szCs w:val="21"/>
                    </w:rPr>
                    <w:t>排放口中心坐标</w:t>
                  </w:r>
                </w:p>
              </w:tc>
              <w:tc>
                <w:tcPr>
                  <w:tcW w:w="1264" w:type="pct"/>
                  <w:gridSpan w:val="3"/>
                  <w:noWrap w:val="0"/>
                  <w:vAlign w:val="center"/>
                </w:tcPr>
                <w:p w14:paraId="353B60CA">
                  <w:pPr>
                    <w:spacing w:line="240" w:lineRule="auto"/>
                    <w:jc w:val="center"/>
                    <w:rPr>
                      <w:rFonts w:hint="eastAsia"/>
                      <w:b/>
                      <w:bCs/>
                      <w:color w:val="auto"/>
                      <w:sz w:val="21"/>
                      <w:szCs w:val="21"/>
                    </w:rPr>
                  </w:pPr>
                  <w:r>
                    <w:rPr>
                      <w:rFonts w:hint="eastAsia"/>
                      <w:b/>
                      <w:bCs/>
                      <w:color w:val="auto"/>
                      <w:sz w:val="21"/>
                      <w:szCs w:val="21"/>
                    </w:rPr>
                    <w:t>排气筒参数</w:t>
                  </w:r>
                </w:p>
              </w:tc>
            </w:tr>
            <w:tr w14:paraId="75415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8" w:type="pct"/>
                  <w:vMerge w:val="continue"/>
                  <w:noWrap w:val="0"/>
                  <w:vAlign w:val="center"/>
                </w:tcPr>
                <w:p w14:paraId="18C69B44">
                  <w:pPr>
                    <w:spacing w:line="240" w:lineRule="auto"/>
                    <w:jc w:val="center"/>
                    <w:rPr>
                      <w:color w:val="auto"/>
                      <w:sz w:val="21"/>
                      <w:szCs w:val="21"/>
                    </w:rPr>
                  </w:pPr>
                </w:p>
              </w:tc>
              <w:tc>
                <w:tcPr>
                  <w:tcW w:w="685" w:type="pct"/>
                  <w:vMerge w:val="continue"/>
                  <w:noWrap w:val="0"/>
                  <w:vAlign w:val="center"/>
                </w:tcPr>
                <w:p w14:paraId="188A3368">
                  <w:pPr>
                    <w:spacing w:line="240" w:lineRule="auto"/>
                    <w:jc w:val="center"/>
                    <w:rPr>
                      <w:color w:val="auto"/>
                      <w:sz w:val="21"/>
                      <w:szCs w:val="21"/>
                    </w:rPr>
                  </w:pPr>
                </w:p>
              </w:tc>
              <w:tc>
                <w:tcPr>
                  <w:tcW w:w="527" w:type="pct"/>
                  <w:vMerge w:val="continue"/>
                  <w:noWrap w:val="0"/>
                  <w:vAlign w:val="center"/>
                </w:tcPr>
                <w:p w14:paraId="567FF83F">
                  <w:pPr>
                    <w:spacing w:line="240" w:lineRule="auto"/>
                    <w:jc w:val="center"/>
                    <w:rPr>
                      <w:color w:val="auto"/>
                      <w:sz w:val="21"/>
                      <w:szCs w:val="21"/>
                    </w:rPr>
                  </w:pPr>
                </w:p>
              </w:tc>
              <w:tc>
                <w:tcPr>
                  <w:tcW w:w="691" w:type="pct"/>
                  <w:vMerge w:val="continue"/>
                  <w:noWrap w:val="0"/>
                  <w:vAlign w:val="center"/>
                </w:tcPr>
                <w:p w14:paraId="4D0790B2">
                  <w:pPr>
                    <w:spacing w:line="240" w:lineRule="auto"/>
                    <w:jc w:val="center"/>
                    <w:rPr>
                      <w:color w:val="auto"/>
                      <w:sz w:val="21"/>
                      <w:szCs w:val="21"/>
                    </w:rPr>
                  </w:pPr>
                </w:p>
              </w:tc>
              <w:tc>
                <w:tcPr>
                  <w:tcW w:w="656" w:type="pct"/>
                  <w:noWrap w:val="0"/>
                  <w:vAlign w:val="center"/>
                </w:tcPr>
                <w:p w14:paraId="37ADF230">
                  <w:pPr>
                    <w:spacing w:line="240" w:lineRule="auto"/>
                    <w:jc w:val="center"/>
                    <w:rPr>
                      <w:b/>
                      <w:bCs/>
                      <w:color w:val="auto"/>
                      <w:sz w:val="21"/>
                      <w:szCs w:val="21"/>
                    </w:rPr>
                  </w:pPr>
                  <w:r>
                    <w:rPr>
                      <w:rFonts w:hint="eastAsia"/>
                      <w:b/>
                      <w:bCs/>
                      <w:color w:val="auto"/>
                      <w:sz w:val="21"/>
                      <w:szCs w:val="21"/>
                    </w:rPr>
                    <w:t>经度</w:t>
                  </w:r>
                </w:p>
              </w:tc>
              <w:tc>
                <w:tcPr>
                  <w:tcW w:w="696" w:type="pct"/>
                  <w:noWrap w:val="0"/>
                  <w:vAlign w:val="center"/>
                </w:tcPr>
                <w:p w14:paraId="1A46A827">
                  <w:pPr>
                    <w:spacing w:line="240" w:lineRule="auto"/>
                    <w:jc w:val="center"/>
                    <w:rPr>
                      <w:b/>
                      <w:bCs/>
                      <w:color w:val="auto"/>
                      <w:sz w:val="21"/>
                      <w:szCs w:val="21"/>
                    </w:rPr>
                  </w:pPr>
                  <w:r>
                    <w:rPr>
                      <w:rFonts w:hint="eastAsia"/>
                      <w:b/>
                      <w:bCs/>
                      <w:color w:val="auto"/>
                      <w:sz w:val="21"/>
                      <w:szCs w:val="21"/>
                    </w:rPr>
                    <w:t>纬度</w:t>
                  </w:r>
                </w:p>
              </w:tc>
              <w:tc>
                <w:tcPr>
                  <w:tcW w:w="378" w:type="pct"/>
                  <w:noWrap w:val="0"/>
                  <w:vAlign w:val="center"/>
                </w:tcPr>
                <w:p w14:paraId="37E1B0B4">
                  <w:pPr>
                    <w:spacing w:line="240" w:lineRule="auto"/>
                    <w:jc w:val="center"/>
                    <w:rPr>
                      <w:b/>
                      <w:bCs/>
                      <w:color w:val="auto"/>
                      <w:sz w:val="21"/>
                      <w:szCs w:val="21"/>
                    </w:rPr>
                  </w:pPr>
                  <w:r>
                    <w:rPr>
                      <w:rFonts w:hint="eastAsia"/>
                      <w:b/>
                      <w:bCs/>
                      <w:color w:val="auto"/>
                      <w:sz w:val="21"/>
                      <w:szCs w:val="21"/>
                    </w:rPr>
                    <w:t>高度m</w:t>
                  </w:r>
                </w:p>
              </w:tc>
              <w:tc>
                <w:tcPr>
                  <w:tcW w:w="453" w:type="pct"/>
                  <w:noWrap w:val="0"/>
                  <w:vAlign w:val="center"/>
                </w:tcPr>
                <w:p w14:paraId="41C0FFB7">
                  <w:pPr>
                    <w:spacing w:line="240" w:lineRule="auto"/>
                    <w:jc w:val="center"/>
                    <w:rPr>
                      <w:b/>
                      <w:bCs/>
                      <w:color w:val="auto"/>
                      <w:sz w:val="21"/>
                      <w:szCs w:val="21"/>
                    </w:rPr>
                  </w:pPr>
                  <w:r>
                    <w:rPr>
                      <w:rFonts w:hint="eastAsia"/>
                      <w:b/>
                      <w:bCs/>
                      <w:color w:val="auto"/>
                      <w:sz w:val="21"/>
                      <w:szCs w:val="21"/>
                    </w:rPr>
                    <w:t>内径m</w:t>
                  </w:r>
                </w:p>
              </w:tc>
              <w:tc>
                <w:tcPr>
                  <w:tcW w:w="432" w:type="pct"/>
                  <w:noWrap w:val="0"/>
                  <w:vAlign w:val="center"/>
                </w:tcPr>
                <w:p w14:paraId="3B1E5DD2">
                  <w:pPr>
                    <w:spacing w:line="240" w:lineRule="auto"/>
                    <w:jc w:val="center"/>
                    <w:rPr>
                      <w:b/>
                      <w:bCs/>
                      <w:color w:val="auto"/>
                      <w:sz w:val="21"/>
                      <w:szCs w:val="21"/>
                    </w:rPr>
                  </w:pPr>
                  <w:r>
                    <w:rPr>
                      <w:rFonts w:hint="eastAsia"/>
                      <w:b/>
                      <w:bCs/>
                      <w:color w:val="auto"/>
                      <w:sz w:val="21"/>
                      <w:szCs w:val="21"/>
                    </w:rPr>
                    <w:t>温度℃</w:t>
                  </w:r>
                </w:p>
              </w:tc>
            </w:tr>
            <w:tr w14:paraId="659C4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8" w:type="pct"/>
                  <w:vMerge w:val="restart"/>
                  <w:noWrap w:val="0"/>
                  <w:vAlign w:val="center"/>
                </w:tcPr>
                <w:p w14:paraId="455F79E8">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DA001</w:t>
                  </w:r>
                </w:p>
              </w:tc>
              <w:tc>
                <w:tcPr>
                  <w:tcW w:w="685" w:type="pct"/>
                  <w:vMerge w:val="restart"/>
                  <w:noWrap w:val="0"/>
                  <w:vAlign w:val="center"/>
                </w:tcPr>
                <w:p w14:paraId="6F0ABB81">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注塑废气排放口</w:t>
                  </w:r>
                </w:p>
              </w:tc>
              <w:tc>
                <w:tcPr>
                  <w:tcW w:w="527" w:type="pct"/>
                  <w:vMerge w:val="restart"/>
                  <w:noWrap w:val="0"/>
                  <w:vAlign w:val="center"/>
                </w:tcPr>
                <w:p w14:paraId="73AE3BA1">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一般排放口</w:t>
                  </w:r>
                </w:p>
              </w:tc>
              <w:tc>
                <w:tcPr>
                  <w:tcW w:w="691" w:type="pct"/>
                  <w:noWrap w:val="0"/>
                  <w:vAlign w:val="center"/>
                </w:tcPr>
                <w:p w14:paraId="3CBDA2F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非甲烷总烃</w:t>
                  </w:r>
                </w:p>
              </w:tc>
              <w:tc>
                <w:tcPr>
                  <w:tcW w:w="656" w:type="pct"/>
                  <w:vMerge w:val="restart"/>
                  <w:noWrap w:val="0"/>
                  <w:vAlign w:val="center"/>
                </w:tcPr>
                <w:p w14:paraId="67A631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auto"/>
                      <w:sz w:val="21"/>
                      <w:szCs w:val="21"/>
                    </w:rPr>
                  </w:pPr>
                  <w:r>
                    <w:rPr>
                      <w:rFonts w:hint="eastAsia"/>
                      <w:color w:val="auto"/>
                      <w:sz w:val="21"/>
                      <w:szCs w:val="21"/>
                    </w:rPr>
                    <w:t>116.903391</w:t>
                  </w:r>
                </w:p>
              </w:tc>
              <w:tc>
                <w:tcPr>
                  <w:tcW w:w="696" w:type="pct"/>
                  <w:vMerge w:val="restart"/>
                  <w:noWrap w:val="0"/>
                  <w:vAlign w:val="center"/>
                </w:tcPr>
                <w:p w14:paraId="0B0286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auto"/>
                      <w:sz w:val="21"/>
                      <w:szCs w:val="21"/>
                    </w:rPr>
                  </w:pPr>
                  <w:r>
                    <w:rPr>
                      <w:rFonts w:hint="eastAsia"/>
                      <w:color w:val="auto"/>
                      <w:sz w:val="21"/>
                      <w:szCs w:val="21"/>
                    </w:rPr>
                    <w:t>32.701294</w:t>
                  </w:r>
                </w:p>
              </w:tc>
              <w:tc>
                <w:tcPr>
                  <w:tcW w:w="378" w:type="pct"/>
                  <w:vMerge w:val="restart"/>
                  <w:noWrap w:val="0"/>
                  <w:vAlign w:val="center"/>
                </w:tcPr>
                <w:p w14:paraId="3B34B28D">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20</w:t>
                  </w:r>
                </w:p>
              </w:tc>
              <w:tc>
                <w:tcPr>
                  <w:tcW w:w="453" w:type="pct"/>
                  <w:vMerge w:val="restart"/>
                  <w:noWrap w:val="0"/>
                  <w:vAlign w:val="center"/>
                </w:tcPr>
                <w:p w14:paraId="08A91B75">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0.7</w:t>
                  </w:r>
                </w:p>
              </w:tc>
              <w:tc>
                <w:tcPr>
                  <w:tcW w:w="432" w:type="pct"/>
                  <w:vMerge w:val="restart"/>
                  <w:noWrap w:val="0"/>
                  <w:vAlign w:val="center"/>
                </w:tcPr>
                <w:p w14:paraId="4CF8B4C5">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常温</w:t>
                  </w:r>
                </w:p>
              </w:tc>
            </w:tr>
            <w:tr w14:paraId="6E38A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8" w:type="pct"/>
                  <w:vMerge w:val="continue"/>
                  <w:noWrap w:val="0"/>
                  <w:vAlign w:val="center"/>
                </w:tcPr>
                <w:p w14:paraId="2537EB8C">
                  <w:pPr>
                    <w:spacing w:line="240" w:lineRule="auto"/>
                    <w:jc w:val="center"/>
                    <w:rPr>
                      <w:rFonts w:hint="eastAsia"/>
                      <w:color w:val="auto"/>
                      <w:sz w:val="21"/>
                      <w:szCs w:val="21"/>
                      <w:lang w:val="en-US" w:eastAsia="zh-CN"/>
                    </w:rPr>
                  </w:pPr>
                </w:p>
              </w:tc>
              <w:tc>
                <w:tcPr>
                  <w:tcW w:w="685" w:type="pct"/>
                  <w:vMerge w:val="continue"/>
                  <w:noWrap w:val="0"/>
                  <w:vAlign w:val="center"/>
                </w:tcPr>
                <w:p w14:paraId="37F955CF">
                  <w:pPr>
                    <w:spacing w:line="240" w:lineRule="auto"/>
                    <w:jc w:val="center"/>
                    <w:rPr>
                      <w:rFonts w:hint="eastAsia"/>
                      <w:color w:val="auto"/>
                      <w:sz w:val="21"/>
                      <w:szCs w:val="21"/>
                    </w:rPr>
                  </w:pPr>
                </w:p>
              </w:tc>
              <w:tc>
                <w:tcPr>
                  <w:tcW w:w="527" w:type="pct"/>
                  <w:vMerge w:val="continue"/>
                  <w:noWrap w:val="0"/>
                  <w:vAlign w:val="center"/>
                </w:tcPr>
                <w:p w14:paraId="0770E737">
                  <w:pPr>
                    <w:spacing w:line="240" w:lineRule="auto"/>
                    <w:jc w:val="center"/>
                    <w:rPr>
                      <w:rFonts w:hint="eastAsia"/>
                      <w:color w:val="auto"/>
                      <w:sz w:val="21"/>
                      <w:szCs w:val="21"/>
                      <w:lang w:val="en-US" w:eastAsia="zh-CN"/>
                    </w:rPr>
                  </w:pPr>
                </w:p>
              </w:tc>
              <w:tc>
                <w:tcPr>
                  <w:tcW w:w="691" w:type="pct"/>
                  <w:noWrap w:val="0"/>
                  <w:vAlign w:val="center"/>
                </w:tcPr>
                <w:p w14:paraId="2DC7D67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苯乙烯</w:t>
                  </w:r>
                </w:p>
              </w:tc>
              <w:tc>
                <w:tcPr>
                  <w:tcW w:w="656" w:type="pct"/>
                  <w:vMerge w:val="continue"/>
                  <w:noWrap w:val="0"/>
                  <w:vAlign w:val="center"/>
                </w:tcPr>
                <w:p w14:paraId="223CE6B6">
                  <w:pPr>
                    <w:spacing w:line="240" w:lineRule="auto"/>
                    <w:jc w:val="center"/>
                    <w:rPr>
                      <w:rFonts w:hint="eastAsia"/>
                      <w:color w:val="auto"/>
                      <w:sz w:val="21"/>
                      <w:szCs w:val="21"/>
                    </w:rPr>
                  </w:pPr>
                </w:p>
              </w:tc>
              <w:tc>
                <w:tcPr>
                  <w:tcW w:w="696" w:type="pct"/>
                  <w:vMerge w:val="continue"/>
                  <w:noWrap w:val="0"/>
                  <w:vAlign w:val="center"/>
                </w:tcPr>
                <w:p w14:paraId="3EE2F1EA">
                  <w:pPr>
                    <w:spacing w:line="240" w:lineRule="auto"/>
                    <w:jc w:val="center"/>
                    <w:rPr>
                      <w:rFonts w:hint="eastAsia"/>
                      <w:color w:val="auto"/>
                      <w:sz w:val="21"/>
                      <w:szCs w:val="21"/>
                    </w:rPr>
                  </w:pPr>
                </w:p>
              </w:tc>
              <w:tc>
                <w:tcPr>
                  <w:tcW w:w="378" w:type="pct"/>
                  <w:vMerge w:val="continue"/>
                  <w:noWrap w:val="0"/>
                  <w:vAlign w:val="center"/>
                </w:tcPr>
                <w:p w14:paraId="6A02FE3B">
                  <w:pPr>
                    <w:spacing w:line="240" w:lineRule="auto"/>
                    <w:jc w:val="center"/>
                    <w:rPr>
                      <w:rFonts w:hint="eastAsia" w:eastAsia="宋体"/>
                      <w:color w:val="auto"/>
                      <w:sz w:val="21"/>
                      <w:szCs w:val="21"/>
                      <w:lang w:eastAsia="zh-CN"/>
                    </w:rPr>
                  </w:pPr>
                </w:p>
              </w:tc>
              <w:tc>
                <w:tcPr>
                  <w:tcW w:w="453" w:type="pct"/>
                  <w:vMerge w:val="continue"/>
                  <w:noWrap w:val="0"/>
                  <w:vAlign w:val="center"/>
                </w:tcPr>
                <w:p w14:paraId="22B355FF">
                  <w:pPr>
                    <w:spacing w:line="240" w:lineRule="auto"/>
                    <w:jc w:val="center"/>
                    <w:rPr>
                      <w:color w:val="auto"/>
                      <w:sz w:val="21"/>
                      <w:szCs w:val="21"/>
                    </w:rPr>
                  </w:pPr>
                </w:p>
              </w:tc>
              <w:tc>
                <w:tcPr>
                  <w:tcW w:w="432" w:type="pct"/>
                  <w:vMerge w:val="continue"/>
                  <w:noWrap w:val="0"/>
                  <w:vAlign w:val="center"/>
                </w:tcPr>
                <w:p w14:paraId="3F91A35B">
                  <w:pPr>
                    <w:spacing w:line="240" w:lineRule="auto"/>
                    <w:jc w:val="center"/>
                    <w:rPr>
                      <w:rFonts w:hint="eastAsia"/>
                      <w:color w:val="auto"/>
                      <w:sz w:val="21"/>
                      <w:szCs w:val="21"/>
                    </w:rPr>
                  </w:pPr>
                </w:p>
              </w:tc>
            </w:tr>
            <w:tr w14:paraId="7A592B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8" w:type="pct"/>
                  <w:vMerge w:val="continue"/>
                  <w:noWrap w:val="0"/>
                  <w:vAlign w:val="center"/>
                </w:tcPr>
                <w:p w14:paraId="5F32FC59">
                  <w:pPr>
                    <w:spacing w:line="240" w:lineRule="auto"/>
                    <w:jc w:val="center"/>
                    <w:rPr>
                      <w:rFonts w:hint="eastAsia"/>
                      <w:color w:val="auto"/>
                      <w:sz w:val="21"/>
                      <w:szCs w:val="21"/>
                      <w:lang w:val="en-US" w:eastAsia="zh-CN"/>
                    </w:rPr>
                  </w:pPr>
                </w:p>
              </w:tc>
              <w:tc>
                <w:tcPr>
                  <w:tcW w:w="685" w:type="pct"/>
                  <w:vMerge w:val="continue"/>
                  <w:noWrap w:val="0"/>
                  <w:vAlign w:val="center"/>
                </w:tcPr>
                <w:p w14:paraId="4ED1A5D8">
                  <w:pPr>
                    <w:spacing w:line="240" w:lineRule="auto"/>
                    <w:jc w:val="center"/>
                    <w:rPr>
                      <w:rFonts w:hint="eastAsia"/>
                      <w:color w:val="auto"/>
                      <w:sz w:val="21"/>
                      <w:szCs w:val="21"/>
                    </w:rPr>
                  </w:pPr>
                </w:p>
              </w:tc>
              <w:tc>
                <w:tcPr>
                  <w:tcW w:w="527" w:type="pct"/>
                  <w:vMerge w:val="continue"/>
                  <w:noWrap w:val="0"/>
                  <w:vAlign w:val="center"/>
                </w:tcPr>
                <w:p w14:paraId="17ED7687">
                  <w:pPr>
                    <w:spacing w:line="240" w:lineRule="auto"/>
                    <w:jc w:val="center"/>
                    <w:rPr>
                      <w:rFonts w:hint="eastAsia"/>
                      <w:color w:val="auto"/>
                      <w:sz w:val="21"/>
                      <w:szCs w:val="21"/>
                      <w:lang w:val="en-US" w:eastAsia="zh-CN"/>
                    </w:rPr>
                  </w:pPr>
                </w:p>
              </w:tc>
              <w:tc>
                <w:tcPr>
                  <w:tcW w:w="691" w:type="pct"/>
                  <w:noWrap w:val="0"/>
                  <w:vAlign w:val="center"/>
                </w:tcPr>
                <w:p w14:paraId="76200CD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s="Times New Roman"/>
                      <w:b w:val="0"/>
                      <w:bCs/>
                      <w:color w:val="auto"/>
                      <w:sz w:val="21"/>
                      <w:szCs w:val="21"/>
                      <w:lang w:val="en-US" w:eastAsia="zh-CN"/>
                    </w:rPr>
                  </w:pPr>
                  <w:r>
                    <w:rPr>
                      <w:rFonts w:hint="eastAsia" w:cs="Times New Roman"/>
                      <w:b w:val="0"/>
                      <w:bCs/>
                      <w:color w:val="auto"/>
                      <w:sz w:val="21"/>
                      <w:szCs w:val="21"/>
                      <w:lang w:val="en-US" w:eastAsia="zh-CN"/>
                    </w:rPr>
                    <w:t>丙烯腈</w:t>
                  </w:r>
                </w:p>
              </w:tc>
              <w:tc>
                <w:tcPr>
                  <w:tcW w:w="656" w:type="pct"/>
                  <w:vMerge w:val="continue"/>
                  <w:noWrap w:val="0"/>
                  <w:vAlign w:val="center"/>
                </w:tcPr>
                <w:p w14:paraId="45D98B7D">
                  <w:pPr>
                    <w:spacing w:line="240" w:lineRule="auto"/>
                    <w:jc w:val="center"/>
                    <w:rPr>
                      <w:rFonts w:hint="eastAsia"/>
                      <w:color w:val="auto"/>
                      <w:sz w:val="21"/>
                      <w:szCs w:val="21"/>
                    </w:rPr>
                  </w:pPr>
                </w:p>
              </w:tc>
              <w:tc>
                <w:tcPr>
                  <w:tcW w:w="696" w:type="pct"/>
                  <w:vMerge w:val="continue"/>
                  <w:noWrap w:val="0"/>
                  <w:vAlign w:val="center"/>
                </w:tcPr>
                <w:p w14:paraId="1F669F9A">
                  <w:pPr>
                    <w:spacing w:line="240" w:lineRule="auto"/>
                    <w:jc w:val="center"/>
                    <w:rPr>
                      <w:rFonts w:hint="eastAsia"/>
                      <w:color w:val="auto"/>
                      <w:sz w:val="21"/>
                      <w:szCs w:val="21"/>
                    </w:rPr>
                  </w:pPr>
                </w:p>
              </w:tc>
              <w:tc>
                <w:tcPr>
                  <w:tcW w:w="378" w:type="pct"/>
                  <w:vMerge w:val="continue"/>
                  <w:noWrap w:val="0"/>
                  <w:vAlign w:val="center"/>
                </w:tcPr>
                <w:p w14:paraId="00C74D12">
                  <w:pPr>
                    <w:spacing w:line="240" w:lineRule="auto"/>
                    <w:jc w:val="center"/>
                    <w:rPr>
                      <w:rFonts w:hint="eastAsia" w:eastAsia="宋体"/>
                      <w:color w:val="auto"/>
                      <w:sz w:val="21"/>
                      <w:szCs w:val="21"/>
                      <w:lang w:eastAsia="zh-CN"/>
                    </w:rPr>
                  </w:pPr>
                </w:p>
              </w:tc>
              <w:tc>
                <w:tcPr>
                  <w:tcW w:w="453" w:type="pct"/>
                  <w:vMerge w:val="continue"/>
                  <w:noWrap w:val="0"/>
                  <w:vAlign w:val="center"/>
                </w:tcPr>
                <w:p w14:paraId="0B21A511">
                  <w:pPr>
                    <w:spacing w:line="240" w:lineRule="auto"/>
                    <w:jc w:val="center"/>
                    <w:rPr>
                      <w:color w:val="auto"/>
                      <w:sz w:val="21"/>
                      <w:szCs w:val="21"/>
                    </w:rPr>
                  </w:pPr>
                </w:p>
              </w:tc>
              <w:tc>
                <w:tcPr>
                  <w:tcW w:w="432" w:type="pct"/>
                  <w:vMerge w:val="continue"/>
                  <w:noWrap w:val="0"/>
                  <w:vAlign w:val="center"/>
                </w:tcPr>
                <w:p w14:paraId="66004202">
                  <w:pPr>
                    <w:spacing w:line="240" w:lineRule="auto"/>
                    <w:jc w:val="center"/>
                    <w:rPr>
                      <w:rFonts w:hint="eastAsia"/>
                      <w:color w:val="auto"/>
                      <w:sz w:val="21"/>
                      <w:szCs w:val="21"/>
                    </w:rPr>
                  </w:pPr>
                </w:p>
              </w:tc>
            </w:tr>
            <w:tr w14:paraId="00AC4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8" w:type="pct"/>
                  <w:vMerge w:val="continue"/>
                  <w:noWrap w:val="0"/>
                  <w:vAlign w:val="center"/>
                </w:tcPr>
                <w:p w14:paraId="5AF7F781">
                  <w:pPr>
                    <w:spacing w:line="240" w:lineRule="auto"/>
                    <w:jc w:val="center"/>
                    <w:rPr>
                      <w:rFonts w:hint="eastAsia"/>
                      <w:color w:val="auto"/>
                      <w:sz w:val="21"/>
                      <w:szCs w:val="21"/>
                      <w:lang w:val="en-US" w:eastAsia="zh-CN"/>
                    </w:rPr>
                  </w:pPr>
                </w:p>
              </w:tc>
              <w:tc>
                <w:tcPr>
                  <w:tcW w:w="685" w:type="pct"/>
                  <w:vMerge w:val="continue"/>
                  <w:noWrap w:val="0"/>
                  <w:vAlign w:val="center"/>
                </w:tcPr>
                <w:p w14:paraId="686F0117">
                  <w:pPr>
                    <w:spacing w:line="240" w:lineRule="auto"/>
                    <w:jc w:val="center"/>
                    <w:rPr>
                      <w:rFonts w:hint="eastAsia"/>
                      <w:color w:val="auto"/>
                      <w:sz w:val="21"/>
                      <w:szCs w:val="21"/>
                    </w:rPr>
                  </w:pPr>
                </w:p>
              </w:tc>
              <w:tc>
                <w:tcPr>
                  <w:tcW w:w="527" w:type="pct"/>
                  <w:vMerge w:val="continue"/>
                  <w:noWrap w:val="0"/>
                  <w:vAlign w:val="center"/>
                </w:tcPr>
                <w:p w14:paraId="5C16044A">
                  <w:pPr>
                    <w:spacing w:line="240" w:lineRule="auto"/>
                    <w:jc w:val="center"/>
                    <w:rPr>
                      <w:rFonts w:hint="eastAsia"/>
                      <w:color w:val="auto"/>
                      <w:sz w:val="21"/>
                      <w:szCs w:val="21"/>
                      <w:lang w:val="en-US" w:eastAsia="zh-CN"/>
                    </w:rPr>
                  </w:pPr>
                </w:p>
              </w:tc>
              <w:tc>
                <w:tcPr>
                  <w:tcW w:w="691" w:type="pct"/>
                  <w:noWrap w:val="0"/>
                  <w:vAlign w:val="center"/>
                </w:tcPr>
                <w:p w14:paraId="6D699A8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s="Times New Roman"/>
                      <w:b w:val="0"/>
                      <w:bCs/>
                      <w:color w:val="auto"/>
                      <w:sz w:val="21"/>
                      <w:szCs w:val="21"/>
                      <w:lang w:val="en-US" w:eastAsia="zh-CN"/>
                    </w:rPr>
                  </w:pPr>
                  <w:r>
                    <w:rPr>
                      <w:rFonts w:hint="eastAsia" w:cs="Times New Roman"/>
                      <w:b w:val="0"/>
                      <w:bCs/>
                      <w:color w:val="auto"/>
                      <w:sz w:val="21"/>
                      <w:szCs w:val="21"/>
                      <w:lang w:val="en-US" w:eastAsia="zh-CN"/>
                    </w:rPr>
                    <w:t>乙苯</w:t>
                  </w:r>
                </w:p>
              </w:tc>
              <w:tc>
                <w:tcPr>
                  <w:tcW w:w="656" w:type="pct"/>
                  <w:vMerge w:val="continue"/>
                  <w:noWrap w:val="0"/>
                  <w:vAlign w:val="center"/>
                </w:tcPr>
                <w:p w14:paraId="32A36DB5">
                  <w:pPr>
                    <w:spacing w:line="240" w:lineRule="auto"/>
                    <w:jc w:val="center"/>
                    <w:rPr>
                      <w:rFonts w:hint="eastAsia"/>
                      <w:color w:val="auto"/>
                      <w:sz w:val="21"/>
                      <w:szCs w:val="21"/>
                    </w:rPr>
                  </w:pPr>
                </w:p>
              </w:tc>
              <w:tc>
                <w:tcPr>
                  <w:tcW w:w="696" w:type="pct"/>
                  <w:vMerge w:val="continue"/>
                  <w:noWrap w:val="0"/>
                  <w:vAlign w:val="center"/>
                </w:tcPr>
                <w:p w14:paraId="59F11276">
                  <w:pPr>
                    <w:spacing w:line="240" w:lineRule="auto"/>
                    <w:jc w:val="center"/>
                    <w:rPr>
                      <w:rFonts w:hint="eastAsia"/>
                      <w:color w:val="auto"/>
                      <w:sz w:val="21"/>
                      <w:szCs w:val="21"/>
                    </w:rPr>
                  </w:pPr>
                </w:p>
              </w:tc>
              <w:tc>
                <w:tcPr>
                  <w:tcW w:w="378" w:type="pct"/>
                  <w:vMerge w:val="continue"/>
                  <w:noWrap w:val="0"/>
                  <w:vAlign w:val="center"/>
                </w:tcPr>
                <w:p w14:paraId="59C36875">
                  <w:pPr>
                    <w:spacing w:line="240" w:lineRule="auto"/>
                    <w:jc w:val="center"/>
                    <w:rPr>
                      <w:rFonts w:hint="eastAsia" w:eastAsia="宋体"/>
                      <w:color w:val="auto"/>
                      <w:sz w:val="21"/>
                      <w:szCs w:val="21"/>
                      <w:lang w:eastAsia="zh-CN"/>
                    </w:rPr>
                  </w:pPr>
                </w:p>
              </w:tc>
              <w:tc>
                <w:tcPr>
                  <w:tcW w:w="453" w:type="pct"/>
                  <w:vMerge w:val="continue"/>
                  <w:noWrap w:val="0"/>
                  <w:vAlign w:val="center"/>
                </w:tcPr>
                <w:p w14:paraId="6E51176C">
                  <w:pPr>
                    <w:spacing w:line="240" w:lineRule="auto"/>
                    <w:jc w:val="center"/>
                    <w:rPr>
                      <w:color w:val="auto"/>
                      <w:sz w:val="21"/>
                      <w:szCs w:val="21"/>
                    </w:rPr>
                  </w:pPr>
                </w:p>
              </w:tc>
              <w:tc>
                <w:tcPr>
                  <w:tcW w:w="432" w:type="pct"/>
                  <w:vMerge w:val="continue"/>
                  <w:noWrap w:val="0"/>
                  <w:vAlign w:val="center"/>
                </w:tcPr>
                <w:p w14:paraId="2D0F7672">
                  <w:pPr>
                    <w:spacing w:line="240" w:lineRule="auto"/>
                    <w:jc w:val="center"/>
                    <w:rPr>
                      <w:rFonts w:hint="eastAsia"/>
                      <w:color w:val="auto"/>
                      <w:sz w:val="21"/>
                      <w:szCs w:val="21"/>
                    </w:rPr>
                  </w:pPr>
                </w:p>
              </w:tc>
            </w:tr>
            <w:tr w14:paraId="19291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8" w:type="pct"/>
                  <w:noWrap w:val="0"/>
                  <w:vAlign w:val="center"/>
                </w:tcPr>
                <w:p w14:paraId="252E12A6">
                  <w:pPr>
                    <w:spacing w:line="240" w:lineRule="auto"/>
                    <w:jc w:val="center"/>
                    <w:rPr>
                      <w:rFonts w:hint="default"/>
                      <w:color w:val="auto"/>
                      <w:sz w:val="21"/>
                      <w:szCs w:val="21"/>
                      <w:lang w:val="en-US" w:eastAsia="zh-CN"/>
                    </w:rPr>
                  </w:pPr>
                  <w:r>
                    <w:rPr>
                      <w:rFonts w:hint="eastAsia"/>
                      <w:color w:val="auto"/>
                      <w:sz w:val="21"/>
                      <w:szCs w:val="21"/>
                      <w:lang w:val="en-US" w:eastAsia="zh-CN"/>
                    </w:rPr>
                    <w:t>DA002</w:t>
                  </w:r>
                </w:p>
              </w:tc>
              <w:tc>
                <w:tcPr>
                  <w:tcW w:w="685" w:type="pct"/>
                  <w:noWrap w:val="0"/>
                  <w:vAlign w:val="center"/>
                </w:tcPr>
                <w:p w14:paraId="634A800B">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破碎粉尘排放口</w:t>
                  </w:r>
                </w:p>
              </w:tc>
              <w:tc>
                <w:tcPr>
                  <w:tcW w:w="527" w:type="pct"/>
                  <w:noWrap w:val="0"/>
                  <w:vAlign w:val="center"/>
                </w:tcPr>
                <w:p w14:paraId="31778851">
                  <w:pPr>
                    <w:spacing w:line="240" w:lineRule="auto"/>
                    <w:jc w:val="center"/>
                    <w:rPr>
                      <w:rFonts w:hint="eastAsia"/>
                      <w:color w:val="auto"/>
                      <w:sz w:val="21"/>
                      <w:szCs w:val="21"/>
                      <w:lang w:val="en-US" w:eastAsia="zh-CN"/>
                    </w:rPr>
                  </w:pPr>
                  <w:r>
                    <w:rPr>
                      <w:rFonts w:hint="eastAsia"/>
                      <w:color w:val="auto"/>
                      <w:sz w:val="21"/>
                      <w:szCs w:val="21"/>
                      <w:lang w:val="en-US" w:eastAsia="zh-CN"/>
                    </w:rPr>
                    <w:t>一般排放口</w:t>
                  </w:r>
                </w:p>
              </w:tc>
              <w:tc>
                <w:tcPr>
                  <w:tcW w:w="691" w:type="pct"/>
                  <w:noWrap w:val="0"/>
                  <w:vAlign w:val="center"/>
                </w:tcPr>
                <w:p w14:paraId="5F863B9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cs="Times New Roman"/>
                      <w:b w:val="0"/>
                      <w:bCs/>
                      <w:color w:val="auto"/>
                      <w:sz w:val="21"/>
                      <w:szCs w:val="21"/>
                      <w:lang w:val="en-US" w:eastAsia="zh-CN"/>
                    </w:rPr>
                  </w:pPr>
                  <w:r>
                    <w:rPr>
                      <w:rFonts w:hint="eastAsia" w:cs="Times New Roman"/>
                      <w:b w:val="0"/>
                      <w:bCs/>
                      <w:color w:val="auto"/>
                      <w:sz w:val="21"/>
                      <w:szCs w:val="21"/>
                      <w:lang w:val="en-US" w:eastAsia="zh-CN"/>
                    </w:rPr>
                    <w:t>颗粒物</w:t>
                  </w:r>
                </w:p>
              </w:tc>
              <w:tc>
                <w:tcPr>
                  <w:tcW w:w="656" w:type="pct"/>
                  <w:noWrap w:val="0"/>
                  <w:vAlign w:val="center"/>
                </w:tcPr>
                <w:p w14:paraId="1812D78D">
                  <w:pPr>
                    <w:spacing w:line="240" w:lineRule="auto"/>
                    <w:jc w:val="center"/>
                    <w:rPr>
                      <w:rFonts w:hint="eastAsia"/>
                      <w:color w:val="auto"/>
                      <w:sz w:val="21"/>
                      <w:szCs w:val="21"/>
                    </w:rPr>
                  </w:pPr>
                  <w:r>
                    <w:rPr>
                      <w:rFonts w:hint="eastAsia"/>
                      <w:color w:val="auto"/>
                      <w:sz w:val="21"/>
                      <w:szCs w:val="21"/>
                    </w:rPr>
                    <w:t>116.902998</w:t>
                  </w:r>
                </w:p>
              </w:tc>
              <w:tc>
                <w:tcPr>
                  <w:tcW w:w="696" w:type="pct"/>
                  <w:noWrap w:val="0"/>
                  <w:vAlign w:val="center"/>
                </w:tcPr>
                <w:p w14:paraId="4BC5D1EB">
                  <w:pPr>
                    <w:spacing w:line="240" w:lineRule="auto"/>
                    <w:jc w:val="center"/>
                    <w:rPr>
                      <w:rFonts w:hint="eastAsia"/>
                      <w:color w:val="auto"/>
                      <w:sz w:val="21"/>
                      <w:szCs w:val="21"/>
                    </w:rPr>
                  </w:pPr>
                  <w:r>
                    <w:rPr>
                      <w:rFonts w:hint="eastAsia"/>
                      <w:color w:val="auto"/>
                      <w:sz w:val="21"/>
                      <w:szCs w:val="21"/>
                    </w:rPr>
                    <w:t>32.701265</w:t>
                  </w:r>
                </w:p>
              </w:tc>
              <w:tc>
                <w:tcPr>
                  <w:tcW w:w="378" w:type="pct"/>
                  <w:noWrap w:val="0"/>
                  <w:vAlign w:val="center"/>
                </w:tcPr>
                <w:p w14:paraId="108E921D">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20</w:t>
                  </w:r>
                </w:p>
              </w:tc>
              <w:tc>
                <w:tcPr>
                  <w:tcW w:w="453" w:type="pct"/>
                  <w:noWrap w:val="0"/>
                  <w:vAlign w:val="center"/>
                </w:tcPr>
                <w:p w14:paraId="7A3D8201">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0.4</w:t>
                  </w:r>
                </w:p>
              </w:tc>
              <w:tc>
                <w:tcPr>
                  <w:tcW w:w="432" w:type="pct"/>
                  <w:noWrap w:val="0"/>
                  <w:vAlign w:val="center"/>
                </w:tcPr>
                <w:p w14:paraId="40E85788">
                  <w:pPr>
                    <w:spacing w:line="240" w:lineRule="auto"/>
                    <w:jc w:val="center"/>
                    <w:rPr>
                      <w:rFonts w:hint="eastAsia"/>
                      <w:color w:val="auto"/>
                      <w:sz w:val="21"/>
                      <w:szCs w:val="21"/>
                    </w:rPr>
                  </w:pPr>
                  <w:r>
                    <w:rPr>
                      <w:rFonts w:hint="eastAsia"/>
                      <w:color w:val="auto"/>
                      <w:sz w:val="21"/>
                      <w:szCs w:val="21"/>
                      <w:lang w:val="en-US" w:eastAsia="zh-CN"/>
                    </w:rPr>
                    <w:t>常温</w:t>
                  </w:r>
                </w:p>
              </w:tc>
            </w:tr>
          </w:tbl>
          <w:p w14:paraId="18FC0016">
            <w:pPr>
              <w:pStyle w:val="8"/>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color w:val="000000" w:themeColor="text1"/>
                <w:highlight w:val="none"/>
                <w:lang w:val="en-US" w:eastAsia="zh-CN"/>
                <w14:textFill>
                  <w14:solidFill>
                    <w14:schemeClr w14:val="tx1"/>
                  </w14:solidFill>
                </w14:textFill>
              </w:rPr>
            </w:pPr>
          </w:p>
        </w:tc>
      </w:tr>
    </w:tbl>
    <w:p w14:paraId="2578F972">
      <w:pPr>
        <w:pStyle w:val="61"/>
        <w:ind w:firstLine="241"/>
        <w:rPr>
          <w:rFonts w:hint="eastAsia"/>
          <w:color w:val="000000" w:themeColor="text1"/>
          <w:sz w:val="24"/>
          <w:szCs w:val="24"/>
          <w14:textFill>
            <w14:solidFill>
              <w14:schemeClr w14:val="tx1"/>
            </w14:solidFill>
          </w14:textFill>
        </w:rPr>
        <w:sectPr>
          <w:pgSz w:w="16840" w:h="11907" w:orient="landscape"/>
          <w:pgMar w:top="1531" w:right="1531" w:bottom="1531" w:left="1531" w:header="851" w:footer="851" w:gutter="0"/>
          <w:pgBorders>
            <w:top w:val="none" w:sz="0" w:space="0"/>
            <w:left w:val="none" w:sz="0" w:space="0"/>
            <w:bottom w:val="none" w:sz="0" w:space="0"/>
            <w:right w:val="none" w:sz="0" w:space="0"/>
          </w:pgBorders>
          <w:cols w:space="720" w:num="1"/>
          <w:docGrid w:linePitch="312" w:charSpace="0"/>
        </w:sectPr>
      </w:pP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8334"/>
      </w:tblGrid>
      <w:tr w14:paraId="5860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1" w:hRule="atLeast"/>
        </w:trPr>
        <w:tc>
          <w:tcPr>
            <w:tcW w:w="401" w:type="pct"/>
            <w:noWrap w:val="0"/>
            <w:vAlign w:val="center"/>
          </w:tcPr>
          <w:p w14:paraId="1A2260A0">
            <w:pPr>
              <w:pStyle w:val="61"/>
              <w:keepNext w:val="0"/>
              <w:keepLines w:val="0"/>
              <w:pageBreakBefore w:val="0"/>
              <w:widowControl w:val="0"/>
              <w:kinsoku/>
              <w:wordWrap/>
              <w:overflowPunct/>
              <w:topLinePunct w:val="0"/>
              <w:autoSpaceDE w:val="0"/>
              <w:autoSpaceDN w:val="0"/>
              <w:bidi w:val="0"/>
              <w:adjustRightInd w:val="0"/>
              <w:snapToGrid w:val="0"/>
              <w:spacing w:line="360" w:lineRule="auto"/>
              <w:ind w:firstLine="0"/>
              <w:textAlignment w:val="auto"/>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运营</w:t>
            </w:r>
          </w:p>
          <w:p w14:paraId="3CB8A222">
            <w:pPr>
              <w:pStyle w:val="61"/>
              <w:keepNext w:val="0"/>
              <w:keepLines w:val="0"/>
              <w:pageBreakBefore w:val="0"/>
              <w:widowControl w:val="0"/>
              <w:kinsoku/>
              <w:wordWrap/>
              <w:overflowPunct/>
              <w:topLinePunct w:val="0"/>
              <w:autoSpaceDE w:val="0"/>
              <w:autoSpaceDN w:val="0"/>
              <w:bidi w:val="0"/>
              <w:adjustRightInd w:val="0"/>
              <w:snapToGrid w:val="0"/>
              <w:spacing w:line="360" w:lineRule="auto"/>
              <w:ind w:firstLine="0"/>
              <w:textAlignment w:val="auto"/>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期环</w:t>
            </w:r>
          </w:p>
          <w:p w14:paraId="242C1D48">
            <w:pPr>
              <w:pStyle w:val="61"/>
              <w:keepNext w:val="0"/>
              <w:keepLines w:val="0"/>
              <w:pageBreakBefore w:val="0"/>
              <w:widowControl w:val="0"/>
              <w:kinsoku/>
              <w:wordWrap/>
              <w:overflowPunct/>
              <w:topLinePunct w:val="0"/>
              <w:autoSpaceDE w:val="0"/>
              <w:autoSpaceDN w:val="0"/>
              <w:bidi w:val="0"/>
              <w:adjustRightInd w:val="0"/>
              <w:snapToGrid w:val="0"/>
              <w:spacing w:line="360" w:lineRule="auto"/>
              <w:ind w:firstLine="0"/>
              <w:textAlignment w:val="auto"/>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境影</w:t>
            </w:r>
          </w:p>
          <w:p w14:paraId="3A6AB93F">
            <w:pPr>
              <w:pStyle w:val="61"/>
              <w:keepNext w:val="0"/>
              <w:keepLines w:val="0"/>
              <w:pageBreakBefore w:val="0"/>
              <w:widowControl w:val="0"/>
              <w:kinsoku/>
              <w:wordWrap/>
              <w:overflowPunct/>
              <w:topLinePunct w:val="0"/>
              <w:autoSpaceDE w:val="0"/>
              <w:autoSpaceDN w:val="0"/>
              <w:bidi w:val="0"/>
              <w:adjustRightInd w:val="0"/>
              <w:snapToGrid w:val="0"/>
              <w:spacing w:line="360" w:lineRule="auto"/>
              <w:ind w:firstLine="0"/>
              <w:textAlignment w:val="auto"/>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响和</w:t>
            </w:r>
          </w:p>
          <w:p w14:paraId="665491E5">
            <w:pPr>
              <w:pStyle w:val="61"/>
              <w:keepNext w:val="0"/>
              <w:keepLines w:val="0"/>
              <w:pageBreakBefore w:val="0"/>
              <w:widowControl w:val="0"/>
              <w:kinsoku/>
              <w:wordWrap/>
              <w:overflowPunct/>
              <w:topLinePunct w:val="0"/>
              <w:autoSpaceDE w:val="0"/>
              <w:autoSpaceDN w:val="0"/>
              <w:bidi w:val="0"/>
              <w:adjustRightInd w:val="0"/>
              <w:snapToGrid w:val="0"/>
              <w:spacing w:line="360" w:lineRule="auto"/>
              <w:ind w:firstLine="0"/>
              <w:textAlignment w:val="auto"/>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保护</w:t>
            </w:r>
          </w:p>
          <w:p w14:paraId="66D1C7F2">
            <w:pPr>
              <w:pStyle w:val="61"/>
              <w:keepNext w:val="0"/>
              <w:keepLines w:val="0"/>
              <w:pageBreakBefore w:val="0"/>
              <w:widowControl w:val="0"/>
              <w:kinsoku/>
              <w:wordWrap/>
              <w:overflowPunct/>
              <w:topLinePunct w:val="0"/>
              <w:autoSpaceDE w:val="0"/>
              <w:autoSpaceDN w:val="0"/>
              <w:bidi w:val="0"/>
              <w:adjustRightInd w:val="0"/>
              <w:snapToGrid w:val="0"/>
              <w:spacing w:line="360" w:lineRule="auto"/>
              <w:ind w:firstLine="0"/>
              <w:textAlignment w:val="auto"/>
              <w:rPr>
                <w:rFonts w:hint="eastAsia"/>
                <w:color w:val="000000" w:themeColor="text1"/>
                <w14:textFill>
                  <w14:solidFill>
                    <w14:schemeClr w14:val="tx1"/>
                  </w14:solidFill>
                </w14:textFill>
              </w:rPr>
            </w:pPr>
            <w:r>
              <w:rPr>
                <w:rFonts w:hint="eastAsia"/>
                <w:b w:val="0"/>
                <w:bCs/>
                <w:color w:val="000000" w:themeColor="text1"/>
                <w:sz w:val="24"/>
                <w:szCs w:val="24"/>
                <w14:textFill>
                  <w14:solidFill>
                    <w14:schemeClr w14:val="tx1"/>
                  </w14:solidFill>
                </w14:textFill>
              </w:rPr>
              <w:t>措</w:t>
            </w:r>
          </w:p>
        </w:tc>
        <w:tc>
          <w:tcPr>
            <w:tcW w:w="4598" w:type="pct"/>
            <w:noWrap w:val="0"/>
            <w:vAlign w:val="top"/>
          </w:tcPr>
          <w:p w14:paraId="66F47A60">
            <w:pPr>
              <w:ind w:firstLine="480" w:firstLineChars="200"/>
              <w:rPr>
                <w:rFonts w:hint="eastAsia"/>
                <w:color w:val="auto"/>
              </w:rPr>
            </w:pPr>
            <w:r>
              <w:rPr>
                <w:rFonts w:hint="eastAsia"/>
                <w:color w:val="auto"/>
              </w:rPr>
              <w:t>（2）废气源强计算</w:t>
            </w:r>
          </w:p>
          <w:p w14:paraId="7E0D9780">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rPr>
                <w:rFonts w:hint="default" w:ascii="Times New Roman" w:hAnsi="Times New Roman" w:eastAsia="宋体"/>
                <w:lang w:val="en-US" w:eastAsia="zh-CN"/>
              </w:rPr>
            </w:pPr>
            <w:r>
              <w:rPr>
                <w:rFonts w:hint="eastAsia" w:ascii="Times New Roman" w:hAnsi="Times New Roman" w:eastAsia="宋体"/>
                <w:lang w:val="en-US" w:eastAsia="zh-CN"/>
              </w:rPr>
              <w:t>1）注塑废气</w:t>
            </w:r>
          </w:p>
          <w:p w14:paraId="2AC30970">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rPr>
                <w:rFonts w:hint="default" w:ascii="Times New Roman" w:hAnsi="Times New Roman" w:eastAsia="宋体"/>
                <w:lang w:val="en-US" w:eastAsia="zh-CN"/>
              </w:rPr>
            </w:pPr>
            <w:r>
              <w:rPr>
                <w:rFonts w:hint="eastAsia" w:ascii="Times New Roman" w:hAnsi="Times New Roman" w:eastAsia="宋体"/>
                <w:lang w:val="en-US" w:eastAsia="zh-CN"/>
              </w:rPr>
              <w:t>A.废气源强</w:t>
            </w:r>
          </w:p>
          <w:p w14:paraId="79520703">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rPr>
                <w:rFonts w:hint="eastAsia" w:ascii="Times New Roman" w:hAnsi="Times New Roman" w:eastAsia="宋体"/>
                <w:lang w:val="en-US" w:eastAsia="zh-CN"/>
              </w:rPr>
            </w:pPr>
            <w:r>
              <w:rPr>
                <w:rFonts w:hint="eastAsia" w:ascii="Times New Roman" w:hAnsi="Times New Roman" w:eastAsia="宋体"/>
                <w:lang w:val="en-US" w:eastAsia="zh-CN"/>
              </w:rPr>
              <w:t>参照《排放源统计调查产排污核算方法和系数手册》2929 塑料零件及其他塑料制品制造行业系数表（续表 1）中注塑工艺挥发性有机物的产污系数为2.7千克/吨产品，本项目塑料件142t，则非甲烷总烃产生量为0.384t/a。</w:t>
            </w:r>
          </w:p>
          <w:p w14:paraId="4A1C4B23">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rPr>
                <w:rFonts w:hint="eastAsia" w:ascii="Times New Roman" w:hAnsi="Times New Roman" w:eastAsia="宋体"/>
                <w:lang w:val="en-US" w:eastAsia="zh-CN"/>
              </w:rPr>
            </w:pPr>
            <w:r>
              <w:rPr>
                <w:rFonts w:hint="eastAsia" w:ascii="Times New Roman" w:hAnsi="Times New Roman" w:eastAsia="宋体"/>
                <w:lang w:val="en-US" w:eastAsia="zh-CN"/>
              </w:rPr>
              <w:t>本项目以</w:t>
            </w:r>
            <w:r>
              <w:rPr>
                <w:rFonts w:hint="default" w:ascii="Times New Roman" w:hAnsi="Times New Roman" w:eastAsia="宋体"/>
                <w:lang w:val="en-US" w:eastAsia="zh-CN"/>
              </w:rPr>
              <w:t>苯乙烯</w:t>
            </w:r>
            <w:r>
              <w:rPr>
                <w:rFonts w:hint="eastAsia" w:ascii="Times New Roman" w:hAnsi="Times New Roman" w:eastAsia="宋体"/>
                <w:lang w:val="en-US" w:eastAsia="zh-CN"/>
              </w:rPr>
              <w:t>、乙苯、丙烯腈、臭气浓度</w:t>
            </w:r>
            <w:r>
              <w:rPr>
                <w:rFonts w:hint="default" w:ascii="Times New Roman" w:hAnsi="Times New Roman" w:eastAsia="宋体"/>
                <w:lang w:val="en-US" w:eastAsia="zh-CN"/>
              </w:rPr>
              <w:t>作为特征因子单独评价</w:t>
            </w:r>
            <w:r>
              <w:rPr>
                <w:rFonts w:hint="eastAsia" w:ascii="Times New Roman" w:hAnsi="Times New Roman" w:eastAsia="宋体"/>
                <w:lang w:val="en-US" w:eastAsia="zh-CN"/>
              </w:rPr>
              <w:t>，其中臭气浓度不进行定量分析，纳入监测计划中。</w:t>
            </w:r>
          </w:p>
          <w:p w14:paraId="6FF542B1">
            <w:pPr>
              <w:keepNext w:val="0"/>
              <w:keepLines w:val="0"/>
              <w:pageBreakBefore w:val="0"/>
              <w:widowControl/>
              <w:suppressLineNumbers w:val="0"/>
              <w:kinsoku/>
              <w:wordWrap/>
              <w:overflowPunct/>
              <w:topLinePunct w:val="0"/>
              <w:autoSpaceDE/>
              <w:autoSpaceDN/>
              <w:bidi w:val="0"/>
              <w:adjustRightInd/>
              <w:snapToGrid/>
              <w:ind w:left="0" w:leftChars="0" w:right="0" w:rightChars="0" w:firstLine="480" w:firstLineChars="200"/>
              <w:jc w:val="both"/>
              <w:textAlignment w:val="auto"/>
              <w:rPr>
                <w:rFonts w:hint="eastAsia" w:ascii="Times New Roman" w:hAnsi="Times New Roman" w:eastAsia="宋体" w:cs="Times New Roman"/>
                <w:color w:val="auto"/>
                <w:szCs w:val="24"/>
                <w:u w:val="none"/>
                <w:lang w:val="en-US" w:eastAsia="zh-CN"/>
              </w:rPr>
            </w:pPr>
            <w:r>
              <w:rPr>
                <w:rFonts w:hint="eastAsia" w:cs="Times New Roman"/>
                <w:color w:val="auto"/>
                <w:szCs w:val="24"/>
                <w:u w:val="none"/>
                <w:lang w:val="en-US" w:eastAsia="zh-CN"/>
              </w:rPr>
              <w:t>ABS初始分解温度＞250℃，本项目</w:t>
            </w:r>
            <w:r>
              <w:rPr>
                <w:rFonts w:hint="eastAsia" w:ascii="Times New Roman" w:hAnsi="Times New Roman" w:eastAsia="宋体" w:cs="Times New Roman"/>
                <w:color w:val="auto"/>
                <w:szCs w:val="24"/>
                <w:u w:val="none"/>
                <w:lang w:val="en-US" w:eastAsia="zh-CN"/>
              </w:rPr>
              <w:t>注塑过程中ABS树脂含有的</w:t>
            </w:r>
            <w:r>
              <w:rPr>
                <w:rFonts w:hint="eastAsia" w:cs="Times New Roman"/>
                <w:color w:val="auto"/>
                <w:szCs w:val="24"/>
                <w:u w:val="none"/>
                <w:lang w:val="en-US" w:eastAsia="zh-CN"/>
              </w:rPr>
              <w:t>游离</w:t>
            </w:r>
            <w:r>
              <w:rPr>
                <w:rFonts w:hint="eastAsia" w:ascii="Times New Roman" w:hAnsi="Times New Roman" w:eastAsia="宋体" w:cs="Times New Roman"/>
                <w:color w:val="auto"/>
                <w:szCs w:val="24"/>
                <w:u w:val="none"/>
                <w:lang w:val="en-US" w:eastAsia="zh-CN"/>
              </w:rPr>
              <w:t>单体苯乙烯、乙苯、丙烯腈会挥发出来</w:t>
            </w:r>
            <w:r>
              <w:rPr>
                <w:rFonts w:hint="eastAsia" w:cs="Times New Roman"/>
                <w:color w:val="auto"/>
                <w:szCs w:val="24"/>
                <w:u w:val="none"/>
                <w:lang w:val="en-US" w:eastAsia="zh-CN"/>
              </w:rPr>
              <w:t>（1,3-丁二烯基本不挥发）</w:t>
            </w:r>
            <w:r>
              <w:rPr>
                <w:rFonts w:hint="eastAsia" w:ascii="Times New Roman" w:hAnsi="Times New Roman" w:eastAsia="宋体" w:cs="Times New Roman"/>
                <w:color w:val="auto"/>
                <w:szCs w:val="24"/>
                <w:u w:val="none"/>
                <w:lang w:val="en-US" w:eastAsia="zh-CN"/>
              </w:rPr>
              <w:t>，参考《丙烯腈一丁二烯－苯乙烯塑料残留单体含量的研究》（炼油与化工第27卷，李丽文章编号1671-4962(2016)06-0062-02）中苯乙烯产污系数为25.55mg/kg、丙烯腈产污系数为10.63mg/kg、乙苯产污系数为15.34mg/kg。</w:t>
            </w:r>
          </w:p>
          <w:p w14:paraId="55FF6E1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本项目ABS树脂用量为</w:t>
            </w:r>
            <w:r>
              <w:rPr>
                <w:rFonts w:hint="eastAsia" w:cs="Times New Roman"/>
                <w:color w:val="auto"/>
                <w:kern w:val="0"/>
                <w:sz w:val="24"/>
                <w:szCs w:val="20"/>
                <w:lang w:val="en-US" w:eastAsia="zh-CN" w:bidi="ar-SA"/>
              </w:rPr>
              <w:t>4</w:t>
            </w:r>
            <w:r>
              <w:rPr>
                <w:rFonts w:hint="eastAsia" w:ascii="Times New Roman" w:hAnsi="Times New Roman" w:eastAsia="宋体" w:cs="Times New Roman"/>
                <w:color w:val="auto"/>
                <w:kern w:val="0"/>
                <w:sz w:val="24"/>
                <w:szCs w:val="20"/>
                <w:lang w:val="en-US" w:eastAsia="zh-CN" w:bidi="ar-SA"/>
              </w:rPr>
              <w:t>0t/a，则苯乙烯产生量为0.0</w:t>
            </w:r>
            <w:r>
              <w:rPr>
                <w:rFonts w:hint="eastAsia" w:cs="Times New Roman"/>
                <w:color w:val="auto"/>
                <w:kern w:val="0"/>
                <w:sz w:val="24"/>
                <w:szCs w:val="20"/>
                <w:lang w:val="en-US" w:eastAsia="zh-CN" w:bidi="ar-SA"/>
              </w:rPr>
              <w:t>0</w:t>
            </w:r>
            <w:r>
              <w:rPr>
                <w:rFonts w:hint="eastAsia" w:ascii="Times New Roman" w:hAnsi="Times New Roman" w:eastAsia="宋体" w:cs="Times New Roman"/>
                <w:color w:val="auto"/>
                <w:kern w:val="0"/>
                <w:sz w:val="24"/>
                <w:szCs w:val="20"/>
                <w:lang w:val="en-US" w:eastAsia="zh-CN" w:bidi="ar-SA"/>
              </w:rPr>
              <w:t>1t/a，丙烯腈产生量为0.00</w:t>
            </w:r>
            <w:r>
              <w:rPr>
                <w:rFonts w:hint="eastAsia" w:cs="Times New Roman"/>
                <w:color w:val="auto"/>
                <w:kern w:val="0"/>
                <w:sz w:val="24"/>
                <w:szCs w:val="20"/>
                <w:lang w:val="en-US" w:eastAsia="zh-CN" w:bidi="ar-SA"/>
              </w:rPr>
              <w:t>04</w:t>
            </w:r>
            <w:r>
              <w:rPr>
                <w:rFonts w:hint="eastAsia" w:ascii="Times New Roman" w:hAnsi="Times New Roman" w:eastAsia="宋体" w:cs="Times New Roman"/>
                <w:color w:val="auto"/>
                <w:kern w:val="0"/>
                <w:sz w:val="24"/>
                <w:szCs w:val="20"/>
                <w:lang w:val="en-US" w:eastAsia="zh-CN" w:bidi="ar-SA"/>
              </w:rPr>
              <w:t>t/a，乙苯产生量为0.0</w:t>
            </w:r>
            <w:r>
              <w:rPr>
                <w:rFonts w:hint="eastAsia" w:cs="Times New Roman"/>
                <w:color w:val="auto"/>
                <w:kern w:val="0"/>
                <w:sz w:val="24"/>
                <w:szCs w:val="20"/>
                <w:lang w:val="en-US" w:eastAsia="zh-CN" w:bidi="ar-SA"/>
              </w:rPr>
              <w:t>006</w:t>
            </w:r>
            <w:r>
              <w:rPr>
                <w:rFonts w:hint="eastAsia" w:ascii="Times New Roman" w:hAnsi="Times New Roman" w:eastAsia="宋体" w:cs="Times New Roman"/>
                <w:color w:val="auto"/>
                <w:kern w:val="0"/>
                <w:sz w:val="24"/>
                <w:szCs w:val="20"/>
                <w:lang w:val="en-US" w:eastAsia="zh-CN" w:bidi="ar-SA"/>
              </w:rPr>
              <w:t>t/a。年注塑时间</w:t>
            </w:r>
            <w:r>
              <w:rPr>
                <w:rFonts w:hint="eastAsia" w:cs="Times New Roman"/>
                <w:color w:val="auto"/>
                <w:kern w:val="0"/>
                <w:sz w:val="24"/>
                <w:szCs w:val="20"/>
                <w:lang w:val="en-US" w:eastAsia="zh-CN" w:bidi="ar-SA"/>
              </w:rPr>
              <w:t>1800</w:t>
            </w:r>
            <w:r>
              <w:rPr>
                <w:rFonts w:hint="eastAsia" w:ascii="Times New Roman" w:hAnsi="Times New Roman" w:eastAsia="宋体" w:cs="Times New Roman"/>
                <w:color w:val="auto"/>
                <w:kern w:val="0"/>
                <w:sz w:val="24"/>
                <w:szCs w:val="20"/>
                <w:lang w:val="en-US" w:eastAsia="zh-CN" w:bidi="ar-SA"/>
              </w:rPr>
              <w:t>h。</w:t>
            </w:r>
          </w:p>
          <w:p w14:paraId="3078C1E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注塑废气密闭收集后经二级活性炭吸附装置（TA001）处理后经25m高排气筒排放。收集效率以95%，二级活性炭处理效率以90%计。</w:t>
            </w:r>
          </w:p>
          <w:p w14:paraId="302355E0">
            <w:pPr>
              <w:pageBreakBefore w:val="0"/>
              <w:kinsoku/>
              <w:wordWrap/>
              <w:overflowPunct/>
              <w:topLinePunct w:val="0"/>
              <w:bidi w:val="0"/>
              <w:ind w:left="0" w:leftChars="0" w:right="0" w:rightChars="0" w:firstLine="480" w:firstLineChars="200"/>
              <w:rPr>
                <w:rFonts w:hint="default" w:ascii="Times New Roman" w:hAnsi="Times New Roman" w:eastAsia="宋体"/>
                <w:lang w:val="en-US" w:eastAsia="zh-CN"/>
              </w:rPr>
            </w:pPr>
            <w:r>
              <w:rPr>
                <w:rFonts w:hint="eastAsia" w:ascii="Times New Roman" w:hAnsi="Times New Roman" w:eastAsia="宋体"/>
                <w:lang w:val="en-US" w:eastAsia="zh-CN"/>
              </w:rPr>
              <w:t>B.风量计算</w:t>
            </w:r>
          </w:p>
          <w:p w14:paraId="54E246BD">
            <w:pPr>
              <w:pageBreakBefore w:val="0"/>
              <w:kinsoku/>
              <w:wordWrap/>
              <w:overflowPunct/>
              <w:topLinePunct w:val="0"/>
              <w:bidi w:val="0"/>
              <w:ind w:left="0" w:leftChars="0" w:right="0" w:rightChars="0" w:firstLine="480" w:firstLineChars="200"/>
              <w:rPr>
                <w:rFonts w:hint="eastAsia" w:ascii="Times New Roman" w:hAnsi="Times New Roman" w:eastAsia="宋体" w:cs="Times New Roman"/>
                <w:color w:val="auto"/>
                <w:kern w:val="0"/>
                <w:szCs w:val="20"/>
                <w:lang w:val="en-US" w:eastAsia="zh-CN" w:bidi="ar-SA"/>
              </w:rPr>
            </w:pPr>
            <w:r>
              <w:rPr>
                <w:rFonts w:hint="default" w:ascii="Times New Roman" w:hAnsi="Times New Roman" w:cs="Times New Roman"/>
                <w:b w:val="0"/>
                <w:bCs/>
                <w:color w:val="auto"/>
                <w:sz w:val="24"/>
                <w:szCs w:val="24"/>
                <w:highlight w:val="none"/>
                <w:lang w:val="en-US" w:eastAsia="zh-CN"/>
              </w:rPr>
              <w:t>项目</w:t>
            </w:r>
            <w:r>
              <w:rPr>
                <w:rFonts w:hint="eastAsia" w:cs="Times New Roman"/>
                <w:b w:val="0"/>
                <w:bCs/>
                <w:color w:val="auto"/>
                <w:sz w:val="24"/>
                <w:szCs w:val="24"/>
                <w:highlight w:val="none"/>
                <w:lang w:val="en-US" w:eastAsia="zh-CN"/>
              </w:rPr>
              <w:t>车间内</w:t>
            </w:r>
            <w:r>
              <w:rPr>
                <w:rFonts w:hint="default" w:ascii="Times New Roman" w:hAnsi="Times New Roman" w:cs="Times New Roman"/>
                <w:b w:val="0"/>
                <w:bCs/>
                <w:color w:val="auto"/>
                <w:sz w:val="24"/>
                <w:szCs w:val="24"/>
                <w:highlight w:val="none"/>
                <w:lang w:val="en-US" w:eastAsia="zh-CN"/>
              </w:rPr>
              <w:t>共设置</w:t>
            </w:r>
            <w:r>
              <w:rPr>
                <w:rFonts w:hint="eastAsia" w:cs="Times New Roman"/>
                <w:b w:val="0"/>
                <w:bCs/>
                <w:color w:val="auto"/>
                <w:sz w:val="24"/>
                <w:szCs w:val="24"/>
                <w:highlight w:val="none"/>
                <w:lang w:val="en-US" w:eastAsia="zh-CN"/>
              </w:rPr>
              <w:t>30</w:t>
            </w:r>
            <w:r>
              <w:rPr>
                <w:rFonts w:hint="default" w:ascii="Times New Roman" w:hAnsi="Times New Roman" w:cs="Times New Roman"/>
                <w:b w:val="0"/>
                <w:bCs/>
                <w:color w:val="auto"/>
                <w:sz w:val="24"/>
                <w:szCs w:val="24"/>
                <w:highlight w:val="none"/>
                <w:lang w:val="en-US" w:eastAsia="zh-CN"/>
              </w:rPr>
              <w:t>台注塑机，</w:t>
            </w:r>
            <w:r>
              <w:rPr>
                <w:rFonts w:hint="eastAsia" w:cs="Times New Roman"/>
                <w:b w:val="0"/>
                <w:bCs/>
                <w:color w:val="auto"/>
                <w:sz w:val="24"/>
                <w:szCs w:val="24"/>
                <w:highlight w:val="none"/>
                <w:lang w:val="en-US" w:eastAsia="zh-CN"/>
              </w:rPr>
              <w:t>注塑区域长度50m，宽度12m，高度3m，每小时换气次数12次，车间内风量为：50m×12m×3m×12次/h=21600m</w:t>
            </w:r>
            <w:r>
              <w:rPr>
                <w:rFonts w:hint="eastAsia" w:cs="Times New Roman"/>
                <w:b w:val="0"/>
                <w:bCs/>
                <w:color w:val="auto"/>
                <w:sz w:val="24"/>
                <w:szCs w:val="24"/>
                <w:highlight w:val="none"/>
                <w:vertAlign w:val="superscript"/>
                <w:lang w:val="en-US" w:eastAsia="zh-CN"/>
              </w:rPr>
              <w:t>3</w:t>
            </w:r>
            <w:r>
              <w:rPr>
                <w:rFonts w:hint="eastAsia" w:cs="Times New Roman"/>
                <w:b w:val="0"/>
                <w:bCs/>
                <w:color w:val="auto"/>
                <w:sz w:val="24"/>
                <w:szCs w:val="24"/>
                <w:highlight w:val="none"/>
                <w:lang w:val="en-US" w:eastAsia="zh-CN"/>
              </w:rPr>
              <w:t>/h，考虑风损，DA001设计风量为26000m</w:t>
            </w:r>
            <w:r>
              <w:rPr>
                <w:rFonts w:hint="eastAsia" w:cs="Times New Roman"/>
                <w:b w:val="0"/>
                <w:bCs/>
                <w:color w:val="auto"/>
                <w:sz w:val="24"/>
                <w:szCs w:val="24"/>
                <w:highlight w:val="none"/>
                <w:vertAlign w:val="superscript"/>
                <w:lang w:val="en-US" w:eastAsia="zh-CN"/>
              </w:rPr>
              <w:t>3</w:t>
            </w:r>
            <w:r>
              <w:rPr>
                <w:rFonts w:hint="eastAsia" w:cs="Times New Roman"/>
                <w:b w:val="0"/>
                <w:bCs/>
                <w:color w:val="auto"/>
                <w:sz w:val="24"/>
                <w:szCs w:val="24"/>
                <w:highlight w:val="none"/>
                <w:lang w:val="en-US" w:eastAsia="zh-CN"/>
              </w:rPr>
              <w:t>/h。</w:t>
            </w:r>
          </w:p>
          <w:p w14:paraId="52D439F7">
            <w:pPr>
              <w:pageBreakBefore w:val="0"/>
              <w:widowControl w:val="0"/>
              <w:numPr>
                <w:ilvl w:val="0"/>
                <w:numId w:val="0"/>
              </w:numPr>
              <w:kinsoku/>
              <w:wordWrap/>
              <w:overflowPunct/>
              <w:topLinePunct w:val="0"/>
              <w:autoSpaceDE w:val="0"/>
              <w:autoSpaceDN w:val="0"/>
              <w:bidi w:val="0"/>
              <w:spacing w:line="360" w:lineRule="auto"/>
              <w:ind w:left="0" w:leftChars="0" w:right="0" w:rightChars="0" w:firstLine="480" w:firstLineChars="200"/>
              <w:jc w:val="both"/>
              <w:rPr>
                <w:rFonts w:hint="default"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2）破碎粉尘</w:t>
            </w:r>
          </w:p>
          <w:p w14:paraId="3380E7C9">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color w:val="auto"/>
                <w:kern w:val="2"/>
                <w:sz w:val="21"/>
                <w:szCs w:val="22"/>
                <w:lang w:val="en-US" w:eastAsia="zh-CN" w:bidi="ar-SA"/>
              </w:rPr>
            </w:pPr>
            <w:r>
              <w:rPr>
                <w:rFonts w:hint="eastAsia" w:ascii="Times New Roman" w:hAnsi="Times New Roman" w:eastAsia="宋体" w:cs="宋体"/>
                <w:b w:val="0"/>
                <w:bCs/>
                <w:color w:val="auto"/>
                <w:kern w:val="2"/>
                <w:sz w:val="24"/>
                <w:szCs w:val="24"/>
                <w:lang w:val="en-US" w:eastAsia="zh-CN" w:bidi="ar-SA"/>
              </w:rPr>
              <w:t>A.源强计算</w:t>
            </w:r>
          </w:p>
          <w:p w14:paraId="21D15FA7">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宋体"/>
                <w:b w:val="0"/>
                <w:bCs/>
                <w:color w:val="auto"/>
                <w:kern w:val="2"/>
                <w:sz w:val="24"/>
                <w:szCs w:val="24"/>
                <w:lang w:val="en-US" w:eastAsia="zh-CN" w:bidi="ar-SA"/>
              </w:rPr>
            </w:pPr>
            <w:r>
              <w:rPr>
                <w:rFonts w:hint="eastAsia" w:ascii="Times New Roman" w:hAnsi="Times New Roman" w:eastAsia="宋体" w:cs="宋体"/>
                <w:b w:val="0"/>
                <w:bCs/>
                <w:color w:val="auto"/>
                <w:kern w:val="2"/>
                <w:sz w:val="24"/>
                <w:szCs w:val="24"/>
                <w:lang w:val="en-US" w:eastAsia="zh-CN" w:bidi="ar-SA"/>
              </w:rPr>
              <w:t>本项目边角料和不合格品产生量约为原料的</w:t>
            </w:r>
            <w:r>
              <w:rPr>
                <w:rFonts w:hint="eastAsia" w:cs="宋体"/>
                <w:b w:val="0"/>
                <w:bCs/>
                <w:color w:val="auto"/>
                <w:kern w:val="2"/>
                <w:sz w:val="24"/>
                <w:szCs w:val="24"/>
                <w:lang w:val="en-US" w:eastAsia="zh-CN" w:bidi="ar-SA"/>
              </w:rPr>
              <w:t>2</w:t>
            </w:r>
            <w:r>
              <w:rPr>
                <w:rFonts w:hint="eastAsia" w:ascii="Times New Roman" w:hAnsi="Times New Roman" w:eastAsia="宋体" w:cs="宋体"/>
                <w:b w:val="0"/>
                <w:bCs/>
                <w:color w:val="auto"/>
                <w:kern w:val="2"/>
                <w:sz w:val="24"/>
                <w:szCs w:val="24"/>
                <w:lang w:val="en-US" w:eastAsia="zh-CN" w:bidi="ar-SA"/>
              </w:rPr>
              <w:t>%（约</w:t>
            </w:r>
            <w:r>
              <w:rPr>
                <w:rFonts w:hint="eastAsia" w:cs="宋体"/>
                <w:b w:val="0"/>
                <w:bCs/>
                <w:color w:val="auto"/>
                <w:kern w:val="2"/>
                <w:sz w:val="24"/>
                <w:szCs w:val="24"/>
                <w:lang w:val="en-US" w:eastAsia="zh-CN" w:bidi="ar-SA"/>
              </w:rPr>
              <w:t>2.84</w:t>
            </w:r>
            <w:r>
              <w:rPr>
                <w:rFonts w:hint="eastAsia" w:ascii="Times New Roman" w:hAnsi="Times New Roman" w:eastAsia="宋体" w:cs="宋体"/>
                <w:b w:val="0"/>
                <w:bCs/>
                <w:color w:val="auto"/>
                <w:kern w:val="2"/>
                <w:sz w:val="24"/>
                <w:szCs w:val="24"/>
                <w:lang w:val="en-US" w:eastAsia="zh-CN" w:bidi="ar-SA"/>
              </w:rPr>
              <w:t>t），边角料和不合格品经破碎机破碎回用于生产，此过程会产生破碎粉尘，参照《排放源统计调查产排污核算方法和系数手册》4220非金属废料和碎屑加工处理行业系数表中破碎工艺颗粒物产生系数废PE/PP为375克/吨-原料，废PS/ABS为425克/吨-原料，则破碎粉尘产生量约</w:t>
            </w:r>
            <w:r>
              <w:rPr>
                <w:rFonts w:hint="eastAsia" w:cs="宋体"/>
                <w:b w:val="0"/>
                <w:bCs/>
                <w:color w:val="auto"/>
                <w:kern w:val="2"/>
                <w:sz w:val="24"/>
                <w:szCs w:val="24"/>
                <w:lang w:val="en-US" w:eastAsia="zh-CN" w:bidi="ar-SA"/>
              </w:rPr>
              <w:t>73</w:t>
            </w:r>
            <w:r>
              <w:rPr>
                <w:rFonts w:hint="eastAsia" w:ascii="Times New Roman" w:hAnsi="Times New Roman" w:eastAsia="宋体" w:cs="宋体"/>
                <w:b w:val="0"/>
                <w:bCs/>
                <w:color w:val="auto"/>
                <w:kern w:val="2"/>
                <w:sz w:val="24"/>
                <w:szCs w:val="24"/>
                <w:lang w:val="en-US" w:eastAsia="zh-CN" w:bidi="ar-SA"/>
              </w:rPr>
              <w:t>t/a×</w:t>
            </w:r>
            <w:r>
              <w:rPr>
                <w:rFonts w:hint="eastAsia" w:cs="宋体"/>
                <w:b w:val="0"/>
                <w:bCs/>
                <w:color w:val="auto"/>
                <w:kern w:val="2"/>
                <w:sz w:val="24"/>
                <w:szCs w:val="24"/>
                <w:lang w:val="en-US" w:eastAsia="zh-CN" w:bidi="ar-SA"/>
              </w:rPr>
              <w:t>2</w:t>
            </w:r>
            <w:r>
              <w:rPr>
                <w:rFonts w:hint="eastAsia" w:ascii="Times New Roman" w:hAnsi="Times New Roman" w:eastAsia="宋体" w:cs="宋体"/>
                <w:b w:val="0"/>
                <w:bCs/>
                <w:color w:val="auto"/>
                <w:kern w:val="2"/>
                <w:sz w:val="24"/>
                <w:szCs w:val="24"/>
                <w:lang w:val="en-US" w:eastAsia="zh-CN" w:bidi="ar-SA"/>
              </w:rPr>
              <w:t>%×375g/t+</w:t>
            </w:r>
            <w:r>
              <w:rPr>
                <w:rFonts w:hint="eastAsia" w:cs="宋体"/>
                <w:b w:val="0"/>
                <w:bCs/>
                <w:color w:val="auto"/>
                <w:kern w:val="2"/>
                <w:sz w:val="24"/>
                <w:szCs w:val="24"/>
                <w:lang w:val="en-US" w:eastAsia="zh-CN" w:bidi="ar-SA"/>
              </w:rPr>
              <w:t>69</w:t>
            </w:r>
            <w:r>
              <w:rPr>
                <w:rFonts w:hint="eastAsia" w:ascii="Times New Roman" w:hAnsi="Times New Roman" w:eastAsia="宋体" w:cs="宋体"/>
                <w:b w:val="0"/>
                <w:bCs/>
                <w:color w:val="auto"/>
                <w:kern w:val="2"/>
                <w:sz w:val="24"/>
                <w:szCs w:val="24"/>
                <w:lang w:val="en-US" w:eastAsia="zh-CN" w:bidi="ar-SA"/>
              </w:rPr>
              <w:t>×2%×425g/t≈0.0</w:t>
            </w:r>
            <w:r>
              <w:rPr>
                <w:rFonts w:hint="eastAsia" w:cs="宋体"/>
                <w:b w:val="0"/>
                <w:bCs/>
                <w:color w:val="auto"/>
                <w:kern w:val="2"/>
                <w:sz w:val="24"/>
                <w:szCs w:val="24"/>
                <w:lang w:val="en-US" w:eastAsia="zh-CN" w:bidi="ar-SA"/>
              </w:rPr>
              <w:t>011</w:t>
            </w:r>
            <w:r>
              <w:rPr>
                <w:rFonts w:hint="eastAsia" w:ascii="Times New Roman" w:hAnsi="Times New Roman" w:eastAsia="宋体" w:cs="宋体"/>
                <w:b w:val="0"/>
                <w:bCs/>
                <w:color w:val="auto"/>
                <w:kern w:val="2"/>
                <w:sz w:val="24"/>
                <w:szCs w:val="24"/>
                <w:lang w:val="en-US" w:eastAsia="zh-CN" w:bidi="ar-SA"/>
              </w:rPr>
              <w:t>t/a。在破碎机上方设集气罩收集后经布袋除尘器处理后经排气筒排放。年粉碎时间约</w:t>
            </w:r>
            <w:r>
              <w:rPr>
                <w:rFonts w:hint="eastAsia" w:cs="宋体"/>
                <w:b w:val="0"/>
                <w:bCs/>
                <w:color w:val="auto"/>
                <w:kern w:val="2"/>
                <w:sz w:val="24"/>
                <w:szCs w:val="24"/>
                <w:lang w:val="en-US" w:eastAsia="zh-CN" w:bidi="ar-SA"/>
              </w:rPr>
              <w:t>60</w:t>
            </w:r>
            <w:r>
              <w:rPr>
                <w:rFonts w:hint="eastAsia" w:ascii="Times New Roman" w:hAnsi="Times New Roman" w:eastAsia="宋体" w:cs="宋体"/>
                <w:b w:val="0"/>
                <w:bCs/>
                <w:color w:val="auto"/>
                <w:kern w:val="2"/>
                <w:sz w:val="24"/>
                <w:szCs w:val="24"/>
                <w:lang w:val="en-US" w:eastAsia="zh-CN" w:bidi="ar-SA"/>
              </w:rPr>
              <w:t>h，集气罩收集效率90%，布袋除尘处理效率99%。单个集气罩尺寸为0.6m×0.6m，根据上吸式集气罩公式：</w:t>
            </w:r>
          </w:p>
          <w:p w14:paraId="14D1C6D0">
            <w:pPr>
              <w:pageBreakBefore w:val="0"/>
              <w:kinsoku/>
              <w:wordWrap/>
              <w:overflowPunct/>
              <w:topLinePunct w:val="0"/>
              <w:bidi w:val="0"/>
              <w:ind w:left="0" w:leftChars="0" w:right="0" w:rightChars="0"/>
              <w:jc w:val="center"/>
              <w:rPr>
                <w:rFonts w:hint="default" w:ascii="Times New Roman" w:hAnsi="Times New Roman" w:eastAsia="宋体"/>
                <w:lang w:val="en-US" w:eastAsia="zh-CN"/>
              </w:rPr>
            </w:pPr>
            <w:r>
              <w:rPr>
                <w:rFonts w:hint="default" w:ascii="Times New Roman" w:hAnsi="Times New Roman" w:eastAsia="宋体"/>
                <w:lang w:val="en-US" w:eastAsia="zh-CN"/>
              </w:rPr>
              <w:t>L=kPHV</w:t>
            </w:r>
            <w:r>
              <w:rPr>
                <w:rFonts w:hint="eastAsia" w:ascii="Times New Roman" w:hAnsi="Times New Roman" w:eastAsia="宋体"/>
                <w:lang w:val="en-US" w:eastAsia="zh-CN"/>
              </w:rPr>
              <w:t>x</w:t>
            </w:r>
          </w:p>
          <w:p w14:paraId="2733FF7E">
            <w:pPr>
              <w:pageBreakBefore w:val="0"/>
              <w:kinsoku/>
              <w:wordWrap/>
              <w:overflowPunct/>
              <w:topLinePunct w:val="0"/>
              <w:bidi w:val="0"/>
              <w:ind w:left="0" w:leftChars="0" w:right="0" w:rightChars="0"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式中：P—排风罩口敞开的周长，m；</w:t>
            </w:r>
          </w:p>
          <w:p w14:paraId="07380376">
            <w:pPr>
              <w:pageBreakBefore w:val="0"/>
              <w:kinsoku/>
              <w:wordWrap/>
              <w:overflowPunct/>
              <w:topLinePunct w:val="0"/>
              <w:bidi w:val="0"/>
              <w:ind w:left="0" w:leftChars="0" w:right="0" w:rightChars="0"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H—罩口至污染源距离，m；H应尽可能小于或等于0.3A（罩口边长尺寸）；</w:t>
            </w:r>
            <w:r>
              <w:rPr>
                <w:rFonts w:hint="eastAsia" w:ascii="Times New Roman" w:hAnsi="Times New Roman" w:eastAsia="宋体"/>
                <w:lang w:val="en-US" w:eastAsia="zh-CN"/>
              </w:rPr>
              <w:t>本项目取0.3。</w:t>
            </w:r>
          </w:p>
          <w:p w14:paraId="23BB6A0C">
            <w:pPr>
              <w:pageBreakBefore w:val="0"/>
              <w:kinsoku/>
              <w:wordWrap/>
              <w:overflowPunct/>
              <w:topLinePunct w:val="0"/>
              <w:bidi w:val="0"/>
              <w:ind w:left="0" w:leftChars="0" w:right="0" w:rightChars="0"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Vx—污染源边缘控制风速，m/s；风速取值范围为0.5~1.0m/s，本项目取值为0.5m/s；</w:t>
            </w:r>
          </w:p>
          <w:p w14:paraId="6825ED35">
            <w:pPr>
              <w:pageBreakBefore w:val="0"/>
              <w:kinsoku/>
              <w:wordWrap/>
              <w:overflowPunct/>
              <w:topLinePunct w:val="0"/>
              <w:bidi w:val="0"/>
              <w:ind w:left="0" w:leftChars="0" w:right="0" w:rightChars="0"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k—安全系数，一般k取1.4。</w:t>
            </w:r>
          </w:p>
          <w:p w14:paraId="748CD611">
            <w:pPr>
              <w:pageBreakBefore w:val="0"/>
              <w:kinsoku/>
              <w:wordWrap/>
              <w:overflowPunct/>
              <w:topLinePunct w:val="0"/>
              <w:bidi w:val="0"/>
              <w:ind w:left="0" w:leftChars="0" w:right="0" w:rightChars="0" w:firstLine="480" w:firstLineChars="200"/>
              <w:rPr>
                <w:rFonts w:hint="default" w:ascii="Times New Roman" w:hAnsi="Times New Roman" w:eastAsia="宋体"/>
                <w:lang w:val="en-US" w:eastAsia="zh-CN"/>
              </w:rPr>
            </w:pPr>
            <w:r>
              <w:rPr>
                <w:rFonts w:hint="eastAsia" w:ascii="Times New Roman" w:hAnsi="Times New Roman" w:eastAsia="宋体"/>
                <w:lang w:val="en-US" w:eastAsia="zh-CN"/>
              </w:rPr>
              <w:t>经计算单个集气罩所需风量为1814.4m</w:t>
            </w:r>
            <w:r>
              <w:rPr>
                <w:rFonts w:hint="eastAsia" w:ascii="Times New Roman" w:hAnsi="Times New Roman" w:eastAsia="宋体"/>
                <w:vertAlign w:val="superscript"/>
                <w:lang w:val="en-US" w:eastAsia="zh-CN"/>
              </w:rPr>
              <w:t>2</w:t>
            </w:r>
            <w:r>
              <w:rPr>
                <w:rFonts w:hint="eastAsia" w:ascii="Times New Roman" w:hAnsi="Times New Roman" w:eastAsia="宋体"/>
                <w:lang w:val="en-US" w:eastAsia="zh-CN"/>
              </w:rPr>
              <w:t>/h，考虑风损取整后所需总风量为</w:t>
            </w:r>
            <w:r>
              <w:rPr>
                <w:rFonts w:hint="eastAsia"/>
                <w:lang w:val="en-US" w:eastAsia="zh-CN"/>
              </w:rPr>
              <w:t>4500</w:t>
            </w:r>
            <w:r>
              <w:rPr>
                <w:rFonts w:hint="eastAsia" w:ascii="Times New Roman" w:hAnsi="Times New Roman" w:eastAsia="宋体"/>
                <w:lang w:val="en-US" w:eastAsia="zh-CN"/>
              </w:rPr>
              <w:t>m</w:t>
            </w:r>
            <w:r>
              <w:rPr>
                <w:rFonts w:hint="eastAsia" w:ascii="Times New Roman" w:hAnsi="Times New Roman" w:eastAsia="宋体"/>
                <w:vertAlign w:val="superscript"/>
                <w:lang w:val="en-US" w:eastAsia="zh-CN"/>
              </w:rPr>
              <w:t>3</w:t>
            </w:r>
            <w:r>
              <w:rPr>
                <w:rFonts w:hint="eastAsia" w:ascii="Times New Roman" w:hAnsi="Times New Roman" w:eastAsia="宋体"/>
                <w:lang w:val="en-US" w:eastAsia="zh-CN"/>
              </w:rPr>
              <w:t>/h</w:t>
            </w:r>
            <w:r>
              <w:rPr>
                <w:rFonts w:hint="eastAsia"/>
                <w:lang w:val="en-US" w:eastAsia="zh-CN"/>
              </w:rPr>
              <w:t>。</w:t>
            </w:r>
          </w:p>
          <w:p w14:paraId="5C6E9B27">
            <w:pPr>
              <w:pStyle w:val="62"/>
              <w:spacing w:before="120" w:beforeLines="50"/>
              <w:ind w:firstLineChars="200"/>
              <w:jc w:val="both"/>
              <w:rPr>
                <w:b w:val="0"/>
                <w:bCs/>
                <w:color w:val="auto"/>
                <w:sz w:val="24"/>
                <w:szCs w:val="24"/>
              </w:rPr>
            </w:pPr>
            <w:r>
              <w:rPr>
                <w:rFonts w:hint="eastAsia"/>
                <w:b w:val="0"/>
                <w:bCs/>
                <w:color w:val="auto"/>
                <w:sz w:val="24"/>
                <w:szCs w:val="24"/>
              </w:rPr>
              <w:t>（3）废气监测要求</w:t>
            </w:r>
          </w:p>
          <w:p w14:paraId="3D52C8FA">
            <w:pPr>
              <w:wordWrap w:val="0"/>
              <w:ind w:firstLine="480" w:firstLineChars="200"/>
              <w:rPr>
                <w:color w:val="auto"/>
                <w:highlight w:val="none"/>
              </w:rPr>
            </w:pPr>
            <w:r>
              <w:rPr>
                <w:rFonts w:hint="eastAsia" w:ascii="Times New Roman" w:hAnsi="Times New Roman" w:eastAsia="宋体" w:cs="Times New Roman"/>
                <w:b w:val="0"/>
                <w:bCs/>
                <w:color w:val="auto"/>
                <w:sz w:val="24"/>
                <w:highlight w:val="none"/>
                <w:lang w:val="en-US" w:eastAsia="zh-CN"/>
              </w:rPr>
              <w:t>根据《固定污染源排污许可分类管理名录》（2019年版）规定，企业属于登记管理，无需申领排污许可证，故亦无需开展自行监测；鉴于企业运营期有污染物外排，建议企业运营期开展污染物排放监测，其监测内容如下表所示：</w:t>
            </w:r>
          </w:p>
          <w:p w14:paraId="44CDDA50">
            <w:pPr>
              <w:spacing w:line="240" w:lineRule="auto"/>
              <w:jc w:val="center"/>
              <w:rPr>
                <w:b/>
                <w:bCs/>
                <w:color w:val="auto"/>
                <w:sz w:val="21"/>
                <w:szCs w:val="21"/>
              </w:rPr>
            </w:pPr>
            <w:r>
              <w:rPr>
                <w:b/>
                <w:bCs/>
                <w:color w:val="auto"/>
                <w:sz w:val="21"/>
                <w:szCs w:val="21"/>
              </w:rPr>
              <w:t>表4-</w:t>
            </w:r>
            <w:r>
              <w:rPr>
                <w:rFonts w:hint="eastAsia"/>
                <w:b/>
                <w:bCs/>
                <w:color w:val="auto"/>
                <w:sz w:val="21"/>
                <w:szCs w:val="21"/>
                <w:lang w:val="en-US" w:eastAsia="zh-CN"/>
              </w:rPr>
              <w:t>4</w:t>
            </w:r>
            <w:r>
              <w:rPr>
                <w:b/>
                <w:bCs/>
                <w:color w:val="auto"/>
                <w:sz w:val="21"/>
                <w:szCs w:val="21"/>
              </w:rPr>
              <w:t xml:space="preserve"> </w:t>
            </w:r>
            <w:r>
              <w:rPr>
                <w:rFonts w:hint="eastAsia"/>
                <w:b/>
                <w:bCs/>
                <w:color w:val="auto"/>
                <w:sz w:val="21"/>
                <w:szCs w:val="21"/>
                <w:lang w:val="en-US" w:eastAsia="zh-CN"/>
              </w:rPr>
              <w:t xml:space="preserve"> </w:t>
            </w:r>
            <w:r>
              <w:rPr>
                <w:b/>
                <w:bCs/>
                <w:color w:val="auto"/>
                <w:sz w:val="21"/>
                <w:szCs w:val="21"/>
              </w:rPr>
              <w:t>项目废气污染源环境监测计划一览表</w:t>
            </w:r>
          </w:p>
          <w:tbl>
            <w:tblPr>
              <w:tblStyle w:val="30"/>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2516"/>
              <w:gridCol w:w="1232"/>
              <w:gridCol w:w="3222"/>
            </w:tblGrid>
            <w:tr w14:paraId="5B829F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pct"/>
                  <w:tcBorders>
                    <w:tl2br w:val="nil"/>
                    <w:tr2bl w:val="nil"/>
                  </w:tcBorders>
                  <w:vAlign w:val="center"/>
                </w:tcPr>
                <w:p w14:paraId="641D0A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监测点位</w:t>
                  </w:r>
                </w:p>
              </w:tc>
              <w:tc>
                <w:tcPr>
                  <w:tcW w:w="1550" w:type="pct"/>
                  <w:tcBorders>
                    <w:tl2br w:val="nil"/>
                    <w:tr2bl w:val="nil"/>
                  </w:tcBorders>
                  <w:vAlign w:val="center"/>
                </w:tcPr>
                <w:p w14:paraId="7886A3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监测指标</w:t>
                  </w:r>
                </w:p>
              </w:tc>
              <w:tc>
                <w:tcPr>
                  <w:tcW w:w="759" w:type="pct"/>
                  <w:tcBorders>
                    <w:tl2br w:val="nil"/>
                    <w:tr2bl w:val="nil"/>
                  </w:tcBorders>
                  <w:vAlign w:val="center"/>
                </w:tcPr>
                <w:p w14:paraId="226414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监测频次</w:t>
                  </w:r>
                </w:p>
              </w:tc>
              <w:tc>
                <w:tcPr>
                  <w:tcW w:w="1985" w:type="pct"/>
                  <w:tcBorders>
                    <w:tl2br w:val="nil"/>
                    <w:tr2bl w:val="nil"/>
                  </w:tcBorders>
                  <w:vAlign w:val="center"/>
                </w:tcPr>
                <w:p w14:paraId="476B29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执行排放标准</w:t>
                  </w:r>
                </w:p>
              </w:tc>
            </w:tr>
            <w:tr w14:paraId="3BB07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pct"/>
                  <w:vMerge w:val="restart"/>
                  <w:tcBorders>
                    <w:tl2br w:val="nil"/>
                    <w:tr2bl w:val="nil"/>
                  </w:tcBorders>
                  <w:vAlign w:val="center"/>
                </w:tcPr>
                <w:p w14:paraId="7CD6F1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DA001</w:t>
                  </w:r>
                </w:p>
              </w:tc>
              <w:tc>
                <w:tcPr>
                  <w:tcW w:w="1550" w:type="pct"/>
                  <w:tcBorders>
                    <w:tl2br w:val="nil"/>
                    <w:tr2bl w:val="nil"/>
                  </w:tcBorders>
                  <w:vAlign w:val="center"/>
                </w:tcPr>
                <w:p w14:paraId="5E8CB1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ascii="Times New Roman" w:hAnsi="Times New Roman" w:cs="Times New Roman"/>
                      <w:b w:val="0"/>
                      <w:bCs w:val="0"/>
                      <w:color w:val="auto"/>
                      <w:sz w:val="21"/>
                      <w:szCs w:val="21"/>
                      <w:lang w:val="en-US" w:eastAsia="zh-CN"/>
                    </w:rPr>
                    <w:t>非甲烷总烃、苯乙烯</w:t>
                  </w:r>
                  <w:r>
                    <w:rPr>
                      <w:rFonts w:hint="eastAsia" w:cs="Times New Roman"/>
                      <w:b w:val="0"/>
                      <w:bCs w:val="0"/>
                      <w:color w:val="auto"/>
                      <w:sz w:val="21"/>
                      <w:szCs w:val="21"/>
                      <w:lang w:val="en-US" w:eastAsia="zh-CN"/>
                    </w:rPr>
                    <w:t>、丙烯腈、乙苯、1,3-丁二烯</w:t>
                  </w:r>
                  <w:r>
                    <w:rPr>
                      <w:rFonts w:hint="eastAsia" w:cs="Times New Roman"/>
                      <w:b w:val="0"/>
                      <w:bCs w:val="0"/>
                      <w:color w:val="auto"/>
                      <w:sz w:val="21"/>
                      <w:szCs w:val="21"/>
                      <w:vertAlign w:val="superscript"/>
                      <w:lang w:val="en-US" w:eastAsia="zh-CN"/>
                    </w:rPr>
                    <w:t>①</w:t>
                  </w:r>
                </w:p>
              </w:tc>
              <w:tc>
                <w:tcPr>
                  <w:tcW w:w="759" w:type="pct"/>
                  <w:tcBorders>
                    <w:tl2br w:val="nil"/>
                    <w:tr2bl w:val="nil"/>
                  </w:tcBorders>
                  <w:vAlign w:val="center"/>
                </w:tcPr>
                <w:p w14:paraId="3B05B6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1次/年</w:t>
                  </w:r>
                </w:p>
              </w:tc>
              <w:tc>
                <w:tcPr>
                  <w:tcW w:w="1985" w:type="pct"/>
                  <w:tcBorders>
                    <w:tl2br w:val="nil"/>
                    <w:tr2bl w:val="nil"/>
                  </w:tcBorders>
                  <w:vAlign w:val="center"/>
                </w:tcPr>
                <w:p w14:paraId="7E49B6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《固定源挥发性有机物综合排放标准 第6部分：其他行业》（DB34/4812.6—2024）</w:t>
                  </w:r>
                </w:p>
              </w:tc>
            </w:tr>
            <w:tr w14:paraId="0012C1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pct"/>
                  <w:vMerge w:val="continue"/>
                  <w:tcBorders>
                    <w:tl2br w:val="nil"/>
                    <w:tr2bl w:val="nil"/>
                  </w:tcBorders>
                  <w:vAlign w:val="center"/>
                </w:tcPr>
                <w:p w14:paraId="3D5F35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rPr>
                  </w:pPr>
                </w:p>
              </w:tc>
              <w:tc>
                <w:tcPr>
                  <w:tcW w:w="1550" w:type="pct"/>
                  <w:tcBorders>
                    <w:tl2br w:val="nil"/>
                    <w:tr2bl w:val="nil"/>
                  </w:tcBorders>
                  <w:vAlign w:val="center"/>
                </w:tcPr>
                <w:p w14:paraId="6B53D1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臭气浓度</w:t>
                  </w:r>
                </w:p>
              </w:tc>
              <w:tc>
                <w:tcPr>
                  <w:tcW w:w="759" w:type="pct"/>
                  <w:tcBorders>
                    <w:tl2br w:val="nil"/>
                    <w:tr2bl w:val="nil"/>
                  </w:tcBorders>
                  <w:vAlign w:val="center"/>
                </w:tcPr>
                <w:p w14:paraId="769703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1次/年</w:t>
                  </w:r>
                </w:p>
              </w:tc>
              <w:tc>
                <w:tcPr>
                  <w:tcW w:w="1985" w:type="pct"/>
                  <w:tcBorders>
                    <w:tl2br w:val="nil"/>
                    <w:tr2bl w:val="nil"/>
                  </w:tcBorders>
                  <w:vAlign w:val="center"/>
                </w:tcPr>
                <w:p w14:paraId="488080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《恶臭污染物排放标准》（GB14554-93）</w:t>
                  </w:r>
                </w:p>
              </w:tc>
            </w:tr>
            <w:tr w14:paraId="748B3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pct"/>
                  <w:tcBorders>
                    <w:tl2br w:val="nil"/>
                    <w:tr2bl w:val="nil"/>
                  </w:tcBorders>
                  <w:vAlign w:val="center"/>
                </w:tcPr>
                <w:p w14:paraId="2C3C87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DA002</w:t>
                  </w:r>
                </w:p>
              </w:tc>
              <w:tc>
                <w:tcPr>
                  <w:tcW w:w="1550" w:type="pct"/>
                  <w:tcBorders>
                    <w:tl2br w:val="nil"/>
                    <w:tr2bl w:val="nil"/>
                  </w:tcBorders>
                  <w:vAlign w:val="center"/>
                </w:tcPr>
                <w:p w14:paraId="3D6B50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颗粒物</w:t>
                  </w:r>
                </w:p>
              </w:tc>
              <w:tc>
                <w:tcPr>
                  <w:tcW w:w="759" w:type="pct"/>
                  <w:tcBorders>
                    <w:tl2br w:val="nil"/>
                    <w:tr2bl w:val="nil"/>
                  </w:tcBorders>
                  <w:vAlign w:val="center"/>
                </w:tcPr>
                <w:p w14:paraId="2946A5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1次/年</w:t>
                  </w:r>
                </w:p>
              </w:tc>
              <w:tc>
                <w:tcPr>
                  <w:tcW w:w="1985" w:type="pct"/>
                  <w:tcBorders>
                    <w:tl2br w:val="nil"/>
                    <w:tr2bl w:val="nil"/>
                  </w:tcBorders>
                  <w:vAlign w:val="center"/>
                </w:tcPr>
                <w:p w14:paraId="0708D9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《合成树脂工业污染物排放标准》（GB31572-2015）</w:t>
                  </w:r>
                </w:p>
              </w:tc>
            </w:tr>
            <w:tr w14:paraId="3E8946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pct"/>
                  <w:tcBorders>
                    <w:tl2br w:val="nil"/>
                    <w:tr2bl w:val="nil"/>
                  </w:tcBorders>
                  <w:vAlign w:val="center"/>
                </w:tcPr>
                <w:p w14:paraId="3A838F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厂界</w:t>
                  </w:r>
                </w:p>
              </w:tc>
              <w:tc>
                <w:tcPr>
                  <w:tcW w:w="1550" w:type="pct"/>
                  <w:tcBorders>
                    <w:tl2br w:val="nil"/>
                    <w:tr2bl w:val="nil"/>
                  </w:tcBorders>
                  <w:vAlign w:val="center"/>
                </w:tcPr>
                <w:p w14:paraId="6AB8E5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非甲烷总烃</w:t>
                  </w:r>
                  <w:r>
                    <w:rPr>
                      <w:rFonts w:hint="eastAsia" w:cs="Times New Roman"/>
                      <w:b w:val="0"/>
                      <w:bCs w:val="0"/>
                      <w:color w:val="auto"/>
                      <w:sz w:val="21"/>
                      <w:szCs w:val="21"/>
                      <w:lang w:val="en-US" w:eastAsia="zh-CN"/>
                    </w:rPr>
                    <w:t>、颗粒物、丙烯腈、臭气浓度</w:t>
                  </w:r>
                  <w:r>
                    <w:rPr>
                      <w:rFonts w:hint="default" w:ascii="Times New Roman" w:hAnsi="Times New Roman" w:cs="Times New Roman"/>
                      <w:b w:val="0"/>
                      <w:bCs w:val="0"/>
                      <w:color w:val="auto"/>
                      <w:sz w:val="21"/>
                      <w:szCs w:val="21"/>
                      <w:lang w:val="en-US" w:eastAsia="zh-CN"/>
                    </w:rPr>
                    <w:t>、苯乙烯</w:t>
                  </w:r>
                </w:p>
              </w:tc>
              <w:tc>
                <w:tcPr>
                  <w:tcW w:w="759" w:type="pct"/>
                  <w:tcBorders>
                    <w:tl2br w:val="nil"/>
                    <w:tr2bl w:val="nil"/>
                  </w:tcBorders>
                  <w:vAlign w:val="center"/>
                </w:tcPr>
                <w:p w14:paraId="7B8BD1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1次/年</w:t>
                  </w:r>
                </w:p>
              </w:tc>
              <w:tc>
                <w:tcPr>
                  <w:tcW w:w="1985" w:type="pct"/>
                  <w:vMerge w:val="restart"/>
                  <w:tcBorders>
                    <w:tl2br w:val="nil"/>
                    <w:tr2bl w:val="nil"/>
                  </w:tcBorders>
                  <w:vAlign w:val="center"/>
                </w:tcPr>
                <w:p w14:paraId="621F37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《合成树脂工业污染物排放标准》（GB31572-2015）</w:t>
                  </w:r>
                  <w:r>
                    <w:rPr>
                      <w:rFonts w:hint="eastAsia" w:cs="Times New Roman"/>
                      <w:color w:val="auto"/>
                      <w:sz w:val="21"/>
                      <w:szCs w:val="21"/>
                      <w:lang w:val="en-US" w:eastAsia="zh-CN"/>
                    </w:rPr>
                    <w:t>、</w:t>
                  </w:r>
                </w:p>
                <w:p w14:paraId="0D738E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《恶臭污染物排放标准》（GB14554-93）</w:t>
                  </w:r>
                  <w:r>
                    <w:rPr>
                      <w:rFonts w:hint="eastAsia" w:ascii="Times New Roman" w:hAnsi="Times New Roman" w:eastAsia="宋体" w:cs="Times New Roman"/>
                      <w:color w:val="auto"/>
                      <w:sz w:val="21"/>
                      <w:szCs w:val="21"/>
                      <w:lang w:val="en-US" w:eastAsia="zh-CN"/>
                    </w:rPr>
                    <w:t>、</w:t>
                  </w:r>
                </w:p>
                <w:p w14:paraId="1BD90B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rPr>
                    <w:t>《固定源挥发性有机物综合排放标准 第6部分：其他行业》（DB34/4812.6—2024）</w:t>
                  </w:r>
                </w:p>
              </w:tc>
            </w:tr>
            <w:tr w14:paraId="1C39F8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pct"/>
                  <w:tcBorders>
                    <w:tl2br w:val="nil"/>
                    <w:tr2bl w:val="nil"/>
                  </w:tcBorders>
                  <w:vAlign w:val="center"/>
                </w:tcPr>
                <w:p w14:paraId="23A2CC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厂区内</w:t>
                  </w:r>
                </w:p>
              </w:tc>
              <w:tc>
                <w:tcPr>
                  <w:tcW w:w="1550" w:type="pct"/>
                  <w:tcBorders>
                    <w:tl2br w:val="nil"/>
                    <w:tr2bl w:val="nil"/>
                  </w:tcBorders>
                  <w:vAlign w:val="center"/>
                </w:tcPr>
                <w:p w14:paraId="78E263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非甲烷总烃</w:t>
                  </w:r>
                </w:p>
              </w:tc>
              <w:tc>
                <w:tcPr>
                  <w:tcW w:w="759" w:type="pct"/>
                  <w:tcBorders>
                    <w:tl2br w:val="nil"/>
                    <w:tr2bl w:val="nil"/>
                  </w:tcBorders>
                  <w:vAlign w:val="center"/>
                </w:tcPr>
                <w:p w14:paraId="235A92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1次/年</w:t>
                  </w:r>
                </w:p>
              </w:tc>
              <w:tc>
                <w:tcPr>
                  <w:tcW w:w="1985" w:type="pct"/>
                  <w:vMerge w:val="continue"/>
                  <w:tcBorders>
                    <w:tl2br w:val="nil"/>
                    <w:tr2bl w:val="nil"/>
                  </w:tcBorders>
                  <w:vAlign w:val="center"/>
                </w:tcPr>
                <w:p w14:paraId="606654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p>
              </w:tc>
            </w:tr>
          </w:tbl>
          <w:p w14:paraId="5EDF4A93">
            <w:pPr>
              <w:pStyle w:val="59"/>
              <w:keepNext w:val="0"/>
              <w:keepLines w:val="0"/>
              <w:pageBreakBefore w:val="0"/>
              <w:widowControl w:val="0"/>
              <w:kinsoku/>
              <w:wordWrap/>
              <w:overflowPunct w:val="0"/>
              <w:topLinePunct w:val="0"/>
              <w:autoSpaceDE w:val="0"/>
              <w:autoSpaceDN w:val="0"/>
              <w:bidi w:val="0"/>
              <w:adjustRightInd w:val="0"/>
              <w:snapToGrid/>
              <w:spacing w:line="240" w:lineRule="auto"/>
              <w:jc w:val="both"/>
              <w:textAlignment w:val="baseline"/>
              <w:rPr>
                <w:b/>
                <w:bCs/>
                <w:color w:val="FF0000"/>
                <w:sz w:val="21"/>
                <w:szCs w:val="21"/>
              </w:rPr>
            </w:pPr>
            <w:r>
              <w:rPr>
                <w:rFonts w:hint="eastAsia"/>
                <w:color w:val="000000" w:themeColor="text1"/>
                <w:szCs w:val="21"/>
                <w:lang w:val="en-US" w:eastAsia="zh-CN"/>
                <w14:textFill>
                  <w14:solidFill>
                    <w14:schemeClr w14:val="tx1"/>
                  </w14:solidFill>
                </w14:textFill>
              </w:rPr>
              <w:t>注：①待国家污染物监测方法标准发布后实施。</w:t>
            </w:r>
          </w:p>
          <w:p w14:paraId="34F22E61">
            <w:pPr>
              <w:pStyle w:val="62"/>
              <w:ind w:firstLineChars="200"/>
              <w:jc w:val="both"/>
              <w:rPr>
                <w:rFonts w:hint="eastAsia"/>
                <w:b w:val="0"/>
                <w:bCs/>
                <w:color w:val="auto"/>
                <w:sz w:val="24"/>
                <w:szCs w:val="24"/>
              </w:rPr>
            </w:pPr>
            <w:r>
              <w:rPr>
                <w:rFonts w:hint="eastAsia"/>
                <w:b w:val="0"/>
                <w:bCs/>
                <w:color w:val="auto"/>
                <w:sz w:val="24"/>
                <w:szCs w:val="24"/>
              </w:rPr>
              <w:t>（4）非正常排放情况</w:t>
            </w:r>
          </w:p>
          <w:p w14:paraId="15567FBC">
            <w:pPr>
              <w:pageBreakBefore w:val="0"/>
              <w:kinsoku/>
              <w:wordWrap/>
              <w:overflowPunct/>
              <w:topLinePunct w:val="0"/>
              <w:autoSpaceDE w:val="0"/>
              <w:autoSpaceDN w:val="0"/>
              <w:bidi w:val="0"/>
              <w:adjustRightInd w:val="0"/>
              <w:ind w:left="0" w:leftChars="0" w:right="0" w:rightChars="0" w:firstLine="480" w:firstLineChars="200"/>
              <w:rPr>
                <w:rFonts w:hint="eastAsia"/>
                <w:color w:val="auto"/>
              </w:rPr>
            </w:pPr>
            <w:r>
              <w:rPr>
                <w:rFonts w:hint="default" w:ascii="Times New Roman" w:hAnsi="Times New Roman" w:eastAsia="宋体"/>
                <w:color w:val="auto"/>
                <w:lang w:val="en-US" w:eastAsia="zh-CN"/>
              </w:rPr>
              <w:t>根据项目特征，本项目在非正常工况下可能排放的污染物对环境影响较大的主要为车间废气治理设施运行出现事故，达不到设计处理效率时的污染物排放。废气治理装置故障或失效，废气未经净化处理直接排入大气，将造成周围大气环境污染。环评要求当废气处理系统出现故障时立即停止生产，但为防止损坏设备，建设单位拟在故障时运行1h，将正在生产的物料加工完成。</w:t>
            </w:r>
            <w:r>
              <w:rPr>
                <w:rFonts w:ascii="Times New Roman" w:hAnsi="Times New Roman" w:eastAsia="宋体"/>
                <w:color w:val="auto"/>
                <w:szCs w:val="24"/>
              </w:rPr>
              <w:t>废气未经处理直接排放：废气处理设施损坏，导致处理效率下降，而出现废气未经有效处理直接排放，按处理效率为</w:t>
            </w:r>
            <w:r>
              <w:rPr>
                <w:rFonts w:hint="eastAsia" w:ascii="Times New Roman" w:hAnsi="Times New Roman" w:eastAsia="宋体"/>
                <w:color w:val="auto"/>
                <w:szCs w:val="24"/>
                <w:lang w:val="en-US" w:eastAsia="zh-CN"/>
              </w:rPr>
              <w:t>0</w:t>
            </w:r>
            <w:r>
              <w:rPr>
                <w:rFonts w:ascii="Times New Roman" w:hAnsi="Times New Roman" w:eastAsia="宋体"/>
                <w:color w:val="auto"/>
                <w:szCs w:val="24"/>
              </w:rPr>
              <w:t>。</w:t>
            </w:r>
            <w:r>
              <w:rPr>
                <w:color w:val="auto"/>
              </w:rPr>
              <w:t>经计算，在非正常工况下，各污染物有组织排放情况见下表。</w:t>
            </w:r>
          </w:p>
          <w:p w14:paraId="1A089FB1">
            <w:pPr>
              <w:pStyle w:val="63"/>
              <w:spacing w:line="240" w:lineRule="auto"/>
              <w:rPr>
                <w:rFonts w:hint="eastAsia"/>
                <w:color w:val="auto"/>
              </w:rPr>
            </w:pPr>
            <w:r>
              <w:rPr>
                <w:rFonts w:hint="eastAsia"/>
                <w:color w:val="auto"/>
              </w:rPr>
              <w:t>表4-</w:t>
            </w:r>
            <w:r>
              <w:rPr>
                <w:rFonts w:hint="eastAsia"/>
                <w:color w:val="auto"/>
                <w:lang w:val="en-US" w:eastAsia="zh-CN"/>
              </w:rPr>
              <w:t>5</w:t>
            </w:r>
            <w:r>
              <w:rPr>
                <w:rFonts w:hint="eastAsia"/>
                <w:color w:val="auto"/>
              </w:rPr>
              <w:t xml:space="preserve"> </w:t>
            </w:r>
            <w:r>
              <w:rPr>
                <w:rFonts w:hint="eastAsia"/>
                <w:color w:val="auto"/>
                <w:lang w:val="en-US" w:eastAsia="zh-CN"/>
              </w:rPr>
              <w:t xml:space="preserve"> </w:t>
            </w:r>
            <w:r>
              <w:rPr>
                <w:rFonts w:hint="eastAsia"/>
                <w:color w:val="auto"/>
              </w:rPr>
              <w:t>项目污染源非正常排放参数表</w:t>
            </w:r>
          </w:p>
          <w:tbl>
            <w:tblPr>
              <w:tblStyle w:val="30"/>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2"/>
              <w:gridCol w:w="1365"/>
              <w:gridCol w:w="1050"/>
              <w:gridCol w:w="1245"/>
              <w:gridCol w:w="1515"/>
              <w:gridCol w:w="930"/>
              <w:gridCol w:w="1035"/>
            </w:tblGrid>
            <w:tr w14:paraId="50841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9" w:type="pct"/>
                  <w:tcBorders>
                    <w:tl2br w:val="nil"/>
                    <w:tr2bl w:val="nil"/>
                  </w:tcBorders>
                  <w:vAlign w:val="center"/>
                </w:tcPr>
                <w:p w14:paraId="117CBD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非正常排放源</w:t>
                  </w:r>
                </w:p>
              </w:tc>
              <w:tc>
                <w:tcPr>
                  <w:tcW w:w="841" w:type="pct"/>
                  <w:tcBorders>
                    <w:tl2br w:val="nil"/>
                    <w:tr2bl w:val="nil"/>
                  </w:tcBorders>
                  <w:vAlign w:val="center"/>
                </w:tcPr>
                <w:p w14:paraId="725E1E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非正常排放原因</w:t>
                  </w:r>
                </w:p>
              </w:tc>
              <w:tc>
                <w:tcPr>
                  <w:tcW w:w="647" w:type="pct"/>
                  <w:tcBorders>
                    <w:tl2br w:val="nil"/>
                    <w:tr2bl w:val="nil"/>
                  </w:tcBorders>
                  <w:vAlign w:val="center"/>
                </w:tcPr>
                <w:p w14:paraId="7D6C84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污染物</w:t>
                  </w:r>
                </w:p>
              </w:tc>
              <w:tc>
                <w:tcPr>
                  <w:tcW w:w="767" w:type="pct"/>
                  <w:tcBorders>
                    <w:tl2br w:val="nil"/>
                    <w:tr2bl w:val="nil"/>
                  </w:tcBorders>
                  <w:vAlign w:val="center"/>
                </w:tcPr>
                <w:p w14:paraId="1A7578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非正常排放</w:t>
                  </w:r>
                  <w:r>
                    <w:rPr>
                      <w:rFonts w:hint="eastAsia" w:cs="Times New Roman"/>
                      <w:b/>
                      <w:bCs/>
                      <w:color w:val="auto"/>
                      <w:sz w:val="21"/>
                      <w:szCs w:val="21"/>
                      <w:vertAlign w:val="baseline"/>
                      <w:lang w:val="en-US" w:eastAsia="zh-CN"/>
                    </w:rPr>
                    <w:t>量</w:t>
                  </w:r>
                  <w:r>
                    <w:rPr>
                      <w:rFonts w:hint="eastAsia" w:ascii="Times New Roman" w:hAnsi="Times New Roman" w:cs="Times New Roman"/>
                      <w:b/>
                      <w:bCs/>
                      <w:color w:val="auto"/>
                      <w:sz w:val="21"/>
                      <w:szCs w:val="21"/>
                      <w:vertAlign w:val="baseline"/>
                      <w:lang w:val="en-US" w:eastAsia="zh-CN"/>
                    </w:rPr>
                    <w:t>/（</w:t>
                  </w:r>
                  <w:r>
                    <w:rPr>
                      <w:rFonts w:hint="eastAsia" w:cs="Times New Roman"/>
                      <w:b/>
                      <w:color w:val="auto"/>
                      <w:sz w:val="21"/>
                      <w:szCs w:val="21"/>
                      <w:highlight w:val="none"/>
                      <w:lang w:val="en-US" w:eastAsia="zh-CN"/>
                    </w:rPr>
                    <w:t>t</w:t>
                  </w:r>
                  <w:r>
                    <w:rPr>
                      <w:rFonts w:hint="default" w:ascii="Times New Roman" w:hAnsi="Times New Roman" w:cs="Times New Roman"/>
                      <w:b/>
                      <w:color w:val="auto"/>
                      <w:sz w:val="21"/>
                      <w:szCs w:val="21"/>
                      <w:highlight w:val="none"/>
                    </w:rPr>
                    <w:t>/</w:t>
                  </w:r>
                  <w:r>
                    <w:rPr>
                      <w:rFonts w:hint="eastAsia" w:cs="Times New Roman"/>
                      <w:b/>
                      <w:color w:val="auto"/>
                      <w:sz w:val="21"/>
                      <w:szCs w:val="21"/>
                      <w:highlight w:val="none"/>
                      <w:lang w:val="en-US" w:eastAsia="zh-CN"/>
                    </w:rPr>
                    <w:t>a</w:t>
                  </w:r>
                  <w:r>
                    <w:rPr>
                      <w:rFonts w:hint="eastAsia" w:ascii="Times New Roman" w:hAnsi="Times New Roman" w:cs="Times New Roman"/>
                      <w:b/>
                      <w:bCs/>
                      <w:color w:val="auto"/>
                      <w:sz w:val="21"/>
                      <w:szCs w:val="21"/>
                      <w:vertAlign w:val="baseline"/>
                      <w:lang w:val="en-US" w:eastAsia="zh-CN"/>
                    </w:rPr>
                    <w:t>）</w:t>
                  </w:r>
                </w:p>
              </w:tc>
              <w:tc>
                <w:tcPr>
                  <w:tcW w:w="933" w:type="pct"/>
                  <w:tcBorders>
                    <w:tl2br w:val="nil"/>
                    <w:tr2bl w:val="nil"/>
                  </w:tcBorders>
                  <w:vAlign w:val="center"/>
                </w:tcPr>
                <w:p w14:paraId="791380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非正常排放浓度/（</w:t>
                  </w:r>
                  <w:r>
                    <w:rPr>
                      <w:rFonts w:hint="default" w:ascii="Times New Roman" w:hAnsi="Times New Roman" w:cs="Times New Roman"/>
                      <w:b/>
                      <w:color w:val="auto"/>
                      <w:sz w:val="21"/>
                      <w:szCs w:val="21"/>
                      <w:highlight w:val="none"/>
                    </w:rPr>
                    <w:t>mg/m</w:t>
                  </w:r>
                  <w:r>
                    <w:rPr>
                      <w:rFonts w:hint="default" w:ascii="Times New Roman" w:hAnsi="Times New Roman" w:cs="Times New Roman"/>
                      <w:b/>
                      <w:color w:val="auto"/>
                      <w:sz w:val="21"/>
                      <w:szCs w:val="21"/>
                      <w:highlight w:val="none"/>
                      <w:vertAlign w:val="superscript"/>
                    </w:rPr>
                    <w:t>3</w:t>
                  </w:r>
                  <w:r>
                    <w:rPr>
                      <w:rFonts w:hint="eastAsia" w:ascii="Times New Roman" w:hAnsi="Times New Roman" w:cs="Times New Roman"/>
                      <w:b/>
                      <w:bCs/>
                      <w:color w:val="auto"/>
                      <w:sz w:val="21"/>
                      <w:szCs w:val="21"/>
                      <w:vertAlign w:val="baseline"/>
                      <w:lang w:val="en-US" w:eastAsia="zh-CN"/>
                    </w:rPr>
                    <w:t>）</w:t>
                  </w:r>
                </w:p>
              </w:tc>
              <w:tc>
                <w:tcPr>
                  <w:tcW w:w="573" w:type="pct"/>
                  <w:tcBorders>
                    <w:tl2br w:val="nil"/>
                    <w:tr2bl w:val="nil"/>
                  </w:tcBorders>
                  <w:vAlign w:val="center"/>
                </w:tcPr>
                <w:p w14:paraId="38951A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单次持续时间/h</w:t>
                  </w:r>
                </w:p>
              </w:tc>
              <w:tc>
                <w:tcPr>
                  <w:tcW w:w="637" w:type="pct"/>
                  <w:tcBorders>
                    <w:tl2br w:val="nil"/>
                    <w:tr2bl w:val="nil"/>
                  </w:tcBorders>
                  <w:vAlign w:val="center"/>
                </w:tcPr>
                <w:p w14:paraId="226411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年发生频次/次</w:t>
                  </w:r>
                </w:p>
              </w:tc>
            </w:tr>
            <w:tr w14:paraId="690E7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9" w:type="pct"/>
                  <w:vMerge w:val="restart"/>
                  <w:tcBorders>
                    <w:tl2br w:val="nil"/>
                    <w:tr2bl w:val="nil"/>
                  </w:tcBorders>
                  <w:vAlign w:val="center"/>
                </w:tcPr>
                <w:p w14:paraId="490E2A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DA001</w:t>
                  </w:r>
                </w:p>
              </w:tc>
              <w:tc>
                <w:tcPr>
                  <w:tcW w:w="841" w:type="pct"/>
                  <w:vMerge w:val="restart"/>
                  <w:tcBorders>
                    <w:tl2br w:val="nil"/>
                    <w:tr2bl w:val="nil"/>
                  </w:tcBorders>
                  <w:vAlign w:val="center"/>
                </w:tcPr>
                <w:p w14:paraId="2FE1B5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olor w:val="auto"/>
                      <w:sz w:val="21"/>
                      <w:szCs w:val="21"/>
                      <w:highlight w:val="none"/>
                    </w:rPr>
                    <w:t>二级活性炭吸附装置</w:t>
                  </w:r>
                  <w:r>
                    <w:rPr>
                      <w:rFonts w:hint="eastAsia"/>
                      <w:color w:val="auto"/>
                      <w:sz w:val="21"/>
                      <w:szCs w:val="21"/>
                      <w:highlight w:val="none"/>
                      <w:lang w:val="en-US" w:eastAsia="zh-CN"/>
                    </w:rPr>
                    <w:t>故障</w:t>
                  </w:r>
                </w:p>
              </w:tc>
              <w:tc>
                <w:tcPr>
                  <w:tcW w:w="647" w:type="pct"/>
                  <w:tcBorders>
                    <w:tl2br w:val="nil"/>
                    <w:tr2bl w:val="nil"/>
                  </w:tcBorders>
                  <w:vAlign w:val="center"/>
                </w:tcPr>
                <w:p w14:paraId="209D88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color w:val="auto"/>
                      <w:sz w:val="21"/>
                      <w:szCs w:val="21"/>
                    </w:rPr>
                    <w:t>非甲烷总烃</w:t>
                  </w:r>
                </w:p>
              </w:tc>
              <w:tc>
                <w:tcPr>
                  <w:tcW w:w="1245" w:type="dxa"/>
                  <w:tcBorders>
                    <w:tl2br w:val="nil"/>
                    <w:tr2bl w:val="nil"/>
                  </w:tcBorders>
                  <w:vAlign w:val="center"/>
                </w:tcPr>
                <w:p w14:paraId="16C440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4.103</w:t>
                  </w:r>
                </w:p>
              </w:tc>
              <w:tc>
                <w:tcPr>
                  <w:tcW w:w="1515" w:type="dxa"/>
                  <w:tcBorders>
                    <w:tl2br w:val="nil"/>
                    <w:tr2bl w:val="nil"/>
                  </w:tcBorders>
                  <w:vAlign w:val="center"/>
                </w:tcPr>
                <w:p w14:paraId="23D130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0.107</w:t>
                  </w:r>
                </w:p>
              </w:tc>
              <w:tc>
                <w:tcPr>
                  <w:tcW w:w="573" w:type="pct"/>
                  <w:vMerge w:val="restart"/>
                  <w:tcBorders>
                    <w:tl2br w:val="nil"/>
                    <w:tr2bl w:val="nil"/>
                  </w:tcBorders>
                  <w:vAlign w:val="center"/>
                </w:tcPr>
                <w:p w14:paraId="436311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0.5</w:t>
                  </w:r>
                </w:p>
              </w:tc>
              <w:tc>
                <w:tcPr>
                  <w:tcW w:w="637" w:type="pct"/>
                  <w:vMerge w:val="restart"/>
                  <w:tcBorders>
                    <w:tl2br w:val="nil"/>
                    <w:tr2bl w:val="nil"/>
                  </w:tcBorders>
                  <w:vAlign w:val="center"/>
                </w:tcPr>
                <w:p w14:paraId="725564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r>
                    <w:rPr>
                      <w:rFonts w:hint="eastAsia" w:ascii="Times New Roman" w:hAnsi="Times New Roman" w:cs="Times New Roman"/>
                      <w:b w:val="0"/>
                      <w:bCs w:val="0"/>
                      <w:color w:val="auto"/>
                      <w:sz w:val="21"/>
                      <w:szCs w:val="21"/>
                      <w:vertAlign w:val="baseline"/>
                      <w:lang w:val="en-US" w:eastAsia="zh-CN"/>
                    </w:rPr>
                    <w:t>1</w:t>
                  </w:r>
                </w:p>
              </w:tc>
            </w:tr>
            <w:tr w14:paraId="415F68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9" w:type="pct"/>
                  <w:vMerge w:val="continue"/>
                  <w:tcBorders>
                    <w:tl2br w:val="nil"/>
                    <w:tr2bl w:val="nil"/>
                  </w:tcBorders>
                  <w:vAlign w:val="center"/>
                </w:tcPr>
                <w:p w14:paraId="72DCDF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841" w:type="pct"/>
                  <w:vMerge w:val="continue"/>
                  <w:tcBorders>
                    <w:tl2br w:val="nil"/>
                    <w:tr2bl w:val="nil"/>
                  </w:tcBorders>
                  <w:vAlign w:val="center"/>
                </w:tcPr>
                <w:p w14:paraId="395150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647" w:type="pct"/>
                  <w:tcBorders>
                    <w:tl2br w:val="nil"/>
                    <w:tr2bl w:val="nil"/>
                  </w:tcBorders>
                  <w:vAlign w:val="center"/>
                </w:tcPr>
                <w:p w14:paraId="1F9C99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color w:val="auto"/>
                      <w:sz w:val="21"/>
                      <w:szCs w:val="21"/>
                      <w:lang w:val="en-US" w:eastAsia="zh-CN"/>
                    </w:rPr>
                    <w:t>苯乙烯</w:t>
                  </w:r>
                </w:p>
              </w:tc>
              <w:tc>
                <w:tcPr>
                  <w:tcW w:w="1245" w:type="dxa"/>
                  <w:tcBorders>
                    <w:tl2br w:val="nil"/>
                    <w:tr2bl w:val="nil"/>
                  </w:tcBorders>
                  <w:vAlign w:val="center"/>
                </w:tcPr>
                <w:p w14:paraId="10ECD6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0.011</w:t>
                  </w:r>
                </w:p>
              </w:tc>
              <w:tc>
                <w:tcPr>
                  <w:tcW w:w="1515" w:type="dxa"/>
                  <w:tcBorders>
                    <w:tl2br w:val="nil"/>
                    <w:tr2bl w:val="nil"/>
                  </w:tcBorders>
                  <w:vAlign w:val="center"/>
                </w:tcPr>
                <w:p w14:paraId="14008A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2.78</w:t>
                  </w:r>
                  <w:r>
                    <w:rPr>
                      <w:rFonts w:hint="eastAsia"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573" w:type="pct"/>
                  <w:vMerge w:val="continue"/>
                  <w:tcBorders>
                    <w:tl2br w:val="nil"/>
                    <w:tr2bl w:val="nil"/>
                  </w:tcBorders>
                  <w:vAlign w:val="center"/>
                </w:tcPr>
                <w:p w14:paraId="51A0A3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637" w:type="pct"/>
                  <w:vMerge w:val="continue"/>
                  <w:tcBorders>
                    <w:tl2br w:val="nil"/>
                    <w:tr2bl w:val="nil"/>
                  </w:tcBorders>
                  <w:vAlign w:val="center"/>
                </w:tcPr>
                <w:p w14:paraId="66E363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301CE4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9" w:type="pct"/>
                  <w:vMerge w:val="continue"/>
                  <w:tcBorders>
                    <w:tl2br w:val="nil"/>
                    <w:tr2bl w:val="nil"/>
                  </w:tcBorders>
                  <w:vAlign w:val="center"/>
                </w:tcPr>
                <w:p w14:paraId="2B8F43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841" w:type="pct"/>
                  <w:vMerge w:val="continue"/>
                  <w:tcBorders>
                    <w:tl2br w:val="nil"/>
                    <w:tr2bl w:val="nil"/>
                  </w:tcBorders>
                  <w:vAlign w:val="center"/>
                </w:tcPr>
                <w:p w14:paraId="7C1053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647" w:type="pct"/>
                  <w:tcBorders>
                    <w:tl2br w:val="nil"/>
                    <w:tr2bl w:val="nil"/>
                  </w:tcBorders>
                  <w:vAlign w:val="center"/>
                </w:tcPr>
                <w:p w14:paraId="090C6A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丙烯腈</w:t>
                  </w:r>
                </w:p>
              </w:tc>
              <w:tc>
                <w:tcPr>
                  <w:tcW w:w="1245" w:type="dxa"/>
                  <w:tcBorders>
                    <w:tl2br w:val="nil"/>
                    <w:tr2bl w:val="nil"/>
                  </w:tcBorders>
                  <w:vAlign w:val="center"/>
                </w:tcPr>
                <w:p w14:paraId="08009F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0.004</w:t>
                  </w:r>
                </w:p>
              </w:tc>
              <w:tc>
                <w:tcPr>
                  <w:tcW w:w="1515" w:type="dxa"/>
                  <w:tcBorders>
                    <w:tl2br w:val="nil"/>
                    <w:tr2bl w:val="nil"/>
                  </w:tcBorders>
                  <w:vAlign w:val="center"/>
                </w:tcPr>
                <w:p w14:paraId="3F0A4C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1.11</w:t>
                  </w:r>
                  <w:r>
                    <w:rPr>
                      <w:rFonts w:hint="eastAsia"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573" w:type="pct"/>
                  <w:vMerge w:val="continue"/>
                  <w:tcBorders>
                    <w:tl2br w:val="nil"/>
                    <w:tr2bl w:val="nil"/>
                  </w:tcBorders>
                  <w:vAlign w:val="center"/>
                </w:tcPr>
                <w:p w14:paraId="6B5646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637" w:type="pct"/>
                  <w:vMerge w:val="continue"/>
                  <w:tcBorders>
                    <w:tl2br w:val="nil"/>
                    <w:tr2bl w:val="nil"/>
                  </w:tcBorders>
                  <w:vAlign w:val="center"/>
                </w:tcPr>
                <w:p w14:paraId="311A18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48A222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9" w:type="pct"/>
                  <w:vMerge w:val="continue"/>
                  <w:tcBorders>
                    <w:tl2br w:val="nil"/>
                    <w:tr2bl w:val="nil"/>
                  </w:tcBorders>
                  <w:vAlign w:val="center"/>
                </w:tcPr>
                <w:p w14:paraId="16A2C0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841" w:type="pct"/>
                  <w:vMerge w:val="continue"/>
                  <w:tcBorders>
                    <w:tl2br w:val="nil"/>
                    <w:tr2bl w:val="nil"/>
                  </w:tcBorders>
                  <w:vAlign w:val="center"/>
                </w:tcPr>
                <w:p w14:paraId="29DD8C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647" w:type="pct"/>
                  <w:tcBorders>
                    <w:tl2br w:val="nil"/>
                    <w:tr2bl w:val="nil"/>
                  </w:tcBorders>
                  <w:vAlign w:val="center"/>
                </w:tcPr>
                <w:p w14:paraId="3D7B6C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乙苯</w:t>
                  </w:r>
                </w:p>
              </w:tc>
              <w:tc>
                <w:tcPr>
                  <w:tcW w:w="1245" w:type="dxa"/>
                  <w:tcBorders>
                    <w:tl2br w:val="nil"/>
                    <w:tr2bl w:val="nil"/>
                  </w:tcBorders>
                  <w:vAlign w:val="center"/>
                </w:tcPr>
                <w:p w14:paraId="78012D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0.006</w:t>
                  </w:r>
                </w:p>
              </w:tc>
              <w:tc>
                <w:tcPr>
                  <w:tcW w:w="1515" w:type="dxa"/>
                  <w:tcBorders>
                    <w:tl2br w:val="nil"/>
                    <w:tr2bl w:val="nil"/>
                  </w:tcBorders>
                  <w:vAlign w:val="center"/>
                </w:tcPr>
                <w:p w14:paraId="5EC0DE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1.67</w:t>
                  </w:r>
                  <w:r>
                    <w:rPr>
                      <w:rFonts w:hint="eastAsia"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573" w:type="pct"/>
                  <w:vMerge w:val="continue"/>
                  <w:tcBorders>
                    <w:tl2br w:val="nil"/>
                    <w:tr2bl w:val="nil"/>
                  </w:tcBorders>
                  <w:vAlign w:val="center"/>
                </w:tcPr>
                <w:p w14:paraId="0BEA9C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637" w:type="pct"/>
                  <w:vMerge w:val="continue"/>
                  <w:tcBorders>
                    <w:tl2br w:val="nil"/>
                    <w:tr2bl w:val="nil"/>
                  </w:tcBorders>
                  <w:vAlign w:val="center"/>
                </w:tcPr>
                <w:p w14:paraId="39E15F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341B42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9" w:type="pct"/>
                  <w:tcBorders>
                    <w:tl2br w:val="nil"/>
                    <w:tr2bl w:val="nil"/>
                  </w:tcBorders>
                  <w:vAlign w:val="center"/>
                </w:tcPr>
                <w:p w14:paraId="314F14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DA002</w:t>
                  </w:r>
                </w:p>
              </w:tc>
              <w:tc>
                <w:tcPr>
                  <w:tcW w:w="841" w:type="pct"/>
                  <w:tcBorders>
                    <w:tl2br w:val="nil"/>
                    <w:tr2bl w:val="nil"/>
                  </w:tcBorders>
                  <w:vAlign w:val="center"/>
                </w:tcPr>
                <w:p w14:paraId="27CA40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布袋除尘器故障</w:t>
                  </w:r>
                </w:p>
              </w:tc>
              <w:tc>
                <w:tcPr>
                  <w:tcW w:w="647" w:type="pct"/>
                  <w:tcBorders>
                    <w:tl2br w:val="nil"/>
                    <w:tr2bl w:val="nil"/>
                  </w:tcBorders>
                  <w:vAlign w:val="center"/>
                </w:tcPr>
                <w:p w14:paraId="7833AC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颗粒物</w:t>
                  </w:r>
                </w:p>
              </w:tc>
              <w:tc>
                <w:tcPr>
                  <w:tcW w:w="1245" w:type="dxa"/>
                  <w:tcBorders>
                    <w:tl2br w:val="nil"/>
                    <w:tr2bl w:val="nil"/>
                  </w:tcBorders>
                  <w:vAlign w:val="center"/>
                </w:tcPr>
                <w:p w14:paraId="39F209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2.037</w:t>
                  </w:r>
                </w:p>
              </w:tc>
              <w:tc>
                <w:tcPr>
                  <w:tcW w:w="1515" w:type="dxa"/>
                  <w:tcBorders>
                    <w:tl2br w:val="nil"/>
                    <w:tr2bl w:val="nil"/>
                  </w:tcBorders>
                  <w:vAlign w:val="center"/>
                </w:tcPr>
                <w:p w14:paraId="778FB9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0.009</w:t>
                  </w:r>
                </w:p>
              </w:tc>
              <w:tc>
                <w:tcPr>
                  <w:tcW w:w="573" w:type="pct"/>
                  <w:vMerge w:val="continue"/>
                  <w:tcBorders>
                    <w:tl2br w:val="nil"/>
                    <w:tr2bl w:val="nil"/>
                  </w:tcBorders>
                  <w:vAlign w:val="center"/>
                </w:tcPr>
                <w:p w14:paraId="292B04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637" w:type="pct"/>
                  <w:vMerge w:val="continue"/>
                  <w:tcBorders>
                    <w:tl2br w:val="nil"/>
                    <w:tr2bl w:val="nil"/>
                  </w:tcBorders>
                  <w:vAlign w:val="center"/>
                </w:tcPr>
                <w:p w14:paraId="42387B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bl>
          <w:p w14:paraId="3F21E12D">
            <w:pPr>
              <w:pStyle w:val="8"/>
              <w:spacing w:before="120" w:beforeLines="50"/>
              <w:ind w:firstLine="480"/>
              <w:rPr>
                <w:rFonts w:hint="eastAsia"/>
                <w:color w:val="auto"/>
              </w:rPr>
            </w:pPr>
            <w:r>
              <w:rPr>
                <w:rFonts w:hint="eastAsia"/>
                <w:color w:val="auto"/>
              </w:rPr>
              <w:t>非正常工况下对环境影响程度会增加，非正常工况应采取以下措施：本评价要求，建设单位要定期对有机废气处理措施及其他环保措施进行维护和保护，一旦发现设备运行异常，应停止生产，迅速抢修或更换，待废气处理设施运行正常后恢复生产。</w:t>
            </w:r>
          </w:p>
          <w:p w14:paraId="0E7F9632">
            <w:pPr>
              <w:pStyle w:val="62"/>
              <w:keepNext w:val="0"/>
              <w:keepLines w:val="0"/>
              <w:pageBreakBefore w:val="0"/>
              <w:widowControl w:val="0"/>
              <w:kinsoku/>
              <w:wordWrap/>
              <w:overflowPunct/>
              <w:topLinePunct w:val="0"/>
              <w:autoSpaceDE w:val="0"/>
              <w:autoSpaceDN w:val="0"/>
              <w:bidi w:val="0"/>
              <w:adjustRightInd/>
              <w:snapToGrid/>
              <w:ind w:firstLineChars="200"/>
              <w:jc w:val="both"/>
              <w:textAlignment w:val="auto"/>
              <w:rPr>
                <w:rFonts w:hint="eastAsia"/>
                <w:b w:val="0"/>
                <w:bCs/>
                <w:color w:val="auto"/>
                <w:sz w:val="24"/>
                <w:szCs w:val="24"/>
                <w:highlight w:val="none"/>
              </w:rPr>
            </w:pPr>
            <w:r>
              <w:rPr>
                <w:rFonts w:hint="eastAsia"/>
                <w:b w:val="0"/>
                <w:bCs/>
                <w:color w:val="auto"/>
                <w:sz w:val="24"/>
                <w:szCs w:val="24"/>
                <w:highlight w:val="none"/>
              </w:rPr>
              <w:t>（</w:t>
            </w:r>
            <w:r>
              <w:rPr>
                <w:rFonts w:hint="eastAsia"/>
                <w:b w:val="0"/>
                <w:bCs/>
                <w:color w:val="auto"/>
                <w:sz w:val="24"/>
                <w:szCs w:val="24"/>
                <w:highlight w:val="none"/>
                <w:lang w:val="en-US" w:eastAsia="zh-CN"/>
              </w:rPr>
              <w:t>5</w:t>
            </w:r>
            <w:r>
              <w:rPr>
                <w:rFonts w:hint="eastAsia"/>
                <w:b w:val="0"/>
                <w:bCs/>
                <w:color w:val="auto"/>
                <w:sz w:val="24"/>
                <w:szCs w:val="24"/>
                <w:highlight w:val="none"/>
              </w:rPr>
              <w:t>）废气污染治理可行性分析</w:t>
            </w:r>
          </w:p>
          <w:p w14:paraId="064B47A6">
            <w:pPr>
              <w:pStyle w:val="62"/>
              <w:keepNext w:val="0"/>
              <w:keepLines w:val="0"/>
              <w:pageBreakBefore w:val="0"/>
              <w:kinsoku/>
              <w:wordWrap/>
              <w:overflowPunct/>
              <w:topLinePunct w:val="0"/>
              <w:bidi w:val="0"/>
              <w:adjustRightInd/>
              <w:spacing w:line="360" w:lineRule="auto"/>
              <w:ind w:right="0" w:firstLine="480" w:firstLineChars="200"/>
              <w:jc w:val="both"/>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参照《排污许可证申请与核发技术规范 橡胶和塑料制品工业》（HJ1122—2020）中非甲烷总烃采用吸附法属于可行技术，</w:t>
            </w:r>
            <w:r>
              <w:rPr>
                <w:rFonts w:hint="eastAsia" w:cs="Times New Roman"/>
                <w:b w:val="0"/>
                <w:bCs/>
                <w:color w:val="auto"/>
                <w:sz w:val="24"/>
                <w:szCs w:val="24"/>
                <w:highlight w:val="none"/>
                <w:lang w:val="en-US" w:eastAsia="zh-CN"/>
              </w:rPr>
              <w:t>颗粒物采用袋式除尘器属于可行技术，</w:t>
            </w:r>
            <w:r>
              <w:rPr>
                <w:rFonts w:hint="default" w:ascii="Times New Roman" w:hAnsi="Times New Roman" w:cs="Times New Roman"/>
                <w:b w:val="0"/>
                <w:bCs/>
                <w:color w:val="auto"/>
                <w:sz w:val="24"/>
                <w:szCs w:val="24"/>
                <w:highlight w:val="none"/>
                <w:lang w:val="en-US" w:eastAsia="zh-CN"/>
              </w:rPr>
              <w:t>因此本项目</w:t>
            </w:r>
            <w:r>
              <w:rPr>
                <w:rFonts w:hint="eastAsia" w:cs="Times New Roman"/>
                <w:b w:val="0"/>
                <w:bCs/>
                <w:color w:val="auto"/>
                <w:sz w:val="24"/>
                <w:szCs w:val="24"/>
                <w:highlight w:val="none"/>
                <w:lang w:val="en-US" w:eastAsia="zh-CN"/>
              </w:rPr>
              <w:t>注塑</w:t>
            </w:r>
            <w:r>
              <w:rPr>
                <w:rFonts w:hint="default" w:ascii="Times New Roman" w:hAnsi="Times New Roman" w:cs="Times New Roman"/>
                <w:b w:val="0"/>
                <w:bCs/>
                <w:color w:val="auto"/>
                <w:sz w:val="24"/>
                <w:szCs w:val="24"/>
                <w:highlight w:val="none"/>
                <w:lang w:val="en-US" w:eastAsia="zh-CN"/>
              </w:rPr>
              <w:t>废气采用</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二级活性炭</w:t>
            </w:r>
            <w:r>
              <w:rPr>
                <w:rFonts w:hint="eastAsia" w:cs="Times New Roman"/>
                <w:b w:val="0"/>
                <w:bCs/>
                <w:color w:val="auto"/>
                <w:sz w:val="24"/>
                <w:szCs w:val="24"/>
                <w:highlight w:val="none"/>
                <w:lang w:val="en-US" w:eastAsia="zh-CN"/>
              </w:rPr>
              <w:t>+20</w:t>
            </w:r>
            <w:r>
              <w:rPr>
                <w:rFonts w:hint="default" w:ascii="Times New Roman" w:hAnsi="Times New Roman" w:cs="Times New Roman"/>
                <w:b w:val="0"/>
                <w:bCs/>
                <w:color w:val="auto"/>
                <w:sz w:val="24"/>
                <w:szCs w:val="24"/>
                <w:highlight w:val="none"/>
                <w:lang w:val="en-US" w:eastAsia="zh-CN"/>
              </w:rPr>
              <w:t>m高排气筒</w:t>
            </w:r>
            <w:r>
              <w:rPr>
                <w:rFonts w:hint="eastAsia" w:cs="Times New Roman"/>
                <w:b w:val="0"/>
                <w:bCs/>
                <w:color w:val="auto"/>
                <w:sz w:val="24"/>
                <w:szCs w:val="24"/>
                <w:highlight w:val="none"/>
                <w:lang w:val="en-US" w:eastAsia="zh-CN"/>
              </w:rPr>
              <w:t>”，破碎粉尘采用“布袋除尘器+20</w:t>
            </w:r>
            <w:r>
              <w:rPr>
                <w:rFonts w:hint="default" w:ascii="Times New Roman" w:hAnsi="Times New Roman" w:cs="Times New Roman"/>
                <w:b w:val="0"/>
                <w:bCs/>
                <w:color w:val="auto"/>
                <w:sz w:val="24"/>
                <w:szCs w:val="24"/>
                <w:highlight w:val="none"/>
                <w:lang w:val="en-US" w:eastAsia="zh-CN"/>
              </w:rPr>
              <w:t>m高排气筒</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是可行的。</w:t>
            </w:r>
          </w:p>
          <w:p w14:paraId="0B519C22">
            <w:pPr>
              <w:pageBreakBefore w:val="0"/>
              <w:kinsoku/>
              <w:wordWrap/>
              <w:overflowPunct/>
              <w:topLinePunct w:val="0"/>
              <w:bidi w:val="0"/>
              <w:ind w:left="0" w:leftChars="0" w:right="0" w:rightChars="0" w:firstLine="480" w:firstLineChars="200"/>
              <w:rPr>
                <w:rFonts w:hint="eastAsia" w:ascii="Times New Roman" w:hAnsi="Times New Roman" w:eastAsia="宋体" w:cs="Times New Roman"/>
                <w:snapToGrid w:val="0"/>
                <w:color w:val="auto"/>
                <w:kern w:val="0"/>
                <w:szCs w:val="21"/>
                <w:u w:val="none" w:color="000000"/>
                <w:lang w:val="en-US" w:eastAsia="zh-CN"/>
              </w:rPr>
            </w:pPr>
            <w:r>
              <w:rPr>
                <w:rFonts w:hint="eastAsia" w:ascii="Times New Roman" w:hAnsi="Times New Roman" w:eastAsia="宋体" w:cs="Times New Roman"/>
                <w:snapToGrid w:val="0"/>
                <w:color w:val="auto"/>
                <w:kern w:val="0"/>
                <w:szCs w:val="21"/>
                <w:u w:val="none" w:color="000000"/>
                <w:lang w:val="en-US" w:eastAsia="zh-CN"/>
              </w:rPr>
              <w:t>二级活性炭吸附装置设计参数：</w:t>
            </w:r>
          </w:p>
          <w:p w14:paraId="56426DB8">
            <w:pPr>
              <w:pageBreakBefore w:val="0"/>
              <w:kinsoku/>
              <w:wordWrap/>
              <w:overflowPunct/>
              <w:topLinePunct w:val="0"/>
              <w:bidi w:val="0"/>
              <w:ind w:left="0" w:leftChars="0" w:right="0" w:rightChars="0" w:firstLine="480" w:firstLineChars="200"/>
              <w:rPr>
                <w:rFonts w:hint="eastAsia" w:ascii="Times New Roman" w:hAnsi="Times New Roman" w:eastAsia="宋体" w:cs="Times New Roman"/>
                <w:snapToGrid w:val="0"/>
                <w:color w:val="auto"/>
                <w:kern w:val="0"/>
                <w:szCs w:val="21"/>
                <w:u w:val="none" w:color="000000"/>
                <w:lang w:val="en-US" w:eastAsia="zh-CN"/>
              </w:rPr>
            </w:pPr>
            <w:r>
              <w:rPr>
                <w:rFonts w:hint="eastAsia" w:ascii="Times New Roman" w:hAnsi="Times New Roman" w:eastAsia="宋体" w:cs="Times New Roman"/>
                <w:snapToGrid w:val="0"/>
                <w:color w:val="auto"/>
                <w:kern w:val="0"/>
                <w:szCs w:val="21"/>
                <w:u w:val="none" w:color="000000"/>
                <w:lang w:val="en-US" w:eastAsia="zh-CN"/>
              </w:rPr>
              <w:t>①二级活性炭吸附装置使用蜂窝状活性炭，根据前文分析，进入二级活性炭吸附装置（TA001）的风量为26</w:t>
            </w:r>
            <w:r>
              <w:rPr>
                <w:rFonts w:hint="eastAsia" w:cs="Times New Roman"/>
                <w:snapToGrid w:val="0"/>
                <w:color w:val="auto"/>
                <w:kern w:val="0"/>
                <w:szCs w:val="21"/>
                <w:u w:val="none" w:color="000000"/>
                <w:lang w:val="en-US" w:eastAsia="zh-CN"/>
              </w:rPr>
              <w:t>0</w:t>
            </w:r>
            <w:r>
              <w:rPr>
                <w:rFonts w:hint="eastAsia" w:ascii="Times New Roman" w:hAnsi="Times New Roman" w:eastAsia="宋体" w:cs="Times New Roman"/>
                <w:snapToGrid w:val="0"/>
                <w:color w:val="auto"/>
                <w:kern w:val="0"/>
                <w:szCs w:val="21"/>
                <w:u w:val="none" w:color="000000"/>
                <w:lang w:val="en-US" w:eastAsia="zh-CN"/>
              </w:rPr>
              <w:t>00m</w:t>
            </w:r>
            <w:r>
              <w:rPr>
                <w:rFonts w:hint="eastAsia" w:ascii="Times New Roman" w:hAnsi="Times New Roman" w:eastAsia="宋体" w:cs="Times New Roman"/>
                <w:snapToGrid w:val="0"/>
                <w:color w:val="auto"/>
                <w:kern w:val="0"/>
                <w:szCs w:val="21"/>
                <w:u w:val="none" w:color="000000"/>
                <w:vertAlign w:val="superscript"/>
                <w:lang w:val="en-US" w:eastAsia="zh-CN"/>
              </w:rPr>
              <w:t>3</w:t>
            </w:r>
            <w:r>
              <w:rPr>
                <w:rFonts w:hint="eastAsia" w:ascii="Times New Roman" w:hAnsi="Times New Roman" w:eastAsia="宋体" w:cs="Times New Roman"/>
                <w:snapToGrid w:val="0"/>
                <w:color w:val="auto"/>
                <w:kern w:val="0"/>
                <w:szCs w:val="21"/>
                <w:u w:val="none" w:color="000000"/>
                <w:lang w:val="en-US" w:eastAsia="zh-CN"/>
              </w:rPr>
              <w:t>/h，根据《吸附法工业有机废气治理工程技术规范》（HJ2026-2013）的规定：采用蜂窝状吸附剂时，气体流速宜低于1.2m/s，则二级活性炭吸附装置最小截面积为26</w:t>
            </w:r>
            <w:r>
              <w:rPr>
                <w:rFonts w:hint="eastAsia" w:cs="Times New Roman"/>
                <w:snapToGrid w:val="0"/>
                <w:color w:val="auto"/>
                <w:kern w:val="0"/>
                <w:szCs w:val="21"/>
                <w:u w:val="none" w:color="000000"/>
                <w:lang w:val="en-US" w:eastAsia="zh-CN"/>
              </w:rPr>
              <w:t>0</w:t>
            </w:r>
            <w:r>
              <w:rPr>
                <w:rFonts w:hint="eastAsia" w:ascii="Times New Roman" w:hAnsi="Times New Roman" w:eastAsia="宋体" w:cs="Times New Roman"/>
                <w:snapToGrid w:val="0"/>
                <w:color w:val="auto"/>
                <w:kern w:val="0"/>
                <w:szCs w:val="21"/>
                <w:u w:val="none" w:color="000000"/>
                <w:lang w:val="en-US" w:eastAsia="zh-CN"/>
              </w:rPr>
              <w:t>00</w:t>
            </w:r>
            <w:r>
              <w:rPr>
                <w:rFonts w:hint="default" w:ascii="Times New Roman" w:hAnsi="Times New Roman" w:eastAsia="宋体" w:cs="Times New Roman"/>
                <w:snapToGrid w:val="0"/>
                <w:color w:val="auto"/>
                <w:kern w:val="0"/>
                <w:szCs w:val="21"/>
                <w:u w:val="none" w:color="000000"/>
                <w:lang w:val="en-US" w:eastAsia="zh-CN"/>
              </w:rPr>
              <w:t>÷</w:t>
            </w:r>
            <w:r>
              <w:rPr>
                <w:rFonts w:hint="eastAsia" w:ascii="Times New Roman" w:hAnsi="Times New Roman" w:eastAsia="宋体" w:cs="Times New Roman"/>
                <w:snapToGrid w:val="0"/>
                <w:color w:val="auto"/>
                <w:kern w:val="0"/>
                <w:szCs w:val="21"/>
                <w:u w:val="none" w:color="000000"/>
                <w:lang w:val="en-US" w:eastAsia="zh-CN"/>
              </w:rPr>
              <w:t>3600</w:t>
            </w:r>
            <w:r>
              <w:rPr>
                <w:rFonts w:hint="default" w:ascii="Times New Roman" w:hAnsi="Times New Roman" w:eastAsia="宋体" w:cs="Times New Roman"/>
                <w:snapToGrid w:val="0"/>
                <w:color w:val="auto"/>
                <w:kern w:val="0"/>
                <w:szCs w:val="21"/>
                <w:u w:val="none" w:color="000000"/>
                <w:lang w:val="en-US" w:eastAsia="zh-CN"/>
              </w:rPr>
              <w:t>÷</w:t>
            </w:r>
            <w:r>
              <w:rPr>
                <w:rFonts w:hint="eastAsia" w:ascii="Times New Roman" w:hAnsi="Times New Roman" w:eastAsia="宋体" w:cs="Times New Roman"/>
                <w:snapToGrid w:val="0"/>
                <w:color w:val="auto"/>
                <w:kern w:val="0"/>
                <w:szCs w:val="21"/>
                <w:u w:val="none" w:color="000000"/>
                <w:lang w:val="en-US" w:eastAsia="zh-CN"/>
              </w:rPr>
              <w:t>1.2</w:t>
            </w:r>
            <w:r>
              <w:rPr>
                <w:rFonts w:hint="eastAsia" w:cs="Times New Roman"/>
                <w:snapToGrid w:val="0"/>
                <w:color w:val="auto"/>
                <w:kern w:val="0"/>
                <w:szCs w:val="21"/>
                <w:u w:val="none" w:color="000000"/>
                <w:lang w:val="en-US" w:eastAsia="zh-CN"/>
              </w:rPr>
              <w:t>≈</w:t>
            </w:r>
            <w:r>
              <w:rPr>
                <w:rFonts w:hint="eastAsia" w:ascii="Times New Roman" w:hAnsi="Times New Roman" w:eastAsia="宋体" w:cs="Times New Roman"/>
                <w:snapToGrid w:val="0"/>
                <w:color w:val="auto"/>
                <w:kern w:val="0"/>
                <w:szCs w:val="21"/>
                <w:u w:val="none" w:color="000000"/>
                <w:lang w:val="en-US" w:eastAsia="zh-CN"/>
              </w:rPr>
              <w:t>6.</w:t>
            </w:r>
            <w:r>
              <w:rPr>
                <w:rFonts w:hint="eastAsia" w:cs="Times New Roman"/>
                <w:snapToGrid w:val="0"/>
                <w:color w:val="auto"/>
                <w:kern w:val="0"/>
                <w:szCs w:val="21"/>
                <w:u w:val="none" w:color="000000"/>
                <w:lang w:val="en-US" w:eastAsia="zh-CN"/>
              </w:rPr>
              <w:t>02</w:t>
            </w:r>
            <w:r>
              <w:rPr>
                <w:rFonts w:hint="eastAsia" w:ascii="Times New Roman" w:hAnsi="Times New Roman" w:eastAsia="宋体" w:cs="Times New Roman"/>
                <w:snapToGrid w:val="0"/>
                <w:color w:val="auto"/>
                <w:kern w:val="0"/>
                <w:szCs w:val="21"/>
                <w:u w:val="none" w:color="000000"/>
                <w:lang w:val="en-US" w:eastAsia="zh-CN"/>
              </w:rPr>
              <w:t>m</w:t>
            </w:r>
            <w:r>
              <w:rPr>
                <w:rFonts w:hint="eastAsia" w:ascii="Times New Roman" w:hAnsi="Times New Roman" w:eastAsia="宋体" w:cs="Times New Roman"/>
                <w:snapToGrid w:val="0"/>
                <w:color w:val="auto"/>
                <w:kern w:val="0"/>
                <w:szCs w:val="21"/>
                <w:u w:val="none" w:color="000000"/>
                <w:vertAlign w:val="superscript"/>
                <w:lang w:val="en-US" w:eastAsia="zh-CN"/>
              </w:rPr>
              <w:t>2</w:t>
            </w:r>
            <w:r>
              <w:rPr>
                <w:rFonts w:hint="eastAsia" w:ascii="Times New Roman" w:hAnsi="Times New Roman" w:eastAsia="宋体" w:cs="Times New Roman"/>
                <w:snapToGrid w:val="0"/>
                <w:color w:val="auto"/>
                <w:kern w:val="0"/>
                <w:szCs w:val="21"/>
                <w:u w:val="none" w:color="000000"/>
                <w:lang w:val="en-US" w:eastAsia="zh-CN"/>
              </w:rPr>
              <w:t>。</w:t>
            </w:r>
          </w:p>
          <w:p w14:paraId="0B327A13">
            <w:pPr>
              <w:pageBreakBefore w:val="0"/>
              <w:kinsoku/>
              <w:wordWrap/>
              <w:overflowPunct/>
              <w:topLinePunct w:val="0"/>
              <w:bidi w:val="0"/>
              <w:ind w:left="0" w:leftChars="0" w:right="0" w:rightChars="0" w:firstLine="480" w:firstLineChars="200"/>
              <w:rPr>
                <w:rFonts w:hint="eastAsia" w:ascii="Times New Roman" w:hAnsi="Times New Roman" w:eastAsia="宋体" w:cs="Times New Roman"/>
                <w:snapToGrid w:val="0"/>
                <w:color w:val="auto"/>
                <w:kern w:val="0"/>
                <w:szCs w:val="21"/>
                <w:u w:val="none" w:color="000000"/>
                <w:lang w:val="en-US" w:eastAsia="zh-CN"/>
              </w:rPr>
            </w:pPr>
            <w:r>
              <w:rPr>
                <w:rFonts w:hint="eastAsia" w:ascii="Times New Roman" w:hAnsi="Times New Roman" w:eastAsia="宋体" w:cs="Times New Roman"/>
                <w:snapToGrid w:val="0"/>
                <w:color w:val="auto"/>
                <w:kern w:val="0"/>
                <w:szCs w:val="21"/>
                <w:u w:val="none" w:color="000000"/>
                <w:lang w:val="en-US" w:eastAsia="zh-CN"/>
              </w:rPr>
              <w:t>活性炭使用量：活性炭对有机废气的吸附容量为25%，即1g的活性炭可以吸附0.3g的有机废气，根据前文分析，本项目二级活性炭吸附装置（TA001）吸附有机废气量为</w:t>
            </w:r>
            <w:r>
              <w:rPr>
                <w:rFonts w:hint="eastAsia" w:cs="Times New Roman"/>
                <w:snapToGrid w:val="0"/>
                <w:color w:val="auto"/>
                <w:kern w:val="0"/>
                <w:szCs w:val="21"/>
                <w:u w:val="none" w:color="000000"/>
                <w:lang w:val="en-US" w:eastAsia="zh-CN"/>
              </w:rPr>
              <w:t>0.384</w:t>
            </w:r>
            <w:r>
              <w:rPr>
                <w:rFonts w:hint="eastAsia" w:ascii="Times New Roman" w:hAnsi="Times New Roman" w:eastAsia="宋体" w:cs="Times New Roman"/>
                <w:snapToGrid w:val="0"/>
                <w:color w:val="auto"/>
                <w:kern w:val="0"/>
                <w:szCs w:val="21"/>
                <w:u w:val="none" w:color="000000"/>
                <w:lang w:val="en-US" w:eastAsia="zh-CN"/>
              </w:rPr>
              <w:t>×9</w:t>
            </w:r>
            <w:r>
              <w:rPr>
                <w:rFonts w:hint="eastAsia" w:cs="Times New Roman"/>
                <w:snapToGrid w:val="0"/>
                <w:color w:val="auto"/>
                <w:kern w:val="0"/>
                <w:szCs w:val="21"/>
                <w:u w:val="none" w:color="000000"/>
                <w:lang w:val="en-US" w:eastAsia="zh-CN"/>
              </w:rPr>
              <w:t>5</w:t>
            </w:r>
            <w:r>
              <w:rPr>
                <w:rFonts w:hint="eastAsia" w:ascii="Times New Roman" w:hAnsi="Times New Roman" w:eastAsia="宋体" w:cs="Times New Roman"/>
                <w:snapToGrid w:val="0"/>
                <w:color w:val="auto"/>
                <w:kern w:val="0"/>
                <w:szCs w:val="21"/>
                <w:u w:val="none" w:color="000000"/>
                <w:lang w:val="en-US" w:eastAsia="zh-CN"/>
              </w:rPr>
              <w:t>%×90%≈</w:t>
            </w:r>
            <w:r>
              <w:rPr>
                <w:rFonts w:hint="eastAsia" w:cs="Times New Roman"/>
                <w:snapToGrid w:val="0"/>
                <w:color w:val="auto"/>
                <w:kern w:val="0"/>
                <w:szCs w:val="21"/>
                <w:u w:val="none" w:color="000000"/>
                <w:lang w:val="en-US" w:eastAsia="zh-CN"/>
              </w:rPr>
              <w:t>0.328</w:t>
            </w:r>
            <w:r>
              <w:rPr>
                <w:rFonts w:hint="eastAsia" w:ascii="Times New Roman" w:hAnsi="Times New Roman" w:eastAsia="宋体" w:cs="Times New Roman"/>
                <w:snapToGrid w:val="0"/>
                <w:color w:val="auto"/>
                <w:kern w:val="0"/>
                <w:szCs w:val="21"/>
                <w:u w:val="none" w:color="000000"/>
                <w:lang w:val="en-US" w:eastAsia="zh-CN"/>
              </w:rPr>
              <w:t>t/a，则理论最低所需活性炭量分别为</w:t>
            </w:r>
            <w:r>
              <w:rPr>
                <w:rFonts w:hint="eastAsia" w:cs="Times New Roman"/>
                <w:snapToGrid w:val="0"/>
                <w:color w:val="auto"/>
                <w:kern w:val="0"/>
                <w:szCs w:val="21"/>
                <w:u w:val="none" w:color="000000"/>
                <w:lang w:val="en-US" w:eastAsia="zh-CN"/>
              </w:rPr>
              <w:t>0.328</w:t>
            </w:r>
            <w:r>
              <w:rPr>
                <w:rFonts w:hint="eastAsia" w:ascii="Times New Roman" w:hAnsi="Times New Roman" w:eastAsia="宋体" w:cs="Times New Roman"/>
                <w:snapToGrid w:val="0"/>
                <w:color w:val="auto"/>
                <w:kern w:val="0"/>
                <w:szCs w:val="21"/>
                <w:u w:val="none" w:color="000000"/>
                <w:lang w:val="en-US" w:eastAsia="zh-CN"/>
              </w:rPr>
              <w:t>÷0.25≈</w:t>
            </w:r>
            <w:r>
              <w:rPr>
                <w:rFonts w:hint="eastAsia" w:cs="Times New Roman"/>
                <w:snapToGrid w:val="0"/>
                <w:color w:val="auto"/>
                <w:kern w:val="0"/>
                <w:szCs w:val="21"/>
                <w:u w:val="none" w:color="000000"/>
                <w:lang w:val="en-US" w:eastAsia="zh-CN"/>
              </w:rPr>
              <w:t>1.312</w:t>
            </w:r>
            <w:r>
              <w:rPr>
                <w:rFonts w:hint="eastAsia" w:ascii="Times New Roman" w:hAnsi="Times New Roman" w:eastAsia="宋体" w:cs="Times New Roman"/>
                <w:snapToGrid w:val="0"/>
                <w:color w:val="auto"/>
                <w:kern w:val="0"/>
                <w:szCs w:val="21"/>
                <w:u w:val="none" w:color="000000"/>
                <w:lang w:val="en-US" w:eastAsia="zh-CN"/>
              </w:rPr>
              <w:t>t/a。</w:t>
            </w:r>
          </w:p>
          <w:p w14:paraId="2BEF45CD">
            <w:pPr>
              <w:pageBreakBefore w:val="0"/>
              <w:kinsoku/>
              <w:wordWrap/>
              <w:overflowPunct/>
              <w:topLinePunct w:val="0"/>
              <w:bidi w:val="0"/>
              <w:ind w:left="0" w:leftChars="0" w:right="0" w:rightChars="0" w:firstLine="480" w:firstLineChars="200"/>
              <w:rPr>
                <w:rFonts w:hint="eastAsia" w:ascii="Times New Roman" w:hAnsi="Times New Roman" w:eastAsia="宋体" w:cs="Times New Roman"/>
                <w:snapToGrid w:val="0"/>
                <w:color w:val="auto"/>
                <w:kern w:val="0"/>
                <w:szCs w:val="21"/>
                <w:u w:val="none" w:color="000000"/>
                <w:lang w:val="en-US" w:eastAsia="zh-CN"/>
              </w:rPr>
            </w:pPr>
            <w:r>
              <w:rPr>
                <w:rFonts w:hint="eastAsia" w:ascii="Times New Roman" w:hAnsi="Times New Roman" w:eastAsia="宋体" w:cs="Times New Roman"/>
                <w:snapToGrid w:val="0"/>
                <w:color w:val="auto"/>
                <w:kern w:val="0"/>
                <w:szCs w:val="21"/>
                <w:u w:val="none" w:color="000000"/>
                <w:lang w:val="en-US" w:eastAsia="zh-CN"/>
              </w:rPr>
              <w:t>项目拟用二级活性炭吸附装置（TA001）单个炭箱尺寸设计为2.85m×2.2m×1m，活性炭装填体积=截面积×流速×停留时间=6.</w:t>
            </w:r>
            <w:r>
              <w:rPr>
                <w:rFonts w:hint="eastAsia" w:cs="Times New Roman"/>
                <w:snapToGrid w:val="0"/>
                <w:color w:val="auto"/>
                <w:kern w:val="0"/>
                <w:szCs w:val="21"/>
                <w:u w:val="none" w:color="000000"/>
                <w:lang w:val="en-US" w:eastAsia="zh-CN"/>
              </w:rPr>
              <w:t>02</w:t>
            </w:r>
            <w:r>
              <w:rPr>
                <w:rFonts w:hint="eastAsia" w:ascii="Times New Roman" w:hAnsi="Times New Roman" w:eastAsia="宋体" w:cs="Times New Roman"/>
                <w:snapToGrid w:val="0"/>
                <w:color w:val="auto"/>
                <w:kern w:val="0"/>
                <w:szCs w:val="21"/>
                <w:u w:val="none" w:color="000000"/>
                <w:lang w:val="en-US" w:eastAsia="zh-CN"/>
              </w:rPr>
              <w:t>×1.2×0.5=3.6</w:t>
            </w:r>
            <w:r>
              <w:rPr>
                <w:rFonts w:hint="eastAsia" w:cs="Times New Roman"/>
                <w:snapToGrid w:val="0"/>
                <w:color w:val="auto"/>
                <w:kern w:val="0"/>
                <w:szCs w:val="21"/>
                <w:u w:val="none" w:color="000000"/>
                <w:lang w:val="en-US" w:eastAsia="zh-CN"/>
              </w:rPr>
              <w:t>12</w:t>
            </w:r>
            <w:r>
              <w:rPr>
                <w:rFonts w:hint="eastAsia" w:ascii="Times New Roman" w:hAnsi="Times New Roman" w:eastAsia="宋体" w:cs="Times New Roman"/>
                <w:snapToGrid w:val="0"/>
                <w:color w:val="auto"/>
                <w:kern w:val="0"/>
                <w:szCs w:val="21"/>
                <w:u w:val="none" w:color="000000"/>
                <w:lang w:val="en-US" w:eastAsia="zh-CN"/>
              </w:rPr>
              <w:t>m</w:t>
            </w:r>
            <w:r>
              <w:rPr>
                <w:rFonts w:hint="eastAsia" w:ascii="Times New Roman" w:hAnsi="Times New Roman" w:eastAsia="宋体" w:cs="Times New Roman"/>
                <w:snapToGrid w:val="0"/>
                <w:color w:val="auto"/>
                <w:kern w:val="0"/>
                <w:szCs w:val="21"/>
                <w:u w:val="none" w:color="000000"/>
                <w:vertAlign w:val="superscript"/>
                <w:lang w:val="en-US" w:eastAsia="zh-CN"/>
              </w:rPr>
              <w:t>3</w:t>
            </w:r>
            <w:r>
              <w:rPr>
                <w:rFonts w:hint="eastAsia" w:ascii="Times New Roman" w:hAnsi="Times New Roman" w:eastAsia="宋体" w:cs="Times New Roman"/>
                <w:snapToGrid w:val="0"/>
                <w:color w:val="auto"/>
                <w:kern w:val="0"/>
                <w:szCs w:val="21"/>
                <w:u w:val="none" w:color="000000"/>
                <w:lang w:val="en-US" w:eastAsia="zh-CN"/>
              </w:rPr>
              <w:t>，</w:t>
            </w:r>
            <w:r>
              <w:rPr>
                <w:rFonts w:hint="eastAsia" w:cs="Times New Roman"/>
                <w:snapToGrid w:val="0"/>
                <w:color w:val="auto"/>
                <w:kern w:val="0"/>
                <w:szCs w:val="21"/>
                <w:u w:val="none" w:color="000000"/>
                <w:lang w:val="en-US" w:eastAsia="zh-CN"/>
              </w:rPr>
              <w:t>单个</w:t>
            </w:r>
            <w:r>
              <w:rPr>
                <w:rFonts w:hint="eastAsia" w:ascii="Times New Roman" w:hAnsi="Times New Roman" w:eastAsia="宋体" w:cs="Times New Roman"/>
                <w:snapToGrid w:val="0"/>
                <w:color w:val="auto"/>
                <w:kern w:val="0"/>
                <w:szCs w:val="21"/>
                <w:u w:val="none" w:color="000000"/>
                <w:lang w:val="en-US" w:eastAsia="zh-CN"/>
              </w:rPr>
              <w:t>活性炭最小装填量=活性炭体积×活性炭密度=3.6</w:t>
            </w:r>
            <w:r>
              <w:rPr>
                <w:rFonts w:hint="eastAsia" w:cs="Times New Roman"/>
                <w:snapToGrid w:val="0"/>
                <w:color w:val="auto"/>
                <w:kern w:val="0"/>
                <w:szCs w:val="21"/>
                <w:u w:val="none" w:color="000000"/>
                <w:lang w:val="en-US" w:eastAsia="zh-CN"/>
              </w:rPr>
              <w:t>12</w:t>
            </w:r>
            <w:r>
              <w:rPr>
                <w:rFonts w:hint="eastAsia" w:ascii="Times New Roman" w:hAnsi="Times New Roman" w:eastAsia="宋体" w:cs="Times New Roman"/>
                <w:snapToGrid w:val="0"/>
                <w:color w:val="auto"/>
                <w:kern w:val="0"/>
                <w:szCs w:val="21"/>
                <w:u w:val="none" w:color="000000"/>
                <w:lang w:val="en-US" w:eastAsia="zh-CN"/>
              </w:rPr>
              <w:t>×0.35≈1.2</w:t>
            </w:r>
            <w:r>
              <w:rPr>
                <w:rFonts w:hint="eastAsia" w:cs="Times New Roman"/>
                <w:snapToGrid w:val="0"/>
                <w:color w:val="auto"/>
                <w:kern w:val="0"/>
                <w:szCs w:val="21"/>
                <w:u w:val="none" w:color="000000"/>
                <w:lang w:val="en-US" w:eastAsia="zh-CN"/>
              </w:rPr>
              <w:t>64</w:t>
            </w:r>
            <w:r>
              <w:rPr>
                <w:rFonts w:hint="eastAsia" w:ascii="Times New Roman" w:hAnsi="Times New Roman" w:eastAsia="宋体" w:cs="Times New Roman"/>
                <w:snapToGrid w:val="0"/>
                <w:color w:val="auto"/>
                <w:kern w:val="0"/>
                <w:szCs w:val="21"/>
                <w:u w:val="none" w:color="000000"/>
                <w:lang w:val="en-US" w:eastAsia="zh-CN"/>
              </w:rPr>
              <w:t>t。二级活性炭吸附装置更换次数=最低所需活性炭量÷二级活性炭装填量=</w:t>
            </w:r>
            <w:r>
              <w:rPr>
                <w:rFonts w:hint="eastAsia" w:cs="Times New Roman"/>
                <w:snapToGrid w:val="0"/>
                <w:color w:val="auto"/>
                <w:kern w:val="0"/>
                <w:szCs w:val="21"/>
                <w:u w:val="none" w:color="000000"/>
                <w:lang w:val="en-US" w:eastAsia="zh-CN"/>
              </w:rPr>
              <w:t>1.312</w:t>
            </w:r>
            <w:r>
              <w:rPr>
                <w:rFonts w:hint="eastAsia" w:ascii="Times New Roman" w:hAnsi="Times New Roman" w:eastAsia="宋体" w:cs="Times New Roman"/>
                <w:snapToGrid w:val="0"/>
                <w:color w:val="auto"/>
                <w:kern w:val="0"/>
                <w:szCs w:val="21"/>
                <w:u w:val="none" w:color="000000"/>
                <w:lang w:val="en-US" w:eastAsia="zh-CN"/>
              </w:rPr>
              <w:t>÷(</w:t>
            </w:r>
            <w:r>
              <w:rPr>
                <w:rFonts w:hint="eastAsia" w:cs="Times New Roman"/>
                <w:snapToGrid w:val="0"/>
                <w:color w:val="auto"/>
                <w:kern w:val="0"/>
                <w:szCs w:val="21"/>
                <w:u w:val="none" w:color="000000"/>
                <w:lang w:val="en-US" w:eastAsia="zh-CN"/>
              </w:rPr>
              <w:t>1.264</w:t>
            </w:r>
            <w:r>
              <w:rPr>
                <w:rFonts w:hint="eastAsia" w:ascii="Times New Roman" w:hAnsi="Times New Roman" w:eastAsia="宋体" w:cs="Times New Roman"/>
                <w:snapToGrid w:val="0"/>
                <w:color w:val="auto"/>
                <w:kern w:val="0"/>
                <w:szCs w:val="21"/>
                <w:u w:val="none" w:color="000000"/>
                <w:lang w:val="en-US" w:eastAsia="zh-CN"/>
              </w:rPr>
              <w:t>×2)≈</w:t>
            </w:r>
            <w:r>
              <w:rPr>
                <w:rFonts w:hint="eastAsia" w:cs="Times New Roman"/>
                <w:snapToGrid w:val="0"/>
                <w:color w:val="auto"/>
                <w:kern w:val="0"/>
                <w:szCs w:val="21"/>
                <w:u w:val="none" w:color="000000"/>
                <w:lang w:val="en-US" w:eastAsia="zh-CN"/>
              </w:rPr>
              <w:t>0.52</w:t>
            </w:r>
            <w:r>
              <w:rPr>
                <w:rFonts w:hint="eastAsia" w:ascii="Times New Roman" w:hAnsi="Times New Roman" w:eastAsia="宋体" w:cs="Times New Roman"/>
                <w:snapToGrid w:val="0"/>
                <w:color w:val="auto"/>
                <w:kern w:val="0"/>
                <w:szCs w:val="21"/>
                <w:u w:val="none" w:color="000000"/>
                <w:lang w:val="en-US" w:eastAsia="zh-CN"/>
              </w:rPr>
              <w:t>次/年。</w:t>
            </w:r>
          </w:p>
          <w:p w14:paraId="1EC0CAB3">
            <w:pPr>
              <w:pageBreakBefore w:val="0"/>
              <w:kinsoku/>
              <w:wordWrap/>
              <w:overflowPunct/>
              <w:topLinePunct w:val="0"/>
              <w:bidi w:val="0"/>
              <w:ind w:left="0" w:leftChars="0" w:right="0" w:rightChars="0" w:firstLine="480" w:firstLineChars="200"/>
              <w:rPr>
                <w:rFonts w:hint="default" w:ascii="Times New Roman" w:hAnsi="Times New Roman" w:eastAsia="宋体" w:cs="Times New Roman"/>
                <w:snapToGrid w:val="0"/>
                <w:color w:val="auto"/>
                <w:kern w:val="0"/>
                <w:szCs w:val="21"/>
                <w:u w:val="none" w:color="000000"/>
                <w:lang w:val="en-US" w:eastAsia="zh-CN"/>
              </w:rPr>
            </w:pPr>
            <w:r>
              <w:rPr>
                <w:rFonts w:hint="eastAsia" w:ascii="Times New Roman" w:hAnsi="Times New Roman" w:eastAsia="宋体" w:cs="Times New Roman"/>
                <w:snapToGrid w:val="0"/>
                <w:color w:val="auto"/>
                <w:kern w:val="0"/>
                <w:szCs w:val="21"/>
                <w:u w:val="none" w:color="000000"/>
                <w:lang w:val="en-US" w:eastAsia="zh-CN"/>
              </w:rPr>
              <w:t>为了确保二级活性炭的吸附效率，二级活性炭吸附装置（TA001）每</w:t>
            </w:r>
            <w:r>
              <w:rPr>
                <w:rFonts w:hint="eastAsia" w:cs="Times New Roman"/>
                <w:snapToGrid w:val="0"/>
                <w:color w:val="auto"/>
                <w:kern w:val="0"/>
                <w:szCs w:val="21"/>
                <w:u w:val="none" w:color="000000"/>
                <w:lang w:val="en-US" w:eastAsia="zh-CN"/>
              </w:rPr>
              <w:t>年</w:t>
            </w:r>
            <w:r>
              <w:rPr>
                <w:rFonts w:hint="eastAsia" w:ascii="Times New Roman" w:hAnsi="Times New Roman" w:eastAsia="宋体" w:cs="Times New Roman"/>
                <w:snapToGrid w:val="0"/>
                <w:color w:val="auto"/>
                <w:kern w:val="0"/>
                <w:szCs w:val="21"/>
                <w:u w:val="none" w:color="000000"/>
                <w:lang w:val="en-US" w:eastAsia="zh-CN"/>
              </w:rPr>
              <w:t>更换一次。项目进入二级活性炭吸附装置的有机废气总量为</w:t>
            </w:r>
            <w:r>
              <w:rPr>
                <w:rFonts w:hint="eastAsia" w:cs="Times New Roman"/>
                <w:snapToGrid w:val="0"/>
                <w:color w:val="auto"/>
                <w:kern w:val="0"/>
                <w:szCs w:val="21"/>
                <w:u w:val="none" w:color="000000"/>
                <w:lang w:val="en-US" w:eastAsia="zh-CN"/>
              </w:rPr>
              <w:t>0.328</w:t>
            </w:r>
            <w:r>
              <w:rPr>
                <w:rFonts w:hint="eastAsia" w:ascii="Times New Roman" w:hAnsi="Times New Roman" w:eastAsia="宋体" w:cs="Times New Roman"/>
                <w:snapToGrid w:val="0"/>
                <w:color w:val="auto"/>
                <w:kern w:val="0"/>
                <w:szCs w:val="21"/>
                <w:u w:val="none" w:color="000000"/>
                <w:lang w:val="en-US" w:eastAsia="zh-CN"/>
              </w:rPr>
              <w:t>t/a，产生的废活性炭量为</w:t>
            </w:r>
            <w:r>
              <w:rPr>
                <w:rFonts w:hint="eastAsia" w:cs="Times New Roman"/>
                <w:snapToGrid w:val="0"/>
                <w:color w:val="auto"/>
                <w:kern w:val="0"/>
                <w:szCs w:val="21"/>
                <w:u w:val="none" w:color="000000"/>
                <w:lang w:val="en-US" w:eastAsia="zh-CN"/>
              </w:rPr>
              <w:t>0.328</w:t>
            </w:r>
            <w:r>
              <w:rPr>
                <w:rFonts w:hint="eastAsia" w:ascii="Times New Roman" w:hAnsi="Times New Roman" w:eastAsia="宋体" w:cs="Times New Roman"/>
                <w:snapToGrid w:val="0"/>
                <w:color w:val="auto"/>
                <w:kern w:val="0"/>
                <w:szCs w:val="21"/>
                <w:u w:val="none" w:color="000000"/>
                <w:lang w:val="en-US" w:eastAsia="zh-CN"/>
              </w:rPr>
              <w:t>+1.2</w:t>
            </w:r>
            <w:r>
              <w:rPr>
                <w:rFonts w:hint="eastAsia" w:cs="Times New Roman"/>
                <w:snapToGrid w:val="0"/>
                <w:color w:val="auto"/>
                <w:kern w:val="0"/>
                <w:szCs w:val="21"/>
                <w:u w:val="none" w:color="000000"/>
                <w:lang w:val="en-US" w:eastAsia="zh-CN"/>
              </w:rPr>
              <w:t>64</w:t>
            </w:r>
            <w:r>
              <w:rPr>
                <w:rFonts w:hint="eastAsia" w:ascii="Times New Roman" w:hAnsi="Times New Roman" w:eastAsia="宋体" w:cs="Times New Roman"/>
                <w:snapToGrid w:val="0"/>
                <w:color w:val="auto"/>
                <w:kern w:val="0"/>
                <w:szCs w:val="21"/>
                <w:u w:val="none" w:color="000000"/>
                <w:lang w:val="en-US" w:eastAsia="zh-CN"/>
              </w:rPr>
              <w:t>×2=</w:t>
            </w:r>
            <w:r>
              <w:rPr>
                <w:rFonts w:hint="eastAsia" w:cs="Times New Roman"/>
                <w:snapToGrid w:val="0"/>
                <w:color w:val="auto"/>
                <w:kern w:val="0"/>
                <w:szCs w:val="21"/>
                <w:u w:val="none" w:color="000000"/>
                <w:lang w:val="en-US" w:eastAsia="zh-CN"/>
              </w:rPr>
              <w:t>2.856</w:t>
            </w:r>
            <w:r>
              <w:rPr>
                <w:rFonts w:hint="eastAsia" w:ascii="Times New Roman" w:hAnsi="Times New Roman" w:eastAsia="宋体" w:cs="Times New Roman"/>
                <w:snapToGrid w:val="0"/>
                <w:color w:val="auto"/>
                <w:kern w:val="0"/>
                <w:szCs w:val="21"/>
                <w:u w:val="none" w:color="000000"/>
                <w:lang w:val="en-US" w:eastAsia="zh-CN"/>
              </w:rPr>
              <w:t>t/a，更换后暂存于危废库，委托有资质单位处理。</w:t>
            </w:r>
          </w:p>
          <w:p w14:paraId="28BFBE05">
            <w:pPr>
              <w:pageBreakBefore w:val="0"/>
              <w:widowControl w:val="0"/>
              <w:kinsoku/>
              <w:wordWrap/>
              <w:overflowPunct/>
              <w:topLinePunct w:val="0"/>
              <w:bidi w:val="0"/>
              <w:spacing w:line="360" w:lineRule="auto"/>
              <w:ind w:left="0" w:leftChars="0" w:right="0" w:rightChars="0" w:firstLine="0" w:firstLineChars="0"/>
              <w:jc w:val="center"/>
              <w:rPr>
                <w:rFonts w:ascii="Times New Roman" w:hAnsi="Times New Roman" w:eastAsia="宋体" w:cs="等线 Light"/>
                <w:b/>
                <w:bCs/>
                <w:color w:val="auto"/>
                <w:kern w:val="2"/>
                <w:sz w:val="21"/>
                <w:szCs w:val="24"/>
                <w:u w:val="none" w:color="000000"/>
                <w:lang w:val="en-US" w:eastAsia="zh-CN" w:bidi="ar-SA"/>
              </w:rPr>
            </w:pPr>
            <w:r>
              <w:rPr>
                <w:rFonts w:ascii="Times New Roman" w:hAnsi="Times New Roman" w:eastAsia="宋体" w:cs="等线 Light"/>
                <w:b/>
                <w:bCs/>
                <w:color w:val="auto"/>
                <w:kern w:val="2"/>
                <w:sz w:val="21"/>
                <w:szCs w:val="24"/>
                <w:u w:val="none" w:color="000000"/>
                <w:lang w:val="en-US" w:eastAsia="zh-CN" w:bidi="ar-SA"/>
              </w:rPr>
              <w:t>表</w:t>
            </w:r>
            <w:r>
              <w:rPr>
                <w:rFonts w:hint="eastAsia" w:ascii="Times New Roman" w:hAnsi="Times New Roman" w:eastAsia="宋体" w:cs="等线 Light"/>
                <w:b/>
                <w:bCs/>
                <w:color w:val="auto"/>
                <w:kern w:val="2"/>
                <w:sz w:val="21"/>
                <w:szCs w:val="24"/>
                <w:u w:val="none" w:color="000000"/>
                <w:lang w:val="en-US" w:eastAsia="zh-CN" w:bidi="ar-SA"/>
              </w:rPr>
              <w:t>4-</w:t>
            </w:r>
            <w:r>
              <w:rPr>
                <w:rFonts w:hint="eastAsia" w:cs="等线 Light"/>
                <w:b/>
                <w:bCs/>
                <w:color w:val="auto"/>
                <w:kern w:val="2"/>
                <w:sz w:val="21"/>
                <w:szCs w:val="24"/>
                <w:u w:val="none" w:color="000000"/>
                <w:lang w:val="en-US" w:eastAsia="zh-CN" w:bidi="ar-SA"/>
              </w:rPr>
              <w:t xml:space="preserve">6 </w:t>
            </w:r>
            <w:r>
              <w:rPr>
                <w:rFonts w:ascii="Times New Roman" w:hAnsi="Times New Roman" w:eastAsia="宋体" w:cs="等线 Light"/>
                <w:b/>
                <w:bCs/>
                <w:color w:val="auto"/>
                <w:kern w:val="2"/>
                <w:sz w:val="21"/>
                <w:szCs w:val="24"/>
                <w:u w:val="none" w:color="000000"/>
                <w:lang w:val="en-US" w:eastAsia="zh-CN" w:bidi="ar-SA"/>
              </w:rPr>
              <w:t xml:space="preserve"> 活性炭吸附装置主要设计参数</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51"/>
              <w:gridCol w:w="1982"/>
              <w:gridCol w:w="2078"/>
              <w:gridCol w:w="3504"/>
            </w:tblGrid>
            <w:tr w14:paraId="668F54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9" w:type="pct"/>
                  <w:vMerge w:val="restart"/>
                  <w:tcBorders>
                    <w:tl2br w:val="nil"/>
                    <w:tr2bl w:val="nil"/>
                  </w:tcBorders>
                  <w:noWrap w:val="0"/>
                  <w:vAlign w:val="center"/>
                </w:tcPr>
                <w:p w14:paraId="65813198">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b/>
                      <w:bCs/>
                      <w:color w:val="auto"/>
                      <w:kern w:val="2"/>
                      <w:sz w:val="21"/>
                      <w:szCs w:val="24"/>
                      <w:u w:val="none" w:color="000000"/>
                      <w:lang w:val="en-US" w:eastAsia="zh-CN" w:bidi="ar-SA"/>
                    </w:rPr>
                  </w:pPr>
                  <w:r>
                    <w:rPr>
                      <w:rFonts w:ascii="Times New Roman" w:hAnsi="Times New Roman" w:eastAsia="宋体" w:cs="等线 Light"/>
                      <w:b/>
                      <w:bCs/>
                      <w:color w:val="auto"/>
                      <w:kern w:val="2"/>
                      <w:sz w:val="21"/>
                      <w:szCs w:val="24"/>
                      <w:u w:val="none" w:color="000000"/>
                      <w:lang w:val="en-US" w:eastAsia="zh-CN" w:bidi="ar-SA"/>
                    </w:rPr>
                    <w:t>序号</w:t>
                  </w:r>
                </w:p>
              </w:tc>
              <w:tc>
                <w:tcPr>
                  <w:tcW w:w="1221" w:type="pct"/>
                  <w:vMerge w:val="restart"/>
                  <w:tcBorders>
                    <w:tl2br w:val="nil"/>
                    <w:tr2bl w:val="nil"/>
                  </w:tcBorders>
                  <w:noWrap w:val="0"/>
                  <w:vAlign w:val="center"/>
                </w:tcPr>
                <w:p w14:paraId="3C29830D">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b/>
                      <w:bCs/>
                      <w:color w:val="auto"/>
                      <w:kern w:val="2"/>
                      <w:sz w:val="21"/>
                      <w:szCs w:val="24"/>
                      <w:u w:val="none" w:color="000000"/>
                      <w:lang w:val="en-US" w:eastAsia="zh-CN" w:bidi="ar-SA"/>
                    </w:rPr>
                  </w:pPr>
                  <w:r>
                    <w:rPr>
                      <w:rFonts w:ascii="Times New Roman" w:hAnsi="Times New Roman" w:eastAsia="宋体" w:cs="等线 Light"/>
                      <w:b/>
                      <w:bCs/>
                      <w:color w:val="auto"/>
                      <w:kern w:val="2"/>
                      <w:sz w:val="21"/>
                      <w:szCs w:val="24"/>
                      <w:u w:val="none" w:color="000000"/>
                      <w:lang w:val="en-US" w:eastAsia="zh-CN" w:bidi="ar-SA"/>
                    </w:rPr>
                    <w:t>项目</w:t>
                  </w:r>
                </w:p>
              </w:tc>
              <w:tc>
                <w:tcPr>
                  <w:tcW w:w="1280" w:type="pct"/>
                  <w:vMerge w:val="restart"/>
                  <w:tcBorders>
                    <w:tl2br w:val="nil"/>
                    <w:tr2bl w:val="nil"/>
                  </w:tcBorders>
                  <w:noWrap w:val="0"/>
                  <w:vAlign w:val="center"/>
                </w:tcPr>
                <w:p w14:paraId="29A1C1EE">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b/>
                      <w:bCs/>
                      <w:color w:val="auto"/>
                      <w:kern w:val="2"/>
                      <w:sz w:val="21"/>
                      <w:szCs w:val="24"/>
                      <w:u w:val="none" w:color="000000"/>
                      <w:lang w:val="en-US" w:eastAsia="zh-CN" w:bidi="ar-SA"/>
                    </w:rPr>
                  </w:pPr>
                  <w:r>
                    <w:rPr>
                      <w:rFonts w:ascii="Times New Roman" w:hAnsi="Times New Roman" w:eastAsia="宋体" w:cs="等线 Light"/>
                      <w:b/>
                      <w:bCs/>
                      <w:color w:val="auto"/>
                      <w:kern w:val="2"/>
                      <w:sz w:val="21"/>
                      <w:szCs w:val="24"/>
                      <w:u w:val="none" w:color="000000"/>
                      <w:lang w:val="en-US" w:eastAsia="zh-CN" w:bidi="ar-SA"/>
                    </w:rPr>
                    <w:t>单位</w:t>
                  </w:r>
                </w:p>
              </w:tc>
              <w:tc>
                <w:tcPr>
                  <w:tcW w:w="2158" w:type="pct"/>
                  <w:tcBorders>
                    <w:tl2br w:val="nil"/>
                    <w:tr2bl w:val="nil"/>
                  </w:tcBorders>
                  <w:noWrap w:val="0"/>
                  <w:vAlign w:val="center"/>
                </w:tcPr>
                <w:p w14:paraId="6CF1DB4E">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b/>
                      <w:bCs/>
                      <w:color w:val="auto"/>
                      <w:kern w:val="2"/>
                      <w:sz w:val="21"/>
                      <w:szCs w:val="24"/>
                      <w:u w:val="none" w:color="000000"/>
                      <w:lang w:val="en-US" w:eastAsia="zh-CN" w:bidi="ar-SA"/>
                    </w:rPr>
                  </w:pPr>
                  <w:r>
                    <w:rPr>
                      <w:rFonts w:ascii="Times New Roman" w:hAnsi="Times New Roman" w:eastAsia="宋体" w:cs="等线 Light"/>
                      <w:b/>
                      <w:bCs/>
                      <w:color w:val="auto"/>
                      <w:kern w:val="2"/>
                      <w:sz w:val="21"/>
                      <w:szCs w:val="24"/>
                      <w:u w:val="none" w:color="000000"/>
                      <w:lang w:val="en-US" w:eastAsia="zh-CN" w:bidi="ar-SA"/>
                    </w:rPr>
                    <w:t>技术指标</w:t>
                  </w:r>
                </w:p>
              </w:tc>
            </w:tr>
            <w:tr w14:paraId="74CEDB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9" w:type="pct"/>
                  <w:vMerge w:val="continue"/>
                  <w:tcBorders>
                    <w:tl2br w:val="nil"/>
                    <w:tr2bl w:val="nil"/>
                  </w:tcBorders>
                  <w:noWrap w:val="0"/>
                  <w:vAlign w:val="center"/>
                </w:tcPr>
                <w:p w14:paraId="067CA614">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b/>
                      <w:bCs/>
                      <w:color w:val="auto"/>
                      <w:kern w:val="2"/>
                      <w:sz w:val="21"/>
                      <w:szCs w:val="24"/>
                      <w:u w:val="none" w:color="000000"/>
                      <w:lang w:val="en-US" w:eastAsia="zh-CN" w:bidi="ar-SA"/>
                    </w:rPr>
                  </w:pPr>
                </w:p>
              </w:tc>
              <w:tc>
                <w:tcPr>
                  <w:tcW w:w="1221" w:type="pct"/>
                  <w:vMerge w:val="continue"/>
                  <w:tcBorders>
                    <w:tl2br w:val="nil"/>
                    <w:tr2bl w:val="nil"/>
                  </w:tcBorders>
                  <w:noWrap w:val="0"/>
                  <w:vAlign w:val="center"/>
                </w:tcPr>
                <w:p w14:paraId="2E213981">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b/>
                      <w:bCs/>
                      <w:color w:val="auto"/>
                      <w:kern w:val="2"/>
                      <w:sz w:val="21"/>
                      <w:szCs w:val="24"/>
                      <w:u w:val="none" w:color="000000"/>
                      <w:lang w:val="en-US" w:eastAsia="zh-CN" w:bidi="ar-SA"/>
                    </w:rPr>
                  </w:pPr>
                </w:p>
              </w:tc>
              <w:tc>
                <w:tcPr>
                  <w:tcW w:w="1280" w:type="pct"/>
                  <w:vMerge w:val="continue"/>
                  <w:tcBorders>
                    <w:tl2br w:val="nil"/>
                    <w:tr2bl w:val="nil"/>
                  </w:tcBorders>
                  <w:noWrap w:val="0"/>
                  <w:vAlign w:val="center"/>
                </w:tcPr>
                <w:p w14:paraId="148B844C">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b/>
                      <w:bCs/>
                      <w:color w:val="auto"/>
                      <w:kern w:val="2"/>
                      <w:sz w:val="21"/>
                      <w:szCs w:val="24"/>
                      <w:u w:val="none" w:color="000000"/>
                      <w:lang w:val="en-US" w:eastAsia="zh-CN" w:bidi="ar-SA"/>
                    </w:rPr>
                  </w:pPr>
                </w:p>
              </w:tc>
              <w:tc>
                <w:tcPr>
                  <w:tcW w:w="2158" w:type="pct"/>
                  <w:tcBorders>
                    <w:tl2br w:val="nil"/>
                    <w:tr2bl w:val="nil"/>
                  </w:tcBorders>
                  <w:noWrap w:val="0"/>
                  <w:vAlign w:val="center"/>
                </w:tcPr>
                <w:p w14:paraId="77112F18">
                  <w:pPr>
                    <w:pageBreakBefore w:val="0"/>
                    <w:widowControl w:val="0"/>
                    <w:kinsoku/>
                    <w:wordWrap/>
                    <w:overflowPunct/>
                    <w:topLinePunct w:val="0"/>
                    <w:bidi w:val="0"/>
                    <w:spacing w:line="240" w:lineRule="auto"/>
                    <w:ind w:left="0" w:leftChars="0" w:right="0" w:rightChars="0" w:firstLine="0" w:firstLineChars="0"/>
                    <w:jc w:val="center"/>
                    <w:rPr>
                      <w:rFonts w:hint="default" w:ascii="Times New Roman" w:hAnsi="Times New Roman" w:eastAsia="宋体" w:cs="等线 Light"/>
                      <w:b/>
                      <w:bCs/>
                      <w:color w:val="auto"/>
                      <w:kern w:val="2"/>
                      <w:sz w:val="21"/>
                      <w:szCs w:val="24"/>
                      <w:u w:val="none" w:color="000000"/>
                      <w:lang w:val="en-US" w:eastAsia="zh-CN" w:bidi="ar-SA"/>
                    </w:rPr>
                  </w:pPr>
                  <w:r>
                    <w:rPr>
                      <w:rFonts w:hint="eastAsia" w:ascii="Times New Roman" w:hAnsi="Times New Roman" w:eastAsia="宋体" w:cs="等线 Light"/>
                      <w:b/>
                      <w:bCs/>
                      <w:color w:val="auto"/>
                      <w:kern w:val="2"/>
                      <w:sz w:val="21"/>
                      <w:szCs w:val="24"/>
                      <w:u w:val="none" w:color="000000"/>
                      <w:lang w:val="en-US" w:eastAsia="zh-CN" w:bidi="ar-SA"/>
                    </w:rPr>
                    <w:t>DA001</w:t>
                  </w:r>
                </w:p>
              </w:tc>
            </w:tr>
            <w:tr w14:paraId="40588B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9" w:type="pct"/>
                  <w:tcBorders>
                    <w:tl2br w:val="nil"/>
                    <w:tr2bl w:val="nil"/>
                  </w:tcBorders>
                  <w:noWrap w:val="0"/>
                  <w:vAlign w:val="center"/>
                </w:tcPr>
                <w:p w14:paraId="05618C9C">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1</w:t>
                  </w:r>
                </w:p>
              </w:tc>
              <w:tc>
                <w:tcPr>
                  <w:tcW w:w="1221" w:type="pct"/>
                  <w:tcBorders>
                    <w:tl2br w:val="nil"/>
                    <w:tr2bl w:val="nil"/>
                  </w:tcBorders>
                  <w:noWrap w:val="0"/>
                  <w:vAlign w:val="center"/>
                </w:tcPr>
                <w:p w14:paraId="5C4AEFB9">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箱体尺寸</w:t>
                  </w:r>
                </w:p>
              </w:tc>
              <w:tc>
                <w:tcPr>
                  <w:tcW w:w="1280" w:type="pct"/>
                  <w:tcBorders>
                    <w:tl2br w:val="nil"/>
                    <w:tr2bl w:val="nil"/>
                  </w:tcBorders>
                  <w:noWrap w:val="0"/>
                  <w:vAlign w:val="center"/>
                </w:tcPr>
                <w:p w14:paraId="508BBD69">
                  <w:pPr>
                    <w:pageBreakBefore w:val="0"/>
                    <w:widowControl w:val="0"/>
                    <w:kinsoku/>
                    <w:wordWrap/>
                    <w:overflowPunct/>
                    <w:topLinePunct w:val="0"/>
                    <w:bidi w:val="0"/>
                    <w:spacing w:line="240" w:lineRule="auto"/>
                    <w:ind w:left="0" w:leftChars="0" w:right="0" w:rightChars="0" w:firstLine="0" w:firstLineChars="0"/>
                    <w:jc w:val="center"/>
                    <w:rPr>
                      <w:rFonts w:hint="eastAsia" w:ascii="Times New Roman" w:hAnsi="Times New Roman" w:eastAsia="宋体" w:cs="等线 Light"/>
                      <w:color w:val="auto"/>
                      <w:kern w:val="2"/>
                      <w:sz w:val="21"/>
                      <w:szCs w:val="24"/>
                      <w:u w:val="none" w:color="000000"/>
                      <w:lang w:val="en-US" w:eastAsia="zh-CN" w:bidi="ar-SA"/>
                    </w:rPr>
                  </w:pPr>
                  <w:r>
                    <w:rPr>
                      <w:rFonts w:hint="eastAsia" w:ascii="Times New Roman" w:hAnsi="Times New Roman" w:eastAsia="宋体" w:cs="等线 Light"/>
                      <w:color w:val="auto"/>
                      <w:kern w:val="2"/>
                      <w:sz w:val="21"/>
                      <w:szCs w:val="24"/>
                      <w:u w:val="none" w:color="000000"/>
                      <w:lang w:val="en-US" w:eastAsia="zh-CN" w:bidi="ar-SA"/>
                    </w:rPr>
                    <w:t>m</w:t>
                  </w:r>
                </w:p>
              </w:tc>
              <w:tc>
                <w:tcPr>
                  <w:tcW w:w="2158" w:type="pct"/>
                  <w:tcBorders>
                    <w:tl2br w:val="nil"/>
                    <w:tr2bl w:val="nil"/>
                  </w:tcBorders>
                  <w:noWrap w:val="0"/>
                  <w:vAlign w:val="center"/>
                </w:tcPr>
                <w:p w14:paraId="14B838EE">
                  <w:pPr>
                    <w:pageBreakBefore w:val="0"/>
                    <w:widowControl w:val="0"/>
                    <w:kinsoku/>
                    <w:wordWrap/>
                    <w:overflowPunct/>
                    <w:topLinePunct w:val="0"/>
                    <w:bidi w:val="0"/>
                    <w:spacing w:line="240" w:lineRule="auto"/>
                    <w:ind w:left="0" w:leftChars="0" w:right="0" w:rightChars="0" w:firstLine="0" w:firstLineChars="0"/>
                    <w:jc w:val="center"/>
                    <w:rPr>
                      <w:rFonts w:hint="default" w:ascii="Times New Roman" w:hAnsi="Times New Roman" w:eastAsia="宋体" w:cs="等线 Light"/>
                      <w:color w:val="auto"/>
                      <w:kern w:val="2"/>
                      <w:sz w:val="21"/>
                      <w:szCs w:val="24"/>
                      <w:u w:val="none" w:color="000000"/>
                      <w:lang w:val="en-US" w:eastAsia="zh-CN" w:bidi="ar-SA"/>
                    </w:rPr>
                  </w:pPr>
                  <w:r>
                    <w:rPr>
                      <w:rFonts w:hint="eastAsia" w:ascii="Times New Roman" w:hAnsi="Times New Roman" w:eastAsia="宋体" w:cs="等线 Light"/>
                      <w:color w:val="auto"/>
                      <w:kern w:val="2"/>
                      <w:sz w:val="21"/>
                      <w:szCs w:val="24"/>
                      <w:u w:val="none" w:color="000000"/>
                      <w:lang w:val="en-US" w:eastAsia="zh-CN" w:bidi="ar-SA"/>
                    </w:rPr>
                    <w:t>2.85×2.2×1</w:t>
                  </w:r>
                </w:p>
              </w:tc>
            </w:tr>
            <w:tr w14:paraId="6D4713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9" w:type="pct"/>
                  <w:tcBorders>
                    <w:tl2br w:val="nil"/>
                    <w:tr2bl w:val="nil"/>
                  </w:tcBorders>
                  <w:noWrap w:val="0"/>
                  <w:vAlign w:val="center"/>
                </w:tcPr>
                <w:p w14:paraId="1BA14693">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2</w:t>
                  </w:r>
                </w:p>
              </w:tc>
              <w:tc>
                <w:tcPr>
                  <w:tcW w:w="1221" w:type="pct"/>
                  <w:tcBorders>
                    <w:tl2br w:val="nil"/>
                    <w:tr2bl w:val="nil"/>
                  </w:tcBorders>
                  <w:noWrap w:val="0"/>
                  <w:vAlign w:val="center"/>
                </w:tcPr>
                <w:p w14:paraId="0D97259B">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活性炭类型</w:t>
                  </w:r>
                </w:p>
              </w:tc>
              <w:tc>
                <w:tcPr>
                  <w:tcW w:w="1280" w:type="pct"/>
                  <w:tcBorders>
                    <w:tl2br w:val="nil"/>
                    <w:tr2bl w:val="nil"/>
                  </w:tcBorders>
                  <w:noWrap w:val="0"/>
                  <w:vAlign w:val="center"/>
                </w:tcPr>
                <w:p w14:paraId="3B31739E">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w:t>
                  </w:r>
                </w:p>
              </w:tc>
              <w:tc>
                <w:tcPr>
                  <w:tcW w:w="2158" w:type="pct"/>
                  <w:tcBorders>
                    <w:tl2br w:val="nil"/>
                    <w:tr2bl w:val="nil"/>
                  </w:tcBorders>
                  <w:noWrap w:val="0"/>
                  <w:vAlign w:val="center"/>
                </w:tcPr>
                <w:p w14:paraId="68686F26">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蜂窝</w:t>
                  </w:r>
                  <w:r>
                    <w:rPr>
                      <w:rFonts w:hint="eastAsia" w:ascii="Times New Roman" w:hAnsi="Times New Roman" w:eastAsia="宋体" w:cs="等线 Light"/>
                      <w:color w:val="auto"/>
                      <w:kern w:val="2"/>
                      <w:sz w:val="21"/>
                      <w:szCs w:val="24"/>
                      <w:u w:val="none" w:color="000000"/>
                      <w:lang w:val="en-US" w:eastAsia="zh-CN" w:bidi="ar-SA"/>
                    </w:rPr>
                    <w:t>，6层</w:t>
                  </w:r>
                </w:p>
              </w:tc>
            </w:tr>
            <w:tr w14:paraId="55E167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9" w:type="pct"/>
                  <w:tcBorders>
                    <w:tl2br w:val="nil"/>
                    <w:tr2bl w:val="nil"/>
                  </w:tcBorders>
                  <w:noWrap w:val="0"/>
                  <w:vAlign w:val="center"/>
                </w:tcPr>
                <w:p w14:paraId="6F1624B5">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3</w:t>
                  </w:r>
                </w:p>
              </w:tc>
              <w:tc>
                <w:tcPr>
                  <w:tcW w:w="1221" w:type="pct"/>
                  <w:tcBorders>
                    <w:tl2br w:val="nil"/>
                    <w:tr2bl w:val="nil"/>
                  </w:tcBorders>
                  <w:noWrap w:val="0"/>
                  <w:vAlign w:val="center"/>
                </w:tcPr>
                <w:p w14:paraId="606D2527">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比表面积</w:t>
                  </w:r>
                </w:p>
              </w:tc>
              <w:tc>
                <w:tcPr>
                  <w:tcW w:w="1280" w:type="pct"/>
                  <w:tcBorders>
                    <w:tl2br w:val="nil"/>
                    <w:tr2bl w:val="nil"/>
                  </w:tcBorders>
                  <w:noWrap w:val="0"/>
                  <w:vAlign w:val="center"/>
                </w:tcPr>
                <w:p w14:paraId="16309591">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m2/g</w:t>
                  </w:r>
                </w:p>
              </w:tc>
              <w:tc>
                <w:tcPr>
                  <w:tcW w:w="2158" w:type="pct"/>
                  <w:tcBorders>
                    <w:tl2br w:val="nil"/>
                    <w:tr2bl w:val="nil"/>
                  </w:tcBorders>
                  <w:noWrap w:val="0"/>
                  <w:vAlign w:val="center"/>
                </w:tcPr>
                <w:p w14:paraId="4E561455">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900~1600</w:t>
                  </w:r>
                </w:p>
              </w:tc>
            </w:tr>
            <w:tr w14:paraId="6389CC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9" w:type="pct"/>
                  <w:tcBorders>
                    <w:tl2br w:val="nil"/>
                    <w:tr2bl w:val="nil"/>
                  </w:tcBorders>
                  <w:noWrap w:val="0"/>
                  <w:vAlign w:val="center"/>
                </w:tcPr>
                <w:p w14:paraId="328D0218">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4</w:t>
                  </w:r>
                </w:p>
              </w:tc>
              <w:tc>
                <w:tcPr>
                  <w:tcW w:w="1221" w:type="pct"/>
                  <w:tcBorders>
                    <w:tl2br w:val="nil"/>
                    <w:tr2bl w:val="nil"/>
                  </w:tcBorders>
                  <w:noWrap w:val="0"/>
                  <w:vAlign w:val="center"/>
                </w:tcPr>
                <w:p w14:paraId="399A39CC">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总孔容积</w:t>
                  </w:r>
                </w:p>
              </w:tc>
              <w:tc>
                <w:tcPr>
                  <w:tcW w:w="1280" w:type="pct"/>
                  <w:tcBorders>
                    <w:tl2br w:val="nil"/>
                    <w:tr2bl w:val="nil"/>
                  </w:tcBorders>
                  <w:noWrap w:val="0"/>
                  <w:vAlign w:val="center"/>
                </w:tcPr>
                <w:p w14:paraId="438924D7">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cm3/g</w:t>
                  </w:r>
                </w:p>
              </w:tc>
              <w:tc>
                <w:tcPr>
                  <w:tcW w:w="2158" w:type="pct"/>
                  <w:tcBorders>
                    <w:tl2br w:val="nil"/>
                    <w:tr2bl w:val="nil"/>
                  </w:tcBorders>
                  <w:noWrap w:val="0"/>
                  <w:vAlign w:val="center"/>
                </w:tcPr>
                <w:p w14:paraId="5C83291B">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0.81（碘值≥800mg/g）</w:t>
                  </w:r>
                </w:p>
              </w:tc>
            </w:tr>
            <w:tr w14:paraId="567D7A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9" w:type="pct"/>
                  <w:tcBorders>
                    <w:tl2br w:val="nil"/>
                    <w:tr2bl w:val="nil"/>
                  </w:tcBorders>
                  <w:noWrap w:val="0"/>
                  <w:vAlign w:val="center"/>
                </w:tcPr>
                <w:p w14:paraId="16A72C30">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5</w:t>
                  </w:r>
                </w:p>
              </w:tc>
              <w:tc>
                <w:tcPr>
                  <w:tcW w:w="1221" w:type="pct"/>
                  <w:tcBorders>
                    <w:tl2br w:val="nil"/>
                    <w:tr2bl w:val="nil"/>
                  </w:tcBorders>
                  <w:noWrap w:val="0"/>
                  <w:vAlign w:val="center"/>
                </w:tcPr>
                <w:p w14:paraId="1E76CBF3">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水分</w:t>
                  </w:r>
                </w:p>
              </w:tc>
              <w:tc>
                <w:tcPr>
                  <w:tcW w:w="1280" w:type="pct"/>
                  <w:tcBorders>
                    <w:tl2br w:val="nil"/>
                    <w:tr2bl w:val="nil"/>
                  </w:tcBorders>
                  <w:noWrap w:val="0"/>
                  <w:vAlign w:val="center"/>
                </w:tcPr>
                <w:p w14:paraId="1C929065">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w:t>
                  </w:r>
                </w:p>
              </w:tc>
              <w:tc>
                <w:tcPr>
                  <w:tcW w:w="2158" w:type="pct"/>
                  <w:tcBorders>
                    <w:tl2br w:val="nil"/>
                    <w:tr2bl w:val="nil"/>
                  </w:tcBorders>
                  <w:noWrap w:val="0"/>
                  <w:vAlign w:val="center"/>
                </w:tcPr>
                <w:p w14:paraId="20CF06FC">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≤5</w:t>
                  </w:r>
                </w:p>
              </w:tc>
            </w:tr>
            <w:tr w14:paraId="0FF737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9" w:type="pct"/>
                  <w:tcBorders>
                    <w:tl2br w:val="nil"/>
                    <w:tr2bl w:val="nil"/>
                  </w:tcBorders>
                  <w:noWrap w:val="0"/>
                  <w:vAlign w:val="center"/>
                </w:tcPr>
                <w:p w14:paraId="16BC750A">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6</w:t>
                  </w:r>
                </w:p>
              </w:tc>
              <w:tc>
                <w:tcPr>
                  <w:tcW w:w="1221" w:type="pct"/>
                  <w:tcBorders>
                    <w:tl2br w:val="nil"/>
                    <w:tr2bl w:val="nil"/>
                  </w:tcBorders>
                  <w:noWrap w:val="0"/>
                  <w:vAlign w:val="center"/>
                </w:tcPr>
                <w:p w14:paraId="2F83B138">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hint="eastAsia" w:cs="等线 Light"/>
                      <w:color w:val="auto"/>
                      <w:kern w:val="2"/>
                      <w:sz w:val="21"/>
                      <w:szCs w:val="24"/>
                      <w:u w:val="none" w:color="000000"/>
                      <w:lang w:val="en-US" w:eastAsia="zh-CN" w:bidi="ar-SA"/>
                    </w:rPr>
                    <w:t>密度</w:t>
                  </w:r>
                </w:p>
              </w:tc>
              <w:tc>
                <w:tcPr>
                  <w:tcW w:w="1280" w:type="pct"/>
                  <w:tcBorders>
                    <w:tl2br w:val="nil"/>
                    <w:tr2bl w:val="nil"/>
                  </w:tcBorders>
                  <w:noWrap w:val="0"/>
                  <w:vAlign w:val="center"/>
                </w:tcPr>
                <w:p w14:paraId="209C6C84">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hint="eastAsia" w:cs="等线 Light"/>
                      <w:color w:val="auto"/>
                      <w:kern w:val="2"/>
                      <w:sz w:val="21"/>
                      <w:szCs w:val="24"/>
                      <w:u w:val="none" w:color="000000"/>
                      <w:lang w:val="en-US" w:eastAsia="zh-CN" w:bidi="ar-SA"/>
                    </w:rPr>
                    <w:t>k</w:t>
                  </w:r>
                  <w:r>
                    <w:rPr>
                      <w:rFonts w:ascii="Times New Roman" w:hAnsi="Times New Roman" w:eastAsia="宋体" w:cs="等线 Light"/>
                      <w:color w:val="auto"/>
                      <w:kern w:val="2"/>
                      <w:sz w:val="21"/>
                      <w:szCs w:val="24"/>
                      <w:u w:val="none" w:color="000000"/>
                      <w:lang w:val="en-US" w:eastAsia="zh-CN" w:bidi="ar-SA"/>
                    </w:rPr>
                    <w:t>g/m</w:t>
                  </w:r>
                  <w:r>
                    <w:rPr>
                      <w:rFonts w:hint="eastAsia" w:cs="等线 Light"/>
                      <w:color w:val="auto"/>
                      <w:kern w:val="2"/>
                      <w:sz w:val="21"/>
                      <w:szCs w:val="24"/>
                      <w:u w:val="none" w:color="000000"/>
                      <w:vertAlign w:val="superscript"/>
                      <w:lang w:val="en-US" w:eastAsia="zh-CN" w:bidi="ar-SA"/>
                    </w:rPr>
                    <w:t>3</w:t>
                  </w:r>
                </w:p>
              </w:tc>
              <w:tc>
                <w:tcPr>
                  <w:tcW w:w="2158" w:type="pct"/>
                  <w:tcBorders>
                    <w:tl2br w:val="nil"/>
                    <w:tr2bl w:val="nil"/>
                  </w:tcBorders>
                  <w:noWrap w:val="0"/>
                  <w:vAlign w:val="center"/>
                </w:tcPr>
                <w:p w14:paraId="058CEDD1">
                  <w:pPr>
                    <w:pageBreakBefore w:val="0"/>
                    <w:widowControl w:val="0"/>
                    <w:kinsoku/>
                    <w:wordWrap/>
                    <w:overflowPunct/>
                    <w:topLinePunct w:val="0"/>
                    <w:bidi w:val="0"/>
                    <w:spacing w:line="240" w:lineRule="auto"/>
                    <w:ind w:left="0" w:leftChars="0" w:right="0" w:rightChars="0" w:firstLine="0" w:firstLineChars="0"/>
                    <w:jc w:val="center"/>
                    <w:rPr>
                      <w:rFonts w:hint="default" w:ascii="Times New Roman" w:hAnsi="Times New Roman" w:eastAsia="宋体" w:cs="等线 Light"/>
                      <w:color w:val="auto"/>
                      <w:kern w:val="2"/>
                      <w:sz w:val="21"/>
                      <w:szCs w:val="24"/>
                      <w:u w:val="none" w:color="000000"/>
                      <w:lang w:val="en-US" w:eastAsia="zh-CN" w:bidi="ar-SA"/>
                    </w:rPr>
                  </w:pPr>
                  <w:r>
                    <w:rPr>
                      <w:rFonts w:hint="eastAsia" w:cs="等线 Light"/>
                      <w:color w:val="auto"/>
                      <w:kern w:val="2"/>
                      <w:sz w:val="21"/>
                      <w:szCs w:val="24"/>
                      <w:u w:val="none" w:color="000000"/>
                      <w:lang w:val="en-US" w:eastAsia="zh-CN" w:bidi="ar-SA"/>
                    </w:rPr>
                    <w:t>350</w:t>
                  </w:r>
                </w:p>
              </w:tc>
            </w:tr>
            <w:tr w14:paraId="36DD8A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9" w:type="pct"/>
                  <w:tcBorders>
                    <w:tl2br w:val="nil"/>
                    <w:tr2bl w:val="nil"/>
                  </w:tcBorders>
                  <w:noWrap w:val="0"/>
                  <w:vAlign w:val="center"/>
                </w:tcPr>
                <w:p w14:paraId="5CB1D8BF">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7</w:t>
                  </w:r>
                </w:p>
              </w:tc>
              <w:tc>
                <w:tcPr>
                  <w:tcW w:w="1221" w:type="pct"/>
                  <w:tcBorders>
                    <w:tl2br w:val="nil"/>
                    <w:tr2bl w:val="nil"/>
                  </w:tcBorders>
                  <w:noWrap w:val="0"/>
                  <w:vAlign w:val="center"/>
                </w:tcPr>
                <w:p w14:paraId="15C0968B">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着火点</w:t>
                  </w:r>
                </w:p>
              </w:tc>
              <w:tc>
                <w:tcPr>
                  <w:tcW w:w="1280" w:type="pct"/>
                  <w:tcBorders>
                    <w:tl2br w:val="nil"/>
                    <w:tr2bl w:val="nil"/>
                  </w:tcBorders>
                  <w:noWrap w:val="0"/>
                  <w:vAlign w:val="center"/>
                </w:tcPr>
                <w:p w14:paraId="4753BF3F">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w:t>
                  </w:r>
                </w:p>
              </w:tc>
              <w:tc>
                <w:tcPr>
                  <w:tcW w:w="2158" w:type="pct"/>
                  <w:tcBorders>
                    <w:tl2br w:val="nil"/>
                    <w:tr2bl w:val="nil"/>
                  </w:tcBorders>
                  <w:noWrap w:val="0"/>
                  <w:vAlign w:val="center"/>
                </w:tcPr>
                <w:p w14:paraId="53CFD474">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＞500</w:t>
                  </w:r>
                </w:p>
              </w:tc>
            </w:tr>
            <w:tr w14:paraId="5B5C0C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9" w:type="pct"/>
                  <w:tcBorders>
                    <w:tl2br w:val="nil"/>
                    <w:tr2bl w:val="nil"/>
                  </w:tcBorders>
                  <w:noWrap w:val="0"/>
                  <w:vAlign w:val="center"/>
                </w:tcPr>
                <w:p w14:paraId="238F1BA7">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8</w:t>
                  </w:r>
                </w:p>
              </w:tc>
              <w:tc>
                <w:tcPr>
                  <w:tcW w:w="1221" w:type="pct"/>
                  <w:tcBorders>
                    <w:tl2br w:val="nil"/>
                    <w:tr2bl w:val="nil"/>
                  </w:tcBorders>
                  <w:noWrap w:val="0"/>
                  <w:vAlign w:val="center"/>
                </w:tcPr>
                <w:p w14:paraId="786A3CF1">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吸附阻力</w:t>
                  </w:r>
                </w:p>
              </w:tc>
              <w:tc>
                <w:tcPr>
                  <w:tcW w:w="1280" w:type="pct"/>
                  <w:tcBorders>
                    <w:tl2br w:val="nil"/>
                    <w:tr2bl w:val="nil"/>
                  </w:tcBorders>
                  <w:noWrap w:val="0"/>
                  <w:vAlign w:val="center"/>
                </w:tcPr>
                <w:p w14:paraId="4C3D493B">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Pa</w:t>
                  </w:r>
                </w:p>
              </w:tc>
              <w:tc>
                <w:tcPr>
                  <w:tcW w:w="2158" w:type="pct"/>
                  <w:tcBorders>
                    <w:tl2br w:val="nil"/>
                    <w:tr2bl w:val="nil"/>
                  </w:tcBorders>
                  <w:noWrap w:val="0"/>
                  <w:vAlign w:val="center"/>
                </w:tcPr>
                <w:p w14:paraId="3BC75195">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700</w:t>
                  </w:r>
                </w:p>
              </w:tc>
            </w:tr>
            <w:tr w14:paraId="22D978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9" w:type="pct"/>
                  <w:tcBorders>
                    <w:tl2br w:val="nil"/>
                    <w:tr2bl w:val="nil"/>
                  </w:tcBorders>
                  <w:noWrap w:val="0"/>
                  <w:vAlign w:val="center"/>
                </w:tcPr>
                <w:p w14:paraId="16999F78">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9</w:t>
                  </w:r>
                </w:p>
              </w:tc>
              <w:tc>
                <w:tcPr>
                  <w:tcW w:w="1221" w:type="pct"/>
                  <w:tcBorders>
                    <w:tl2br w:val="nil"/>
                    <w:tr2bl w:val="nil"/>
                  </w:tcBorders>
                  <w:noWrap w:val="0"/>
                  <w:vAlign w:val="center"/>
                </w:tcPr>
                <w:p w14:paraId="33A36316">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结构形式</w:t>
                  </w:r>
                </w:p>
              </w:tc>
              <w:tc>
                <w:tcPr>
                  <w:tcW w:w="1280" w:type="pct"/>
                  <w:tcBorders>
                    <w:tl2br w:val="nil"/>
                    <w:tr2bl w:val="nil"/>
                  </w:tcBorders>
                  <w:noWrap w:val="0"/>
                  <w:vAlign w:val="center"/>
                </w:tcPr>
                <w:p w14:paraId="16038F98">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w:t>
                  </w:r>
                </w:p>
              </w:tc>
              <w:tc>
                <w:tcPr>
                  <w:tcW w:w="2158" w:type="pct"/>
                  <w:tcBorders>
                    <w:tl2br w:val="nil"/>
                    <w:tr2bl w:val="nil"/>
                  </w:tcBorders>
                  <w:noWrap w:val="0"/>
                  <w:vAlign w:val="center"/>
                </w:tcPr>
                <w:p w14:paraId="093DE045">
                  <w:pPr>
                    <w:pageBreakBefore w:val="0"/>
                    <w:widowControl w:val="0"/>
                    <w:kinsoku/>
                    <w:wordWrap/>
                    <w:overflowPunct/>
                    <w:topLinePunct w:val="0"/>
                    <w:bidi w:val="0"/>
                    <w:spacing w:line="240" w:lineRule="auto"/>
                    <w:ind w:left="0" w:leftChars="0" w:right="0" w:rightChars="0" w:firstLine="0" w:firstLineChars="0"/>
                    <w:jc w:val="center"/>
                    <w:rPr>
                      <w:rFonts w:hint="eastAsia" w:ascii="Times New Roman" w:hAnsi="Times New Roman" w:eastAsia="宋体" w:cs="等线 Light"/>
                      <w:color w:val="auto"/>
                      <w:kern w:val="2"/>
                      <w:sz w:val="21"/>
                      <w:szCs w:val="24"/>
                      <w:u w:val="none" w:color="000000"/>
                      <w:lang w:val="en-US" w:eastAsia="zh-CN" w:bidi="ar-SA"/>
                    </w:rPr>
                  </w:pPr>
                  <w:r>
                    <w:rPr>
                      <w:rFonts w:hint="eastAsia" w:ascii="Times New Roman" w:hAnsi="Times New Roman" w:eastAsia="宋体" w:cs="等线 Light"/>
                      <w:color w:val="auto"/>
                      <w:kern w:val="2"/>
                      <w:sz w:val="21"/>
                      <w:szCs w:val="24"/>
                      <w:u w:val="none" w:color="000000"/>
                      <w:lang w:val="en-US" w:eastAsia="zh-CN" w:bidi="ar-SA"/>
                    </w:rPr>
                    <w:t>抽屉式</w:t>
                  </w:r>
                </w:p>
              </w:tc>
            </w:tr>
            <w:tr w14:paraId="5ED7B4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9" w:type="pct"/>
                  <w:tcBorders>
                    <w:tl2br w:val="nil"/>
                    <w:tr2bl w:val="nil"/>
                  </w:tcBorders>
                  <w:noWrap w:val="0"/>
                  <w:vAlign w:val="center"/>
                </w:tcPr>
                <w:p w14:paraId="4F18AA7C">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10</w:t>
                  </w:r>
                </w:p>
              </w:tc>
              <w:tc>
                <w:tcPr>
                  <w:tcW w:w="1221" w:type="pct"/>
                  <w:tcBorders>
                    <w:tl2br w:val="nil"/>
                    <w:tr2bl w:val="nil"/>
                  </w:tcBorders>
                  <w:noWrap w:val="0"/>
                  <w:vAlign w:val="center"/>
                </w:tcPr>
                <w:p w14:paraId="285CDC9E">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活性炭填充量</w:t>
                  </w:r>
                </w:p>
              </w:tc>
              <w:tc>
                <w:tcPr>
                  <w:tcW w:w="1280" w:type="pct"/>
                  <w:tcBorders>
                    <w:tl2br w:val="nil"/>
                    <w:tr2bl w:val="nil"/>
                  </w:tcBorders>
                  <w:noWrap w:val="0"/>
                  <w:vAlign w:val="center"/>
                </w:tcPr>
                <w:p w14:paraId="4E7F5162">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t/次</w:t>
                  </w:r>
                </w:p>
              </w:tc>
              <w:tc>
                <w:tcPr>
                  <w:tcW w:w="2158" w:type="pct"/>
                  <w:tcBorders>
                    <w:tl2br w:val="nil"/>
                    <w:tr2bl w:val="nil"/>
                  </w:tcBorders>
                  <w:noWrap w:val="0"/>
                  <w:vAlign w:val="center"/>
                </w:tcPr>
                <w:p w14:paraId="64A8C087">
                  <w:pPr>
                    <w:pageBreakBefore w:val="0"/>
                    <w:widowControl w:val="0"/>
                    <w:kinsoku/>
                    <w:wordWrap/>
                    <w:overflowPunct/>
                    <w:topLinePunct w:val="0"/>
                    <w:bidi w:val="0"/>
                    <w:spacing w:line="240" w:lineRule="auto"/>
                    <w:ind w:left="0" w:leftChars="0" w:right="0" w:rightChars="0" w:firstLine="0" w:firstLineChars="0"/>
                    <w:jc w:val="center"/>
                    <w:rPr>
                      <w:rFonts w:hint="default" w:ascii="Times New Roman" w:hAnsi="Times New Roman" w:eastAsia="宋体" w:cs="等线 Light"/>
                      <w:color w:val="auto"/>
                      <w:kern w:val="2"/>
                      <w:sz w:val="21"/>
                      <w:szCs w:val="24"/>
                      <w:u w:val="none" w:color="000000"/>
                      <w:lang w:val="en-US" w:eastAsia="zh-CN" w:bidi="ar-SA"/>
                    </w:rPr>
                  </w:pPr>
                  <w:r>
                    <w:rPr>
                      <w:rFonts w:hint="eastAsia" w:cs="等线 Light"/>
                      <w:color w:val="auto"/>
                      <w:kern w:val="2"/>
                      <w:sz w:val="21"/>
                      <w:szCs w:val="24"/>
                      <w:u w:val="none" w:color="000000"/>
                      <w:lang w:val="en-US" w:eastAsia="zh-CN" w:bidi="ar-SA"/>
                    </w:rPr>
                    <w:t>1.264</w:t>
                  </w:r>
                  <w:r>
                    <w:rPr>
                      <w:rFonts w:hint="eastAsia" w:ascii="Times New Roman" w:hAnsi="Times New Roman" w:eastAsia="宋体" w:cs="等线 Light"/>
                      <w:color w:val="auto"/>
                      <w:kern w:val="2"/>
                      <w:sz w:val="21"/>
                      <w:szCs w:val="24"/>
                      <w:u w:val="none" w:color="000000"/>
                      <w:lang w:val="en-US" w:eastAsia="zh-CN" w:bidi="ar-SA"/>
                    </w:rPr>
                    <w:t>×2</w:t>
                  </w:r>
                </w:p>
              </w:tc>
            </w:tr>
            <w:tr w14:paraId="7C84DE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9" w:type="pct"/>
                  <w:tcBorders>
                    <w:tl2br w:val="nil"/>
                    <w:tr2bl w:val="nil"/>
                  </w:tcBorders>
                  <w:noWrap w:val="0"/>
                  <w:vAlign w:val="center"/>
                </w:tcPr>
                <w:p w14:paraId="7EFE2EFF">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11</w:t>
                  </w:r>
                </w:p>
              </w:tc>
              <w:tc>
                <w:tcPr>
                  <w:tcW w:w="1221" w:type="pct"/>
                  <w:tcBorders>
                    <w:tl2br w:val="nil"/>
                    <w:tr2bl w:val="nil"/>
                  </w:tcBorders>
                  <w:noWrap w:val="0"/>
                  <w:vAlign w:val="center"/>
                </w:tcPr>
                <w:p w14:paraId="5D77A7C9">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吸附效率</w:t>
                  </w:r>
                </w:p>
              </w:tc>
              <w:tc>
                <w:tcPr>
                  <w:tcW w:w="1280" w:type="pct"/>
                  <w:tcBorders>
                    <w:tl2br w:val="nil"/>
                    <w:tr2bl w:val="nil"/>
                  </w:tcBorders>
                  <w:noWrap w:val="0"/>
                  <w:vAlign w:val="center"/>
                </w:tcPr>
                <w:p w14:paraId="6DD9350B">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w:t>
                  </w:r>
                </w:p>
              </w:tc>
              <w:tc>
                <w:tcPr>
                  <w:tcW w:w="2158" w:type="pct"/>
                  <w:tcBorders>
                    <w:tl2br w:val="nil"/>
                    <w:tr2bl w:val="nil"/>
                  </w:tcBorders>
                  <w:noWrap w:val="0"/>
                  <w:vAlign w:val="center"/>
                </w:tcPr>
                <w:p w14:paraId="32B95264">
                  <w:pPr>
                    <w:pageBreakBefore w:val="0"/>
                    <w:widowControl w:val="0"/>
                    <w:kinsoku/>
                    <w:wordWrap/>
                    <w:overflowPunct/>
                    <w:topLinePunct w:val="0"/>
                    <w:bidi w:val="0"/>
                    <w:spacing w:line="240" w:lineRule="auto"/>
                    <w:ind w:left="0" w:leftChars="0" w:right="0" w:rightChars="0" w:firstLine="0" w:firstLineChars="0"/>
                    <w:jc w:val="center"/>
                    <w:rPr>
                      <w:rFonts w:hint="eastAsia" w:ascii="Times New Roman" w:hAnsi="Times New Roman" w:eastAsia="宋体" w:cs="等线 Light"/>
                      <w:color w:val="auto"/>
                      <w:kern w:val="2"/>
                      <w:sz w:val="21"/>
                      <w:szCs w:val="24"/>
                      <w:u w:val="none" w:color="000000"/>
                      <w:lang w:val="en-US" w:eastAsia="zh-CN" w:bidi="ar-SA"/>
                    </w:rPr>
                  </w:pPr>
                  <w:r>
                    <w:rPr>
                      <w:rFonts w:hint="eastAsia" w:ascii="Times New Roman" w:hAnsi="Times New Roman" w:eastAsia="宋体" w:cs="等线 Light"/>
                      <w:color w:val="auto"/>
                      <w:kern w:val="2"/>
                      <w:sz w:val="21"/>
                      <w:szCs w:val="24"/>
                      <w:u w:val="none" w:color="000000"/>
                      <w:lang w:val="en-US" w:eastAsia="zh-CN" w:bidi="ar-SA"/>
                    </w:rPr>
                    <w:t>90</w:t>
                  </w:r>
                </w:p>
              </w:tc>
            </w:tr>
            <w:tr w14:paraId="331B3E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9" w:type="pct"/>
                  <w:tcBorders>
                    <w:tl2br w:val="nil"/>
                    <w:tr2bl w:val="nil"/>
                  </w:tcBorders>
                  <w:noWrap w:val="0"/>
                  <w:vAlign w:val="center"/>
                </w:tcPr>
                <w:p w14:paraId="1127D666">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13</w:t>
                  </w:r>
                </w:p>
              </w:tc>
              <w:tc>
                <w:tcPr>
                  <w:tcW w:w="1221" w:type="pct"/>
                  <w:tcBorders>
                    <w:tl2br w:val="nil"/>
                    <w:tr2bl w:val="nil"/>
                  </w:tcBorders>
                  <w:noWrap w:val="0"/>
                  <w:vAlign w:val="center"/>
                </w:tcPr>
                <w:p w14:paraId="3AA47B11">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更换周期</w:t>
                  </w:r>
                </w:p>
              </w:tc>
              <w:tc>
                <w:tcPr>
                  <w:tcW w:w="1280" w:type="pct"/>
                  <w:tcBorders>
                    <w:tl2br w:val="nil"/>
                    <w:tr2bl w:val="nil"/>
                  </w:tcBorders>
                  <w:noWrap w:val="0"/>
                  <w:vAlign w:val="center"/>
                </w:tcPr>
                <w:p w14:paraId="7E70105B">
                  <w:pPr>
                    <w:pageBreakBefore w:val="0"/>
                    <w:widowControl w:val="0"/>
                    <w:kinsoku/>
                    <w:wordWrap/>
                    <w:overflowPunct/>
                    <w:topLinePunct w:val="0"/>
                    <w:bidi w:val="0"/>
                    <w:spacing w:line="240" w:lineRule="auto"/>
                    <w:ind w:left="0" w:leftChars="0" w:right="0" w:rightChars="0" w:firstLine="0" w:firstLineChars="0"/>
                    <w:jc w:val="center"/>
                    <w:rPr>
                      <w:rFonts w:ascii="Times New Roman" w:hAnsi="Times New Roman" w:eastAsia="宋体" w:cs="等线 Light"/>
                      <w:color w:val="auto"/>
                      <w:kern w:val="2"/>
                      <w:sz w:val="21"/>
                      <w:szCs w:val="24"/>
                      <w:u w:val="none" w:color="000000"/>
                      <w:lang w:val="en-US" w:eastAsia="zh-CN" w:bidi="ar-SA"/>
                    </w:rPr>
                  </w:pPr>
                  <w:r>
                    <w:rPr>
                      <w:rFonts w:ascii="Times New Roman" w:hAnsi="Times New Roman" w:eastAsia="宋体" w:cs="等线 Light"/>
                      <w:color w:val="auto"/>
                      <w:kern w:val="2"/>
                      <w:sz w:val="21"/>
                      <w:szCs w:val="24"/>
                      <w:u w:val="none" w:color="000000"/>
                      <w:lang w:val="en-US" w:eastAsia="zh-CN" w:bidi="ar-SA"/>
                    </w:rPr>
                    <w:t>-</w:t>
                  </w:r>
                </w:p>
              </w:tc>
              <w:tc>
                <w:tcPr>
                  <w:tcW w:w="2158" w:type="pct"/>
                  <w:tcBorders>
                    <w:tl2br w:val="nil"/>
                    <w:tr2bl w:val="nil"/>
                  </w:tcBorders>
                  <w:noWrap w:val="0"/>
                  <w:vAlign w:val="center"/>
                </w:tcPr>
                <w:p w14:paraId="7E2610A3">
                  <w:pPr>
                    <w:pageBreakBefore w:val="0"/>
                    <w:widowControl w:val="0"/>
                    <w:kinsoku/>
                    <w:wordWrap/>
                    <w:overflowPunct/>
                    <w:topLinePunct w:val="0"/>
                    <w:bidi w:val="0"/>
                    <w:spacing w:line="240" w:lineRule="auto"/>
                    <w:ind w:left="0" w:leftChars="0" w:right="0" w:rightChars="0" w:firstLine="0" w:firstLineChars="0"/>
                    <w:jc w:val="center"/>
                    <w:rPr>
                      <w:rFonts w:hint="eastAsia" w:ascii="Times New Roman" w:hAnsi="Times New Roman" w:eastAsia="宋体" w:cs="等线 Light"/>
                      <w:color w:val="auto"/>
                      <w:kern w:val="2"/>
                      <w:sz w:val="21"/>
                      <w:szCs w:val="24"/>
                      <w:highlight w:val="yellow"/>
                      <w:u w:val="none" w:color="000000"/>
                      <w:lang w:val="en-US" w:eastAsia="zh-CN" w:bidi="ar-SA"/>
                    </w:rPr>
                  </w:pPr>
                  <w:r>
                    <w:rPr>
                      <w:rFonts w:hint="eastAsia" w:cs="等线 Light"/>
                      <w:color w:val="auto"/>
                      <w:kern w:val="2"/>
                      <w:sz w:val="21"/>
                      <w:szCs w:val="24"/>
                      <w:u w:val="none" w:color="000000"/>
                      <w:lang w:val="en-US" w:eastAsia="zh-CN" w:bidi="ar-SA"/>
                    </w:rPr>
                    <w:t>1年</w:t>
                  </w:r>
                  <w:r>
                    <w:rPr>
                      <w:rFonts w:hint="eastAsia" w:ascii="Times New Roman" w:hAnsi="Times New Roman" w:eastAsia="宋体" w:cs="等线 Light"/>
                      <w:color w:val="auto"/>
                      <w:kern w:val="2"/>
                      <w:sz w:val="21"/>
                      <w:szCs w:val="24"/>
                      <w:u w:val="none" w:color="000000"/>
                      <w:lang w:val="en-US" w:eastAsia="zh-CN" w:bidi="ar-SA"/>
                    </w:rPr>
                    <w:t>/次</w:t>
                  </w:r>
                </w:p>
              </w:tc>
            </w:tr>
          </w:tbl>
          <w:p w14:paraId="7D98A5F3">
            <w:pPr>
              <w:pageBreakBefore w:val="0"/>
              <w:kinsoku/>
              <w:wordWrap/>
              <w:overflowPunct/>
              <w:topLinePunct w:val="0"/>
              <w:bidi w:val="0"/>
              <w:ind w:left="0" w:leftChars="0" w:right="0" w:rightChars="0" w:firstLine="480" w:firstLineChars="200"/>
              <w:rPr>
                <w:rFonts w:hint="eastAsia" w:ascii="Times New Roman" w:hAnsi="Times New Roman" w:eastAsia="宋体" w:cs="Times New Roman"/>
                <w:snapToGrid w:val="0"/>
                <w:color w:val="auto"/>
                <w:kern w:val="0"/>
                <w:szCs w:val="21"/>
                <w:u w:val="none" w:color="000000"/>
                <w:lang w:val="en-US" w:eastAsia="zh-CN"/>
              </w:rPr>
            </w:pPr>
            <w:r>
              <w:rPr>
                <w:rFonts w:hint="eastAsia" w:ascii="Times New Roman" w:hAnsi="Times New Roman" w:eastAsia="宋体" w:cs="Times New Roman"/>
                <w:snapToGrid w:val="0"/>
                <w:color w:val="auto"/>
                <w:kern w:val="0"/>
                <w:szCs w:val="21"/>
                <w:u w:val="none" w:color="000000"/>
                <w:lang w:val="en-US" w:eastAsia="zh-CN"/>
              </w:rPr>
              <w:t>④进入吸附装置的颗粒物含量低于1mg/m</w:t>
            </w:r>
            <w:r>
              <w:rPr>
                <w:rFonts w:hint="eastAsia" w:ascii="Times New Roman" w:hAnsi="Times New Roman" w:eastAsia="宋体" w:cs="Times New Roman"/>
                <w:snapToGrid w:val="0"/>
                <w:color w:val="auto"/>
                <w:kern w:val="0"/>
                <w:szCs w:val="21"/>
                <w:u w:val="none" w:color="000000"/>
                <w:vertAlign w:val="superscript"/>
                <w:lang w:val="en-US" w:eastAsia="zh-CN"/>
              </w:rPr>
              <w:t>3</w:t>
            </w:r>
            <w:r>
              <w:rPr>
                <w:rFonts w:hint="eastAsia" w:ascii="Times New Roman" w:hAnsi="Times New Roman" w:eastAsia="宋体" w:cs="Times New Roman"/>
                <w:snapToGrid w:val="0"/>
                <w:color w:val="auto"/>
                <w:kern w:val="0"/>
                <w:szCs w:val="21"/>
                <w:u w:val="none" w:color="000000"/>
                <w:lang w:val="en-US" w:eastAsia="zh-CN"/>
              </w:rPr>
              <w:t>。</w:t>
            </w:r>
          </w:p>
          <w:p w14:paraId="76FF52FB">
            <w:pPr>
              <w:pageBreakBefore w:val="0"/>
              <w:kinsoku/>
              <w:wordWrap/>
              <w:overflowPunct/>
              <w:topLinePunct w:val="0"/>
              <w:bidi w:val="0"/>
              <w:ind w:left="0" w:leftChars="0" w:right="0" w:rightChars="0" w:firstLine="480" w:firstLineChars="200"/>
              <w:rPr>
                <w:rFonts w:hint="default" w:ascii="Times New Roman" w:hAnsi="Times New Roman" w:eastAsia="宋体" w:cs="Times New Roman"/>
                <w:snapToGrid w:val="0"/>
                <w:color w:val="auto"/>
                <w:kern w:val="0"/>
                <w:szCs w:val="21"/>
                <w:u w:val="none" w:color="000000"/>
                <w:lang w:val="en-US" w:eastAsia="zh-CN"/>
              </w:rPr>
            </w:pPr>
            <w:r>
              <w:rPr>
                <w:rFonts w:hint="eastAsia" w:ascii="Times New Roman" w:hAnsi="Times New Roman" w:eastAsia="宋体" w:cs="Times New Roman"/>
                <w:snapToGrid w:val="0"/>
                <w:color w:val="auto"/>
                <w:kern w:val="0"/>
                <w:szCs w:val="21"/>
                <w:u w:val="none" w:color="000000"/>
                <w:lang w:val="en-US" w:eastAsia="zh-CN"/>
              </w:rPr>
              <w:t>⑤进入吸附装置的废气温度低于40℃。</w:t>
            </w:r>
          </w:p>
          <w:p w14:paraId="2B9D76D7">
            <w:pPr>
              <w:pStyle w:val="28"/>
              <w:spacing w:after="0"/>
              <w:ind w:left="0" w:leftChars="0" w:firstLine="480"/>
              <w:rPr>
                <w:rFonts w:hint="eastAsia" w:ascii="Times New Roman" w:hAnsi="Times New Roman" w:eastAsia="宋体"/>
                <w:b w:val="0"/>
                <w:bCs/>
                <w:color w:val="auto"/>
                <w:sz w:val="24"/>
                <w:szCs w:val="24"/>
                <w:highlight w:val="none"/>
                <w:lang w:val="en-US" w:eastAsia="zh-CN"/>
              </w:rPr>
            </w:pPr>
            <w:r>
              <w:rPr>
                <w:rFonts w:ascii="Times New Roman" w:hAnsi="Times New Roman" w:eastAsia="宋体"/>
                <w:color w:val="auto"/>
              </w:rPr>
              <w:t>综上所述，本项目产生的废气经过收集处理达标后排放，污染物排放量较小，对周围环境空气影响在可接受范围内</w:t>
            </w:r>
            <w:r>
              <w:rPr>
                <w:rFonts w:hint="eastAsia" w:ascii="Times New Roman" w:hAnsi="Times New Roman" w:eastAsia="宋体"/>
                <w:color w:val="auto"/>
              </w:rPr>
              <w:t>。</w:t>
            </w:r>
          </w:p>
          <w:p w14:paraId="3998165C">
            <w:pPr>
              <w:pStyle w:val="28"/>
              <w:spacing w:after="0"/>
              <w:ind w:left="0" w:leftChars="0" w:firstLine="480"/>
              <w:rPr>
                <w:color w:val="auto"/>
              </w:rPr>
            </w:pPr>
            <w:r>
              <w:rPr>
                <w:color w:val="auto"/>
              </w:rPr>
              <w:t>综上所述，本项目产生的废气经过收集处理达标后排放，污染物排放量较小，对周围环境空气影响在可接受范围内</w:t>
            </w:r>
            <w:r>
              <w:rPr>
                <w:rFonts w:hint="eastAsia"/>
                <w:color w:val="auto"/>
              </w:rPr>
              <w:t>。</w:t>
            </w:r>
          </w:p>
          <w:p w14:paraId="2F75FA99">
            <w:pPr>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2、水污染物环境影响和保护措施</w:t>
            </w:r>
          </w:p>
          <w:p w14:paraId="6E36831E">
            <w:pPr>
              <w:pStyle w:val="62"/>
              <w:ind w:firstLineChars="200"/>
              <w:jc w:val="both"/>
              <w:rPr>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（1）废水产排放分析</w:t>
            </w:r>
          </w:p>
          <w:p w14:paraId="47D0FBAF">
            <w:pPr>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本项目外排废水为生活污水和</w:t>
            </w:r>
            <w:r>
              <w:rPr>
                <w:rFonts w:hint="default" w:ascii="Times New Roman" w:hAnsi="Times New Roman" w:eastAsia="宋体"/>
                <w:color w:val="000000" w:themeColor="text1"/>
                <w:highlight w:val="none"/>
                <w:lang w:val="en-US" w:eastAsia="zh-CN"/>
                <w14:textFill>
                  <w14:solidFill>
                    <w14:schemeClr w14:val="tx1"/>
                  </w14:solidFill>
                </w14:textFill>
              </w:rPr>
              <w:t>循环冷却水排水</w:t>
            </w:r>
            <w:r>
              <w:rPr>
                <w:rFonts w:hint="eastAsia" w:ascii="Times New Roman" w:hAnsi="Times New Roman" w:eastAsia="宋体"/>
                <w:color w:val="000000" w:themeColor="text1"/>
                <w:highlight w:val="none"/>
                <w:lang w:val="en-US" w:eastAsia="zh-CN"/>
                <w14:textFill>
                  <w14:solidFill>
                    <w14:schemeClr w14:val="tx1"/>
                  </w14:solidFill>
                </w14:textFill>
              </w:rPr>
              <w:t>。项目废水污染物产生和排放情况</w:t>
            </w:r>
            <w:r>
              <w:rPr>
                <w:rFonts w:hint="eastAsia"/>
                <w:color w:val="000000" w:themeColor="text1"/>
                <w:highlight w:val="none"/>
                <w:lang w:val="en-US" w:eastAsia="zh-CN"/>
                <w14:textFill>
                  <w14:solidFill>
                    <w14:schemeClr w14:val="tx1"/>
                  </w14:solidFill>
                </w14:textFill>
              </w:rPr>
              <w:t>分析如下：</w:t>
            </w:r>
          </w:p>
          <w:p w14:paraId="118507F5">
            <w:pPr>
              <w:keepNext w:val="0"/>
              <w:keepLines w:val="0"/>
              <w:pageBreakBefore w:val="0"/>
              <w:widowControl w:val="0"/>
              <w:shd w:val="clear"/>
              <w:kinsoku/>
              <w:wordWrap/>
              <w:overflowPunct/>
              <w:topLinePunct w:val="0"/>
              <w:autoSpaceDE/>
              <w:autoSpaceDN/>
              <w:bidi w:val="0"/>
              <w:adjustRightInd/>
              <w:snapToGrid/>
              <w:ind w:firstLine="482" w:firstLineChars="200"/>
              <w:textAlignment w:val="auto"/>
              <w:rPr>
                <w:rFonts w:hint="eastAsia" w:ascii="Times New Roman" w:hAnsi="Times New Roman" w:eastAsia="宋体"/>
                <w:b/>
                <w:bCs/>
                <w:color w:val="000000" w:themeColor="text1"/>
                <w:highlight w:val="none"/>
                <w:lang w:val="en-US" w:eastAsia="zh-CN"/>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①生活污水</w:t>
            </w:r>
          </w:p>
          <w:p w14:paraId="547811B7">
            <w:pPr>
              <w:keepNext w:val="0"/>
              <w:keepLines w:val="0"/>
              <w:pageBreakBefore w:val="0"/>
              <w:widowControl w:val="0"/>
              <w:shd w:val="clear"/>
              <w:kinsoku/>
              <w:wordWrap/>
              <w:overflowPunct/>
              <w:topLinePunct w:val="0"/>
              <w:autoSpaceDE/>
              <w:autoSpaceDN/>
              <w:bidi w:val="0"/>
              <w:adjustRightInd w:val="0"/>
              <w:snapToGrid/>
              <w:ind w:firstLine="480" w:firstLineChars="200"/>
              <w:textAlignment w:val="auto"/>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厂区</w:t>
            </w:r>
            <w:r>
              <w:rPr>
                <w:rFonts w:hint="eastAsia" w:ascii="Times New Roman" w:hAnsi="Times New Roman" w:eastAsia="宋体"/>
                <w:color w:val="000000" w:themeColor="text1"/>
                <w:highlight w:val="none"/>
                <w:lang w:val="en-US" w:eastAsia="zh-CN"/>
                <w14:textFill>
                  <w14:solidFill>
                    <w14:schemeClr w14:val="tx1"/>
                  </w14:solidFill>
                </w14:textFill>
              </w:rPr>
              <w:t>劳动定员</w:t>
            </w:r>
            <w:r>
              <w:rPr>
                <w:rFonts w:hint="eastAsia"/>
                <w:color w:val="000000" w:themeColor="text1"/>
                <w:highlight w:val="none"/>
                <w:lang w:val="en-US" w:eastAsia="zh-CN"/>
                <w14:textFill>
                  <w14:solidFill>
                    <w14:schemeClr w14:val="tx1"/>
                  </w14:solidFill>
                </w14:textFill>
              </w:rPr>
              <w:t>21</w:t>
            </w:r>
            <w:r>
              <w:rPr>
                <w:rFonts w:hint="eastAsia" w:ascii="Times New Roman" w:hAnsi="Times New Roman" w:eastAsia="宋体"/>
                <w:color w:val="000000" w:themeColor="text1"/>
                <w:highlight w:val="none"/>
                <w:lang w:val="en-US" w:eastAsia="zh-CN"/>
                <w14:textFill>
                  <w14:solidFill>
                    <w14:schemeClr w14:val="tx1"/>
                  </w14:solidFill>
                </w14:textFill>
              </w:rPr>
              <w:t>人，年工作日300天，厂区不提供食宿。参照《建筑给水排水设计标准》（GB 50015-2019），非住宿人员按50L/（人·d</w:t>
            </w:r>
            <w:r>
              <w:rPr>
                <w:rFonts w:hint="eastAsia"/>
                <w:color w:val="000000" w:themeColor="text1"/>
                <w:highlight w:val="none"/>
                <w:lang w:val="en-US"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）计，则生活用水量为</w:t>
            </w:r>
            <w:r>
              <w:rPr>
                <w:rFonts w:hint="eastAsia"/>
                <w:color w:val="000000" w:themeColor="text1"/>
                <w:highlight w:val="none"/>
                <w:lang w:val="en-US" w:eastAsia="zh-CN"/>
                <w14:textFill>
                  <w14:solidFill>
                    <w14:schemeClr w14:val="tx1"/>
                  </w14:solidFill>
                </w14:textFill>
              </w:rPr>
              <w:t>315</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1.05</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/d）；废水排放系数按0.8计算，则生活污水产生量为</w:t>
            </w:r>
            <w:r>
              <w:rPr>
                <w:rFonts w:hint="eastAsia"/>
                <w:color w:val="000000" w:themeColor="text1"/>
                <w:highlight w:val="none"/>
                <w:lang w:val="en-US" w:eastAsia="zh-CN"/>
                <w14:textFill>
                  <w14:solidFill>
                    <w14:schemeClr w14:val="tx1"/>
                  </w14:solidFill>
                </w14:textFill>
              </w:rPr>
              <w:t>252</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/a（0.</w:t>
            </w:r>
            <w:r>
              <w:rPr>
                <w:rFonts w:hint="eastAsia"/>
                <w:color w:val="000000" w:themeColor="text1"/>
                <w:highlight w:val="none"/>
                <w:lang w:val="en-US" w:eastAsia="zh-CN"/>
                <w14:textFill>
                  <w14:solidFill>
                    <w14:schemeClr w14:val="tx1"/>
                  </w14:solidFill>
                </w14:textFill>
              </w:rPr>
              <w:t>84</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。依托租赁厂房化粪池收集后纳管</w:t>
            </w:r>
            <w:r>
              <w:rPr>
                <w:rFonts w:hint="eastAsia" w:ascii="Times New Roman" w:hAnsi="Times New Roman" w:eastAsia="宋体"/>
                <w:color w:val="000000" w:themeColor="text1"/>
                <w:highlight w:val="none"/>
                <w:lang w:val="en-US" w:eastAsia="zh-CN"/>
                <w14:textFill>
                  <w14:solidFill>
                    <w14:schemeClr w14:val="tx1"/>
                  </w14:solidFill>
                </w14:textFill>
              </w:rPr>
              <w:t>接入市政污水管网</w:t>
            </w:r>
            <w:r>
              <w:rPr>
                <w:rFonts w:hint="eastAsia"/>
                <w:color w:val="000000" w:themeColor="text1"/>
                <w:highlight w:val="none"/>
                <w:lang w:val="en-US" w:eastAsia="zh-CN"/>
                <w14:textFill>
                  <w14:solidFill>
                    <w14:schemeClr w14:val="tx1"/>
                  </w14:solidFill>
                </w14:textFill>
              </w:rPr>
              <w:t>进入淮南市潘集污水处理厂</w:t>
            </w:r>
            <w:r>
              <w:rPr>
                <w:rFonts w:hint="eastAsia" w:ascii="Times New Roman" w:hAnsi="Times New Roman" w:eastAsia="宋体"/>
                <w:color w:val="000000" w:themeColor="text1"/>
                <w:highlight w:val="none"/>
                <w:lang w:val="en-US" w:eastAsia="zh-CN"/>
                <w14:textFill>
                  <w14:solidFill>
                    <w14:schemeClr w14:val="tx1"/>
                  </w14:solidFill>
                </w14:textFill>
              </w:rPr>
              <w:t>进行深度处理。</w:t>
            </w:r>
          </w:p>
          <w:p w14:paraId="21C6500B">
            <w:pPr>
              <w:keepNext w:val="0"/>
              <w:keepLines w:val="0"/>
              <w:pageBreakBefore w:val="0"/>
              <w:widowControl w:val="0"/>
              <w:shd w:val="clear"/>
              <w:kinsoku/>
              <w:wordWrap/>
              <w:overflowPunct/>
              <w:topLinePunct w:val="0"/>
              <w:autoSpaceDE/>
              <w:autoSpaceDN/>
              <w:bidi w:val="0"/>
              <w:adjustRightInd/>
              <w:snapToGrid/>
              <w:ind w:firstLine="482" w:firstLineChars="200"/>
              <w:textAlignment w:val="auto"/>
              <w:rPr>
                <w:rFonts w:hint="eastAsia" w:ascii="Times New Roman" w:hAnsi="Times New Roman" w:eastAsia="宋体"/>
                <w:b/>
                <w:bCs/>
                <w:color w:val="000000" w:themeColor="text1"/>
                <w:highlight w:val="none"/>
                <w:lang w:val="en-US" w:eastAsia="zh-CN"/>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②</w:t>
            </w:r>
            <w:r>
              <w:rPr>
                <w:rFonts w:hint="default" w:ascii="Times New Roman" w:hAnsi="Times New Roman" w:eastAsia="宋体"/>
                <w:b/>
                <w:bCs/>
                <w:color w:val="000000" w:themeColor="text1"/>
                <w:highlight w:val="none"/>
                <w:lang w:val="en-US" w:eastAsia="zh-CN"/>
                <w14:textFill>
                  <w14:solidFill>
                    <w14:schemeClr w14:val="tx1"/>
                  </w14:solidFill>
                </w14:textFill>
              </w:rPr>
              <w:t>循环冷却水排水</w:t>
            </w:r>
          </w:p>
          <w:p w14:paraId="53616C3E">
            <w:pPr>
              <w:keepNext w:val="0"/>
              <w:keepLines w:val="0"/>
              <w:pageBreakBefore w:val="0"/>
              <w:widowControl w:val="0"/>
              <w:shd w:val="clear"/>
              <w:kinsoku/>
              <w:wordWrap/>
              <w:overflowPunct/>
              <w:topLinePunct w:val="0"/>
              <w:autoSpaceDE/>
              <w:autoSpaceDN/>
              <w:bidi w:val="0"/>
              <w:adjustRightInd w:val="0"/>
              <w:snapToGrid/>
              <w:ind w:firstLine="480" w:firstLineChars="200"/>
              <w:textAlignment w:val="auto"/>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本项目生产过程中需要对注塑机挤出模头进行降温处理，</w:t>
            </w:r>
            <w:r>
              <w:rPr>
                <w:rFonts w:hint="eastAsia"/>
                <w:color w:val="000000" w:themeColor="text1"/>
                <w:highlight w:val="none"/>
                <w:lang w:val="en-US" w:eastAsia="zh-CN"/>
                <w14:textFill>
                  <w14:solidFill>
                    <w14:schemeClr w14:val="tx1"/>
                  </w14:solidFill>
                </w14:textFill>
              </w:rPr>
              <w:t>厂区设置一台</w:t>
            </w:r>
            <w:r>
              <w:rPr>
                <w:rFonts w:hint="eastAsia" w:ascii="Times New Roman" w:hAnsi="Times New Roman" w:eastAsia="宋体"/>
                <w:color w:val="000000" w:themeColor="text1"/>
                <w:highlight w:val="none"/>
                <w:lang w:val="en-US" w:eastAsia="zh-CN"/>
                <w14:textFill>
                  <w14:solidFill>
                    <w14:schemeClr w14:val="tx1"/>
                  </w14:solidFill>
                </w14:textFill>
              </w:rPr>
              <w:t>循环冷却塔</w:t>
            </w:r>
            <w:r>
              <w:rPr>
                <w:rFonts w:hint="eastAsia"/>
                <w:color w:val="000000" w:themeColor="text1"/>
                <w:highlight w:val="none"/>
                <w:lang w:val="en-US" w:eastAsia="zh-CN"/>
                <w14:textFill>
                  <w14:solidFill>
                    <w14:schemeClr w14:val="tx1"/>
                  </w14:solidFill>
                </w14:textFill>
              </w:rPr>
              <w:t>，循环水量为10</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/h</w:t>
            </w:r>
            <w:r>
              <w:rPr>
                <w:rFonts w:hint="eastAsia"/>
                <w:color w:val="000000" w:themeColor="text1"/>
                <w:highlight w:val="none"/>
                <w:lang w:val="en-US" w:eastAsia="zh-CN"/>
                <w14:textFill>
                  <w14:solidFill>
                    <w14:schemeClr w14:val="tx1"/>
                  </w14:solidFill>
                </w14:textFill>
              </w:rPr>
              <w:t>（240</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d），损耗量按照循环量的1.5%计约1080</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（3.6</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d），补水量按照循环量的2%计约1440</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（4.8</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d），排放量按循环量的0.5%计约360</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（1.2</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d），纳管</w:t>
            </w:r>
            <w:r>
              <w:rPr>
                <w:rFonts w:hint="eastAsia" w:ascii="Times New Roman" w:hAnsi="Times New Roman" w:eastAsia="宋体"/>
                <w:color w:val="000000" w:themeColor="text1"/>
                <w:highlight w:val="none"/>
                <w:lang w:val="en-US" w:eastAsia="zh-CN"/>
                <w14:textFill>
                  <w14:solidFill>
                    <w14:schemeClr w14:val="tx1"/>
                  </w14:solidFill>
                </w14:textFill>
              </w:rPr>
              <w:t>接入市政污水管网</w:t>
            </w:r>
            <w:r>
              <w:rPr>
                <w:rFonts w:hint="eastAsia"/>
                <w:color w:val="000000" w:themeColor="text1"/>
                <w:highlight w:val="none"/>
                <w:lang w:val="en-US" w:eastAsia="zh-CN"/>
                <w14:textFill>
                  <w14:solidFill>
                    <w14:schemeClr w14:val="tx1"/>
                  </w14:solidFill>
                </w14:textFill>
              </w:rPr>
              <w:t>进入淮南市潘集污水处理厂</w:t>
            </w:r>
            <w:r>
              <w:rPr>
                <w:rFonts w:hint="eastAsia" w:ascii="Times New Roman" w:hAnsi="Times New Roman" w:eastAsia="宋体"/>
                <w:color w:val="000000" w:themeColor="text1"/>
                <w:highlight w:val="none"/>
                <w:lang w:val="en-US" w:eastAsia="zh-CN"/>
                <w14:textFill>
                  <w14:solidFill>
                    <w14:schemeClr w14:val="tx1"/>
                  </w14:solidFill>
                </w14:textFill>
              </w:rPr>
              <w:t>进行深度处理。</w:t>
            </w:r>
          </w:p>
          <w:p w14:paraId="72F93FF3">
            <w:pPr>
              <w:pStyle w:val="50"/>
              <w:shd w:val="clea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项目废水产排放情况如下：</w:t>
            </w:r>
          </w:p>
          <w:p w14:paraId="1D68BB54">
            <w:pPr>
              <w:pStyle w:val="57"/>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 xml:space="preserve">4-7 </w:t>
            </w:r>
            <w:r>
              <w:rPr>
                <w:rFonts w:hint="eastAsia" w:eastAsia="宋体"/>
                <w:color w:val="000000" w:themeColor="text1"/>
                <w:highlight w:val="none"/>
                <w:lang w:val="en-US" w:eastAsia="zh-CN"/>
                <w14:textFill>
                  <w14:solidFill>
                    <w14:schemeClr w14:val="tx1"/>
                  </w14:solidFill>
                </w14:textFill>
              </w:rPr>
              <w:t xml:space="preserve"> </w:t>
            </w:r>
            <w:r>
              <w:rPr>
                <w:rFonts w:hint="eastAsia" w:ascii="Times New Roman" w:hAnsi="Times New Roman" w:eastAsia="宋体"/>
                <w:color w:val="000000" w:themeColor="text1"/>
                <w:highlight w:val="none"/>
                <w:lang w:val="en-US" w:eastAsia="zh-CN"/>
                <w14:textFill>
                  <w14:solidFill>
                    <w14:schemeClr w14:val="tx1"/>
                  </w14:solidFill>
                </w14:textFill>
              </w:rPr>
              <w:t>项目废水主要污染物产生及排放情况</w:t>
            </w:r>
          </w:p>
          <w:tbl>
            <w:tblPr>
              <w:tblStyle w:val="29"/>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889"/>
              <w:gridCol w:w="1034"/>
              <w:gridCol w:w="872"/>
              <w:gridCol w:w="852"/>
              <w:gridCol w:w="1115"/>
              <w:gridCol w:w="899"/>
              <w:gridCol w:w="1407"/>
            </w:tblGrid>
            <w:tr w14:paraId="23127C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vMerge w:val="restart"/>
                  <w:noWrap w:val="0"/>
                  <w:vAlign w:val="center"/>
                </w:tcPr>
                <w:p w14:paraId="76D05FC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废水量（m</w:t>
                  </w:r>
                  <w:r>
                    <w:rPr>
                      <w:rFonts w:hint="default" w:ascii="Times New Roman" w:hAnsi="Times New Roman" w:eastAsia="宋体" w:cs="Times New Roman"/>
                      <w:b/>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color w:val="000000" w:themeColor="text1"/>
                      <w:sz w:val="21"/>
                      <w:szCs w:val="21"/>
                      <w14:textFill>
                        <w14:solidFill>
                          <w14:schemeClr w14:val="tx1"/>
                        </w14:solidFill>
                      </w14:textFill>
                    </w:rPr>
                    <w:t>/a）</w:t>
                  </w:r>
                </w:p>
              </w:tc>
              <w:tc>
                <w:tcPr>
                  <w:tcW w:w="547" w:type="pct"/>
                  <w:vMerge w:val="restart"/>
                  <w:noWrap w:val="0"/>
                  <w:vAlign w:val="center"/>
                </w:tcPr>
                <w:p w14:paraId="72656847">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污染物</w:t>
                  </w:r>
                </w:p>
                <w:p w14:paraId="51B37E29">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名称</w:t>
                  </w:r>
                </w:p>
              </w:tc>
              <w:tc>
                <w:tcPr>
                  <w:tcW w:w="1174" w:type="pct"/>
                  <w:gridSpan w:val="2"/>
                  <w:noWrap w:val="0"/>
                  <w:vAlign w:val="center"/>
                </w:tcPr>
                <w:p w14:paraId="6B00C56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污染物产生情况</w:t>
                  </w:r>
                </w:p>
              </w:tc>
              <w:tc>
                <w:tcPr>
                  <w:tcW w:w="525" w:type="pct"/>
                  <w:vMerge w:val="restart"/>
                  <w:noWrap w:val="0"/>
                  <w:vAlign w:val="center"/>
                </w:tcPr>
                <w:p w14:paraId="75C2C463">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治理</w:t>
                  </w:r>
                </w:p>
                <w:p w14:paraId="6EAEC03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措施</w:t>
                  </w:r>
                </w:p>
              </w:tc>
              <w:tc>
                <w:tcPr>
                  <w:tcW w:w="1241" w:type="pct"/>
                  <w:gridSpan w:val="2"/>
                  <w:noWrap w:val="0"/>
                  <w:vAlign w:val="center"/>
                </w:tcPr>
                <w:p w14:paraId="4218951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污染物排放情况</w:t>
                  </w:r>
                </w:p>
              </w:tc>
              <w:tc>
                <w:tcPr>
                  <w:tcW w:w="867" w:type="pct"/>
                  <w:noWrap w:val="0"/>
                  <w:vAlign w:val="center"/>
                </w:tcPr>
                <w:p w14:paraId="19B3D812">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cs="Times New Roman"/>
                      <w:b/>
                      <w:color w:val="000000" w:themeColor="text1"/>
                      <w:sz w:val="21"/>
                      <w:szCs w:val="21"/>
                      <w:lang w:val="en-US" w:eastAsia="zh-CN"/>
                      <w14:textFill>
                        <w14:solidFill>
                          <w14:schemeClr w14:val="tx1"/>
                        </w14:solidFill>
                      </w14:textFill>
                    </w:rPr>
                    <w:t>纳管限值</w:t>
                  </w:r>
                </w:p>
              </w:tc>
            </w:tr>
            <w:tr w14:paraId="26271E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vMerge w:val="continue"/>
                  <w:noWrap w:val="0"/>
                  <w:vAlign w:val="center"/>
                </w:tcPr>
                <w:p w14:paraId="2BDF1153">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tc>
              <w:tc>
                <w:tcPr>
                  <w:tcW w:w="547" w:type="pct"/>
                  <w:vMerge w:val="continue"/>
                  <w:noWrap w:val="0"/>
                  <w:vAlign w:val="center"/>
                </w:tcPr>
                <w:p w14:paraId="68E50CE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tc>
              <w:tc>
                <w:tcPr>
                  <w:tcW w:w="637" w:type="pct"/>
                  <w:noWrap w:val="0"/>
                  <w:vAlign w:val="center"/>
                </w:tcPr>
                <w:p w14:paraId="28CE68D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产生浓度（mg/L）</w:t>
                  </w:r>
                </w:p>
              </w:tc>
              <w:tc>
                <w:tcPr>
                  <w:tcW w:w="537" w:type="pct"/>
                  <w:noWrap w:val="0"/>
                  <w:vAlign w:val="center"/>
                </w:tcPr>
                <w:p w14:paraId="35F0BBC2">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产生量</w:t>
                  </w:r>
                </w:p>
                <w:p w14:paraId="6BD1245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（t/a）</w:t>
                  </w:r>
                </w:p>
              </w:tc>
              <w:tc>
                <w:tcPr>
                  <w:tcW w:w="525" w:type="pct"/>
                  <w:vMerge w:val="continue"/>
                  <w:noWrap w:val="0"/>
                  <w:vAlign w:val="center"/>
                </w:tcPr>
                <w:p w14:paraId="2B2EA58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tc>
              <w:tc>
                <w:tcPr>
                  <w:tcW w:w="687" w:type="pct"/>
                  <w:noWrap w:val="0"/>
                  <w:vAlign w:val="center"/>
                </w:tcPr>
                <w:p w14:paraId="3C58381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排放浓度（mg/L）</w:t>
                  </w:r>
                </w:p>
              </w:tc>
              <w:tc>
                <w:tcPr>
                  <w:tcW w:w="554" w:type="pct"/>
                  <w:noWrap w:val="0"/>
                  <w:vAlign w:val="center"/>
                </w:tcPr>
                <w:p w14:paraId="718419D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排放量（t/a）</w:t>
                  </w:r>
                </w:p>
              </w:tc>
              <w:tc>
                <w:tcPr>
                  <w:tcW w:w="867" w:type="pct"/>
                  <w:noWrap w:val="0"/>
                  <w:vAlign w:val="center"/>
                </w:tcPr>
                <w:p w14:paraId="3CF39809">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浓度（mg/L）</w:t>
                  </w:r>
                </w:p>
              </w:tc>
            </w:tr>
            <w:tr w14:paraId="292F0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vMerge w:val="restart"/>
                  <w:noWrap w:val="0"/>
                  <w:vAlign w:val="center"/>
                </w:tcPr>
                <w:p w14:paraId="2BD3C9E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生活污水</w:t>
                  </w:r>
                </w:p>
                <w:p w14:paraId="5C85F95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252</w:t>
                  </w:r>
                </w:p>
              </w:tc>
              <w:tc>
                <w:tcPr>
                  <w:tcW w:w="547" w:type="pct"/>
                  <w:noWrap w:val="0"/>
                  <w:vAlign w:val="center"/>
                </w:tcPr>
                <w:p w14:paraId="6E7A5F2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pH</w:t>
                  </w:r>
                </w:p>
              </w:tc>
              <w:tc>
                <w:tcPr>
                  <w:tcW w:w="637" w:type="pct"/>
                  <w:noWrap w:val="0"/>
                  <w:vAlign w:val="center"/>
                </w:tcPr>
                <w:p w14:paraId="1C1C7DC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6-9</w:t>
                  </w:r>
                </w:p>
              </w:tc>
              <w:tc>
                <w:tcPr>
                  <w:tcW w:w="537" w:type="pct"/>
                  <w:noWrap w:val="0"/>
                  <w:vAlign w:val="center"/>
                </w:tcPr>
                <w:p w14:paraId="5A4608E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p>
              </w:tc>
              <w:tc>
                <w:tcPr>
                  <w:tcW w:w="525" w:type="pct"/>
                  <w:vMerge w:val="restart"/>
                  <w:noWrap w:val="0"/>
                  <w:vAlign w:val="center"/>
                </w:tcPr>
                <w:p w14:paraId="6E32AC6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纳管接入市政污水管网进入</w:t>
                  </w:r>
                  <w:r>
                    <w:rPr>
                      <w:rFonts w:hint="eastAsia" w:cs="Times New Roman"/>
                      <w:b w:val="0"/>
                      <w:bCs/>
                      <w:color w:val="000000" w:themeColor="text1"/>
                      <w:sz w:val="21"/>
                      <w:szCs w:val="21"/>
                      <w:lang w:val="en-US" w:eastAsia="zh-CN"/>
                      <w14:textFill>
                        <w14:solidFill>
                          <w14:schemeClr w14:val="tx1"/>
                        </w14:solidFill>
                      </w14:textFill>
                    </w:rPr>
                    <w:t>淮南市潘集污水处理厂</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深度处理</w:t>
                  </w:r>
                </w:p>
              </w:tc>
              <w:tc>
                <w:tcPr>
                  <w:tcW w:w="687" w:type="pct"/>
                  <w:noWrap w:val="0"/>
                  <w:vAlign w:val="center"/>
                </w:tcPr>
                <w:p w14:paraId="02511BB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6-9</w:t>
                  </w:r>
                </w:p>
              </w:tc>
              <w:tc>
                <w:tcPr>
                  <w:tcW w:w="554" w:type="pct"/>
                  <w:noWrap w:val="0"/>
                  <w:vAlign w:val="center"/>
                </w:tcPr>
                <w:p w14:paraId="7183FBA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p>
              </w:tc>
              <w:tc>
                <w:tcPr>
                  <w:tcW w:w="867" w:type="pct"/>
                  <w:noWrap w:val="0"/>
                  <w:vAlign w:val="center"/>
                </w:tcPr>
                <w:p w14:paraId="6398D47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p>
              </w:tc>
            </w:tr>
            <w:tr w14:paraId="6FA749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vMerge w:val="continue"/>
                  <w:noWrap w:val="0"/>
                  <w:vAlign w:val="center"/>
                </w:tcPr>
                <w:p w14:paraId="217C321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547" w:type="pct"/>
                  <w:noWrap w:val="0"/>
                  <w:vAlign w:val="center"/>
                </w:tcPr>
                <w:p w14:paraId="6F4CD1A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COD</w:t>
                  </w:r>
                </w:p>
              </w:tc>
              <w:tc>
                <w:tcPr>
                  <w:tcW w:w="637" w:type="pct"/>
                  <w:noWrap w:val="0"/>
                  <w:vAlign w:val="center"/>
                </w:tcPr>
                <w:p w14:paraId="7524A910">
                  <w:pPr>
                    <w:pStyle w:val="93"/>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300</w:t>
                  </w:r>
                </w:p>
              </w:tc>
              <w:tc>
                <w:tcPr>
                  <w:tcW w:w="537" w:type="pct"/>
                  <w:noWrap w:val="0"/>
                  <w:vAlign w:val="center"/>
                </w:tcPr>
                <w:p w14:paraId="75748B6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0.0756</w:t>
                  </w:r>
                </w:p>
              </w:tc>
              <w:tc>
                <w:tcPr>
                  <w:tcW w:w="525" w:type="pct"/>
                  <w:vMerge w:val="continue"/>
                  <w:noWrap w:val="0"/>
                  <w:vAlign w:val="center"/>
                </w:tcPr>
                <w:p w14:paraId="6F17AEB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687" w:type="pct"/>
                  <w:noWrap w:val="0"/>
                  <w:vAlign w:val="center"/>
                </w:tcPr>
                <w:p w14:paraId="2E66A7DF">
                  <w:pPr>
                    <w:pStyle w:val="93"/>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255</w:t>
                  </w:r>
                </w:p>
              </w:tc>
              <w:tc>
                <w:tcPr>
                  <w:tcW w:w="554" w:type="pct"/>
                  <w:noWrap w:val="0"/>
                  <w:vAlign w:val="center"/>
                </w:tcPr>
                <w:p w14:paraId="7C3E54E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0.064</w:t>
                  </w:r>
                  <w:r>
                    <w:rPr>
                      <w:rFonts w:hint="eastAsia" w:cs="Times New Roman"/>
                      <w:i w:val="0"/>
                      <w:iCs w:val="0"/>
                      <w:color w:val="000000"/>
                      <w:kern w:val="0"/>
                      <w:sz w:val="21"/>
                      <w:szCs w:val="21"/>
                      <w:u w:val="none"/>
                      <w:lang w:val="en-US" w:eastAsia="zh-CN" w:bidi="ar"/>
                    </w:rPr>
                    <w:t>3</w:t>
                  </w:r>
                </w:p>
              </w:tc>
              <w:tc>
                <w:tcPr>
                  <w:tcW w:w="867" w:type="pct"/>
                  <w:noWrap w:val="0"/>
                  <w:vAlign w:val="center"/>
                </w:tcPr>
                <w:p w14:paraId="7278BB8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p>
              </w:tc>
            </w:tr>
            <w:tr w14:paraId="0BE784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vMerge w:val="continue"/>
                  <w:noWrap w:val="0"/>
                  <w:vAlign w:val="center"/>
                </w:tcPr>
                <w:p w14:paraId="4B0FE867">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547" w:type="pct"/>
                  <w:noWrap w:val="0"/>
                  <w:vAlign w:val="center"/>
                </w:tcPr>
                <w:p w14:paraId="39592AE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BOD</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5</w:t>
                  </w:r>
                </w:p>
              </w:tc>
              <w:tc>
                <w:tcPr>
                  <w:tcW w:w="637" w:type="pct"/>
                  <w:noWrap w:val="0"/>
                  <w:vAlign w:val="center"/>
                </w:tcPr>
                <w:p w14:paraId="4A99E72B">
                  <w:pPr>
                    <w:pStyle w:val="93"/>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180</w:t>
                  </w:r>
                </w:p>
              </w:tc>
              <w:tc>
                <w:tcPr>
                  <w:tcW w:w="537" w:type="pct"/>
                  <w:noWrap w:val="0"/>
                  <w:vAlign w:val="center"/>
                </w:tcPr>
                <w:p w14:paraId="41ECD5E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0.045</w:t>
                  </w:r>
                  <w:r>
                    <w:rPr>
                      <w:rFonts w:hint="eastAsia" w:cs="Times New Roman"/>
                      <w:i w:val="0"/>
                      <w:iCs w:val="0"/>
                      <w:color w:val="000000"/>
                      <w:kern w:val="0"/>
                      <w:sz w:val="21"/>
                      <w:szCs w:val="21"/>
                      <w:u w:val="none"/>
                      <w:lang w:val="en-US" w:eastAsia="zh-CN" w:bidi="ar"/>
                    </w:rPr>
                    <w:t>4</w:t>
                  </w:r>
                </w:p>
              </w:tc>
              <w:tc>
                <w:tcPr>
                  <w:tcW w:w="525" w:type="pct"/>
                  <w:vMerge w:val="continue"/>
                  <w:noWrap w:val="0"/>
                  <w:vAlign w:val="center"/>
                </w:tcPr>
                <w:p w14:paraId="1AF8AEE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687" w:type="pct"/>
                  <w:noWrap w:val="0"/>
                  <w:vAlign w:val="center"/>
                </w:tcPr>
                <w:p w14:paraId="3114880E">
                  <w:pPr>
                    <w:pStyle w:val="93"/>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153</w:t>
                  </w:r>
                </w:p>
              </w:tc>
              <w:tc>
                <w:tcPr>
                  <w:tcW w:w="554" w:type="pct"/>
                  <w:noWrap w:val="0"/>
                  <w:vAlign w:val="center"/>
                </w:tcPr>
                <w:p w14:paraId="3480EC2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0.038</w:t>
                  </w:r>
                  <w:r>
                    <w:rPr>
                      <w:rFonts w:hint="eastAsia" w:cs="Times New Roman"/>
                      <w:i w:val="0"/>
                      <w:iCs w:val="0"/>
                      <w:color w:val="000000"/>
                      <w:kern w:val="0"/>
                      <w:sz w:val="21"/>
                      <w:szCs w:val="21"/>
                      <w:u w:val="none"/>
                      <w:lang w:val="en-US" w:eastAsia="zh-CN" w:bidi="ar"/>
                    </w:rPr>
                    <w:t>6</w:t>
                  </w:r>
                </w:p>
              </w:tc>
              <w:tc>
                <w:tcPr>
                  <w:tcW w:w="867" w:type="pct"/>
                  <w:noWrap w:val="0"/>
                  <w:vAlign w:val="center"/>
                </w:tcPr>
                <w:p w14:paraId="221ED22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p>
              </w:tc>
            </w:tr>
            <w:tr w14:paraId="1F5A7C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vMerge w:val="continue"/>
                  <w:noWrap w:val="0"/>
                  <w:vAlign w:val="center"/>
                </w:tcPr>
                <w:p w14:paraId="050B146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547" w:type="pct"/>
                  <w:noWrap w:val="0"/>
                  <w:vAlign w:val="center"/>
                </w:tcPr>
                <w:p w14:paraId="1455F1A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SS</w:t>
                  </w:r>
                </w:p>
              </w:tc>
              <w:tc>
                <w:tcPr>
                  <w:tcW w:w="637" w:type="pct"/>
                  <w:noWrap w:val="0"/>
                  <w:vAlign w:val="center"/>
                </w:tcPr>
                <w:p w14:paraId="4CF2B7EA">
                  <w:pPr>
                    <w:pStyle w:val="93"/>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120</w:t>
                  </w:r>
                </w:p>
              </w:tc>
              <w:tc>
                <w:tcPr>
                  <w:tcW w:w="537" w:type="pct"/>
                  <w:noWrap w:val="0"/>
                  <w:vAlign w:val="center"/>
                </w:tcPr>
                <w:p w14:paraId="764CA92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0.0302</w:t>
                  </w:r>
                </w:p>
              </w:tc>
              <w:tc>
                <w:tcPr>
                  <w:tcW w:w="525" w:type="pct"/>
                  <w:vMerge w:val="continue"/>
                  <w:noWrap w:val="0"/>
                  <w:vAlign w:val="center"/>
                </w:tcPr>
                <w:p w14:paraId="67954613">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687" w:type="pct"/>
                  <w:noWrap w:val="0"/>
                  <w:vAlign w:val="center"/>
                </w:tcPr>
                <w:p w14:paraId="6DFAA3CA">
                  <w:pPr>
                    <w:pStyle w:val="93"/>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100</w:t>
                  </w:r>
                </w:p>
              </w:tc>
              <w:tc>
                <w:tcPr>
                  <w:tcW w:w="554" w:type="pct"/>
                  <w:noWrap w:val="0"/>
                  <w:vAlign w:val="center"/>
                </w:tcPr>
                <w:p w14:paraId="4C36B29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0.0252</w:t>
                  </w:r>
                </w:p>
              </w:tc>
              <w:tc>
                <w:tcPr>
                  <w:tcW w:w="867" w:type="pct"/>
                  <w:noWrap w:val="0"/>
                  <w:vAlign w:val="center"/>
                </w:tcPr>
                <w:p w14:paraId="79D23E1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p>
              </w:tc>
            </w:tr>
            <w:tr w14:paraId="6EA95F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vMerge w:val="continue"/>
                  <w:noWrap w:val="0"/>
                  <w:vAlign w:val="center"/>
                </w:tcPr>
                <w:p w14:paraId="34330DB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547" w:type="pct"/>
                  <w:noWrap w:val="0"/>
                  <w:vAlign w:val="center"/>
                </w:tcPr>
                <w:p w14:paraId="71A8338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NH</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-N</w:t>
                  </w:r>
                </w:p>
              </w:tc>
              <w:tc>
                <w:tcPr>
                  <w:tcW w:w="637" w:type="pct"/>
                  <w:noWrap w:val="0"/>
                  <w:vAlign w:val="center"/>
                </w:tcPr>
                <w:p w14:paraId="177896C7">
                  <w:pPr>
                    <w:pStyle w:val="93"/>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25</w:t>
                  </w:r>
                </w:p>
              </w:tc>
              <w:tc>
                <w:tcPr>
                  <w:tcW w:w="537" w:type="pct"/>
                  <w:noWrap w:val="0"/>
                  <w:vAlign w:val="center"/>
                </w:tcPr>
                <w:p w14:paraId="3743980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0.0063</w:t>
                  </w:r>
                </w:p>
              </w:tc>
              <w:tc>
                <w:tcPr>
                  <w:tcW w:w="525" w:type="pct"/>
                  <w:vMerge w:val="continue"/>
                  <w:noWrap w:val="0"/>
                  <w:vAlign w:val="center"/>
                </w:tcPr>
                <w:p w14:paraId="6E3E1743">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687" w:type="pct"/>
                  <w:noWrap w:val="0"/>
                  <w:vAlign w:val="center"/>
                </w:tcPr>
                <w:p w14:paraId="6153D5E3">
                  <w:pPr>
                    <w:pStyle w:val="93"/>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25</w:t>
                  </w:r>
                </w:p>
              </w:tc>
              <w:tc>
                <w:tcPr>
                  <w:tcW w:w="554" w:type="pct"/>
                  <w:noWrap w:val="0"/>
                  <w:vAlign w:val="center"/>
                </w:tcPr>
                <w:p w14:paraId="39AEF98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0.0063</w:t>
                  </w:r>
                </w:p>
              </w:tc>
              <w:tc>
                <w:tcPr>
                  <w:tcW w:w="867" w:type="pct"/>
                  <w:noWrap w:val="0"/>
                  <w:vAlign w:val="center"/>
                </w:tcPr>
                <w:p w14:paraId="49A45AE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p>
              </w:tc>
            </w:tr>
            <w:tr w14:paraId="44646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vMerge w:val="restart"/>
                  <w:noWrap w:val="0"/>
                  <w:vAlign w:val="center"/>
                </w:tcPr>
                <w:p w14:paraId="3F9C5A9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循环冷却水排水</w:t>
                  </w:r>
                  <w:r>
                    <w:rPr>
                      <w:rFonts w:hint="eastAsia" w:cs="Times New Roman"/>
                      <w:b w:val="0"/>
                      <w:bCs/>
                      <w:color w:val="000000" w:themeColor="text1"/>
                      <w:sz w:val="21"/>
                      <w:szCs w:val="21"/>
                      <w:highlight w:val="none"/>
                      <w:lang w:val="en-US" w:eastAsia="zh-CN"/>
                      <w14:textFill>
                        <w14:solidFill>
                          <w14:schemeClr w14:val="tx1"/>
                        </w14:solidFill>
                      </w14:textFill>
                    </w:rPr>
                    <w:t>360</w:t>
                  </w:r>
                </w:p>
              </w:tc>
              <w:tc>
                <w:tcPr>
                  <w:tcW w:w="547" w:type="pct"/>
                  <w:noWrap w:val="0"/>
                  <w:vAlign w:val="center"/>
                </w:tcPr>
                <w:p w14:paraId="6BDD7D0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COD</w:t>
                  </w:r>
                </w:p>
              </w:tc>
              <w:tc>
                <w:tcPr>
                  <w:tcW w:w="637" w:type="pct"/>
                  <w:noWrap w:val="0"/>
                  <w:vAlign w:val="center"/>
                </w:tcPr>
                <w:p w14:paraId="217B3E87">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100</w:t>
                  </w:r>
                </w:p>
              </w:tc>
              <w:tc>
                <w:tcPr>
                  <w:tcW w:w="537" w:type="pct"/>
                  <w:noWrap w:val="0"/>
                  <w:vAlign w:val="center"/>
                </w:tcPr>
                <w:p w14:paraId="5D0BFB4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0.036</w:t>
                  </w:r>
                </w:p>
              </w:tc>
              <w:tc>
                <w:tcPr>
                  <w:tcW w:w="525" w:type="pct"/>
                  <w:vMerge w:val="continue"/>
                  <w:noWrap w:val="0"/>
                  <w:vAlign w:val="center"/>
                </w:tcPr>
                <w:p w14:paraId="2EB7E70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687" w:type="pct"/>
                  <w:noWrap w:val="0"/>
                  <w:vAlign w:val="center"/>
                </w:tcPr>
                <w:p w14:paraId="3DF7D5D2">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100</w:t>
                  </w:r>
                </w:p>
              </w:tc>
              <w:tc>
                <w:tcPr>
                  <w:tcW w:w="554" w:type="pct"/>
                  <w:noWrap w:val="0"/>
                  <w:vAlign w:val="center"/>
                </w:tcPr>
                <w:p w14:paraId="1604E22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0.036</w:t>
                  </w:r>
                </w:p>
              </w:tc>
              <w:tc>
                <w:tcPr>
                  <w:tcW w:w="867" w:type="pct"/>
                  <w:noWrap w:val="0"/>
                  <w:vAlign w:val="center"/>
                </w:tcPr>
                <w:p w14:paraId="7D2E92B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p>
              </w:tc>
            </w:tr>
            <w:tr w14:paraId="7EB65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vMerge w:val="continue"/>
                  <w:noWrap w:val="0"/>
                  <w:vAlign w:val="center"/>
                </w:tcPr>
                <w:p w14:paraId="71E38043">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547" w:type="pct"/>
                  <w:noWrap w:val="0"/>
                  <w:vAlign w:val="center"/>
                </w:tcPr>
                <w:p w14:paraId="6C308C88">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SS</w:t>
                  </w:r>
                </w:p>
              </w:tc>
              <w:tc>
                <w:tcPr>
                  <w:tcW w:w="637" w:type="pct"/>
                  <w:noWrap w:val="0"/>
                  <w:vAlign w:val="center"/>
                </w:tcPr>
                <w:p w14:paraId="5CD8B73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50</w:t>
                  </w:r>
                </w:p>
              </w:tc>
              <w:tc>
                <w:tcPr>
                  <w:tcW w:w="537" w:type="pct"/>
                  <w:noWrap w:val="0"/>
                  <w:vAlign w:val="center"/>
                </w:tcPr>
                <w:p w14:paraId="57A6564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0.018</w:t>
                  </w:r>
                </w:p>
              </w:tc>
              <w:tc>
                <w:tcPr>
                  <w:tcW w:w="525" w:type="pct"/>
                  <w:vMerge w:val="continue"/>
                  <w:noWrap w:val="0"/>
                  <w:vAlign w:val="center"/>
                </w:tcPr>
                <w:p w14:paraId="13007CD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687" w:type="pct"/>
                  <w:noWrap w:val="0"/>
                  <w:vAlign w:val="center"/>
                </w:tcPr>
                <w:p w14:paraId="27221D3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50</w:t>
                  </w:r>
                </w:p>
              </w:tc>
              <w:tc>
                <w:tcPr>
                  <w:tcW w:w="554" w:type="pct"/>
                  <w:noWrap w:val="0"/>
                  <w:vAlign w:val="center"/>
                </w:tcPr>
                <w:p w14:paraId="128AC57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0.018</w:t>
                  </w:r>
                </w:p>
              </w:tc>
              <w:tc>
                <w:tcPr>
                  <w:tcW w:w="867" w:type="pct"/>
                  <w:noWrap w:val="0"/>
                  <w:vAlign w:val="center"/>
                </w:tcPr>
                <w:p w14:paraId="418E390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p>
              </w:tc>
            </w:tr>
            <w:tr w14:paraId="429F9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vMerge w:val="restart"/>
                  <w:noWrap w:val="0"/>
                  <w:vAlign w:val="center"/>
                </w:tcPr>
                <w:p w14:paraId="4F5D58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全厂废水</w:t>
                  </w:r>
                </w:p>
                <w:p w14:paraId="74FA42C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612</w:t>
                  </w:r>
                </w:p>
              </w:tc>
              <w:tc>
                <w:tcPr>
                  <w:tcW w:w="547" w:type="pct"/>
                  <w:noWrap w:val="0"/>
                  <w:vAlign w:val="center"/>
                </w:tcPr>
                <w:p w14:paraId="0D89589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pH</w:t>
                  </w:r>
                </w:p>
              </w:tc>
              <w:tc>
                <w:tcPr>
                  <w:tcW w:w="637" w:type="pct"/>
                  <w:noWrap w:val="0"/>
                  <w:vAlign w:val="center"/>
                </w:tcPr>
                <w:p w14:paraId="582952D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6-9</w:t>
                  </w:r>
                </w:p>
              </w:tc>
              <w:tc>
                <w:tcPr>
                  <w:tcW w:w="537" w:type="pct"/>
                  <w:noWrap w:val="0"/>
                  <w:vAlign w:val="center"/>
                </w:tcPr>
                <w:p w14:paraId="1F8A272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525" w:type="pct"/>
                  <w:vMerge w:val="continue"/>
                  <w:noWrap w:val="0"/>
                  <w:vAlign w:val="center"/>
                </w:tcPr>
                <w:p w14:paraId="508C59C9">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687" w:type="pct"/>
                  <w:noWrap w:val="0"/>
                  <w:vAlign w:val="center"/>
                </w:tcPr>
                <w:p w14:paraId="6BB321C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6-9</w:t>
                  </w:r>
                </w:p>
              </w:tc>
              <w:tc>
                <w:tcPr>
                  <w:tcW w:w="554" w:type="pct"/>
                  <w:noWrap w:val="0"/>
                  <w:vAlign w:val="center"/>
                </w:tcPr>
                <w:p w14:paraId="5EAFA0A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p>
              </w:tc>
              <w:tc>
                <w:tcPr>
                  <w:tcW w:w="867" w:type="pct"/>
                  <w:noWrap w:val="0"/>
                  <w:vAlign w:val="center"/>
                </w:tcPr>
                <w:p w14:paraId="3888199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6-9</w:t>
                  </w:r>
                </w:p>
              </w:tc>
            </w:tr>
            <w:tr w14:paraId="3B107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vMerge w:val="continue"/>
                  <w:vAlign w:val="center"/>
                </w:tcPr>
                <w:p w14:paraId="25D110E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547" w:type="pct"/>
                  <w:vAlign w:val="center"/>
                </w:tcPr>
                <w:p w14:paraId="3A3F639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COD</w:t>
                  </w:r>
                </w:p>
              </w:tc>
              <w:tc>
                <w:tcPr>
                  <w:tcW w:w="637" w:type="pct"/>
                  <w:vAlign w:val="center"/>
                </w:tcPr>
                <w:p w14:paraId="3F2F68F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182.</w:t>
                  </w:r>
                  <w:r>
                    <w:rPr>
                      <w:rFonts w:hint="eastAsia" w:cs="Times New Roman"/>
                      <w:i w:val="0"/>
                      <w:iCs w:val="0"/>
                      <w:color w:val="000000"/>
                      <w:kern w:val="0"/>
                      <w:sz w:val="21"/>
                      <w:szCs w:val="21"/>
                      <w:u w:val="none"/>
                      <w:lang w:val="en-US" w:eastAsia="zh-CN" w:bidi="ar"/>
                    </w:rPr>
                    <w:t>4</w:t>
                  </w:r>
                </w:p>
              </w:tc>
              <w:tc>
                <w:tcPr>
                  <w:tcW w:w="537" w:type="pct"/>
                  <w:vAlign w:val="center"/>
                </w:tcPr>
                <w:p w14:paraId="30391EF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0.1116</w:t>
                  </w:r>
                </w:p>
              </w:tc>
              <w:tc>
                <w:tcPr>
                  <w:tcW w:w="525" w:type="pct"/>
                  <w:vMerge w:val="continue"/>
                  <w:vAlign w:val="center"/>
                </w:tcPr>
                <w:p w14:paraId="101EF39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687" w:type="pct"/>
                  <w:vAlign w:val="center"/>
                </w:tcPr>
                <w:p w14:paraId="7560E50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163.8235</w:t>
                  </w:r>
                </w:p>
              </w:tc>
              <w:tc>
                <w:tcPr>
                  <w:tcW w:w="554" w:type="pct"/>
                  <w:vAlign w:val="center"/>
                </w:tcPr>
                <w:p w14:paraId="354149E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0.100</w:t>
                  </w:r>
                  <w:r>
                    <w:rPr>
                      <w:rFonts w:hint="eastAsia" w:cs="Times New Roman"/>
                      <w:i w:val="0"/>
                      <w:iCs w:val="0"/>
                      <w:color w:val="000000"/>
                      <w:kern w:val="0"/>
                      <w:sz w:val="21"/>
                      <w:szCs w:val="21"/>
                      <w:u w:val="none"/>
                      <w:lang w:val="en-US" w:eastAsia="zh-CN" w:bidi="ar"/>
                    </w:rPr>
                    <w:t>3</w:t>
                  </w:r>
                </w:p>
              </w:tc>
              <w:tc>
                <w:tcPr>
                  <w:tcW w:w="867" w:type="pct"/>
                  <w:vAlign w:val="center"/>
                </w:tcPr>
                <w:p w14:paraId="5DD5A9A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500</w:t>
                  </w:r>
                </w:p>
              </w:tc>
            </w:tr>
            <w:tr w14:paraId="6140FA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vMerge w:val="continue"/>
                  <w:vAlign w:val="center"/>
                </w:tcPr>
                <w:p w14:paraId="188074F3">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547" w:type="pct"/>
                  <w:vAlign w:val="center"/>
                </w:tcPr>
                <w:p w14:paraId="45F2958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BOD</w:t>
                  </w:r>
                  <w:r>
                    <w:rPr>
                      <w:rFonts w:hint="default" w:ascii="Times New Roman" w:hAnsi="Times New Roman" w:eastAsia="宋体" w:cs="Times New Roman"/>
                      <w:b w:val="0"/>
                      <w:bCs w:val="0"/>
                      <w:color w:val="000000" w:themeColor="text1"/>
                      <w:sz w:val="21"/>
                      <w:szCs w:val="21"/>
                      <w:vertAlign w:val="subscript"/>
                      <w14:textFill>
                        <w14:solidFill>
                          <w14:schemeClr w14:val="tx1"/>
                        </w14:solidFill>
                      </w14:textFill>
                    </w:rPr>
                    <w:t>5</w:t>
                  </w:r>
                </w:p>
              </w:tc>
              <w:tc>
                <w:tcPr>
                  <w:tcW w:w="637" w:type="pct"/>
                  <w:vAlign w:val="center"/>
                </w:tcPr>
                <w:p w14:paraId="1BBDA10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74.1</w:t>
                  </w:r>
                </w:p>
              </w:tc>
              <w:tc>
                <w:tcPr>
                  <w:tcW w:w="537" w:type="pct"/>
                  <w:vAlign w:val="center"/>
                </w:tcPr>
                <w:p w14:paraId="7C9E96A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0.0453</w:t>
                  </w:r>
                </w:p>
              </w:tc>
              <w:tc>
                <w:tcPr>
                  <w:tcW w:w="525" w:type="pct"/>
                  <w:vMerge w:val="continue"/>
                  <w:vAlign w:val="center"/>
                </w:tcPr>
                <w:p w14:paraId="429806F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687" w:type="pct"/>
                  <w:vAlign w:val="center"/>
                </w:tcPr>
                <w:p w14:paraId="2A87A45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554" w:type="pct"/>
                  <w:vAlign w:val="center"/>
                </w:tcPr>
                <w:p w14:paraId="41184B1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0.038</w:t>
                  </w:r>
                  <w:r>
                    <w:rPr>
                      <w:rFonts w:hint="eastAsia" w:cs="Times New Roman"/>
                      <w:i w:val="0"/>
                      <w:iCs w:val="0"/>
                      <w:color w:val="000000"/>
                      <w:kern w:val="0"/>
                      <w:sz w:val="21"/>
                      <w:szCs w:val="21"/>
                      <w:u w:val="none"/>
                      <w:lang w:val="en-US" w:eastAsia="zh-CN" w:bidi="ar"/>
                    </w:rPr>
                    <w:t>6</w:t>
                  </w:r>
                </w:p>
              </w:tc>
              <w:tc>
                <w:tcPr>
                  <w:tcW w:w="867" w:type="pct"/>
                  <w:vAlign w:val="center"/>
                </w:tcPr>
                <w:p w14:paraId="0B2678B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300</w:t>
                  </w:r>
                </w:p>
              </w:tc>
            </w:tr>
            <w:tr w14:paraId="10F39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vMerge w:val="continue"/>
                  <w:vAlign w:val="center"/>
                </w:tcPr>
                <w:p w14:paraId="053AAC82">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547" w:type="pct"/>
                  <w:vAlign w:val="center"/>
                </w:tcPr>
                <w:p w14:paraId="1F96A6E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SS</w:t>
                  </w:r>
                </w:p>
              </w:tc>
              <w:tc>
                <w:tcPr>
                  <w:tcW w:w="637" w:type="pct"/>
                  <w:vAlign w:val="center"/>
                </w:tcPr>
                <w:p w14:paraId="2B0340B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78.8</w:t>
                  </w:r>
                </w:p>
              </w:tc>
              <w:tc>
                <w:tcPr>
                  <w:tcW w:w="537" w:type="pct"/>
                  <w:vAlign w:val="center"/>
                </w:tcPr>
                <w:p w14:paraId="70AF499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0.0482</w:t>
                  </w:r>
                </w:p>
              </w:tc>
              <w:tc>
                <w:tcPr>
                  <w:tcW w:w="525" w:type="pct"/>
                  <w:vMerge w:val="continue"/>
                  <w:vAlign w:val="center"/>
                </w:tcPr>
                <w:p w14:paraId="3166528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687" w:type="pct"/>
                  <w:vAlign w:val="center"/>
                </w:tcPr>
                <w:p w14:paraId="087959F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70.5882</w:t>
                  </w:r>
                </w:p>
              </w:tc>
              <w:tc>
                <w:tcPr>
                  <w:tcW w:w="554" w:type="pct"/>
                  <w:vAlign w:val="center"/>
                </w:tcPr>
                <w:p w14:paraId="63A6094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0.043</w:t>
                  </w:r>
                  <w:r>
                    <w:rPr>
                      <w:rFonts w:hint="eastAsia" w:cs="Times New Roman"/>
                      <w:i w:val="0"/>
                      <w:iCs w:val="0"/>
                      <w:color w:val="000000"/>
                      <w:kern w:val="0"/>
                      <w:sz w:val="21"/>
                      <w:szCs w:val="21"/>
                      <w:u w:val="none"/>
                      <w:lang w:val="en-US" w:eastAsia="zh-CN" w:bidi="ar"/>
                    </w:rPr>
                    <w:t>2</w:t>
                  </w:r>
                </w:p>
              </w:tc>
              <w:tc>
                <w:tcPr>
                  <w:tcW w:w="867" w:type="pct"/>
                  <w:vAlign w:val="center"/>
                </w:tcPr>
                <w:p w14:paraId="1B56E78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250</w:t>
                  </w:r>
                </w:p>
              </w:tc>
            </w:tr>
            <w:tr w14:paraId="4CAC0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vMerge w:val="continue"/>
                  <w:vAlign w:val="center"/>
                </w:tcPr>
                <w:p w14:paraId="0B9B696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547" w:type="pct"/>
                  <w:vAlign w:val="center"/>
                </w:tcPr>
                <w:p w14:paraId="0799BA1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NH</w:t>
                  </w:r>
                  <w:r>
                    <w:rPr>
                      <w:rFonts w:hint="default" w:ascii="Times New Roman" w:hAnsi="Times New Roman" w:eastAsia="宋体" w:cs="Times New Roman"/>
                      <w:b w:val="0"/>
                      <w:bCs w:val="0"/>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14:textFill>
                        <w14:solidFill>
                          <w14:schemeClr w14:val="tx1"/>
                        </w14:solidFill>
                      </w14:textFill>
                    </w:rPr>
                    <w:t>-N</w:t>
                  </w:r>
                </w:p>
              </w:tc>
              <w:tc>
                <w:tcPr>
                  <w:tcW w:w="637" w:type="pct"/>
                  <w:vAlign w:val="center"/>
                </w:tcPr>
                <w:p w14:paraId="5848F5C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w:t>
                  </w:r>
                  <w:r>
                    <w:rPr>
                      <w:rFonts w:hint="eastAsia" w:cs="Times New Roman"/>
                      <w:i w:val="0"/>
                      <w:iCs w:val="0"/>
                      <w:color w:val="000000"/>
                      <w:kern w:val="0"/>
                      <w:sz w:val="21"/>
                      <w:szCs w:val="21"/>
                      <w:u w:val="none"/>
                      <w:lang w:val="en-US" w:eastAsia="zh-CN" w:bidi="ar"/>
                    </w:rPr>
                    <w:t>3</w:t>
                  </w:r>
                </w:p>
              </w:tc>
              <w:tc>
                <w:tcPr>
                  <w:tcW w:w="537" w:type="pct"/>
                  <w:vAlign w:val="center"/>
                </w:tcPr>
                <w:p w14:paraId="2EFAA9D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0.0063</w:t>
                  </w:r>
                </w:p>
              </w:tc>
              <w:tc>
                <w:tcPr>
                  <w:tcW w:w="525" w:type="pct"/>
                  <w:vMerge w:val="continue"/>
                  <w:vAlign w:val="center"/>
                </w:tcPr>
                <w:p w14:paraId="60D7C04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687" w:type="pct"/>
                  <w:vAlign w:val="center"/>
                </w:tcPr>
                <w:p w14:paraId="48DDE70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10.2941</w:t>
                  </w:r>
                </w:p>
              </w:tc>
              <w:tc>
                <w:tcPr>
                  <w:tcW w:w="554" w:type="pct"/>
                  <w:vAlign w:val="center"/>
                </w:tcPr>
                <w:p w14:paraId="4D5DE7B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0.00629</w:t>
                  </w:r>
                </w:p>
              </w:tc>
              <w:tc>
                <w:tcPr>
                  <w:tcW w:w="867" w:type="pct"/>
                  <w:vAlign w:val="center"/>
                </w:tcPr>
                <w:p w14:paraId="23DE1F6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50</w:t>
                  </w:r>
                </w:p>
              </w:tc>
            </w:tr>
          </w:tbl>
          <w:p w14:paraId="4DCE26C3">
            <w:pPr>
              <w:pStyle w:val="62"/>
              <w:ind w:firstLineChars="200"/>
              <w:jc w:val="both"/>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（2）废水类别、污染物及污染治理设施信息</w:t>
            </w:r>
          </w:p>
          <w:p w14:paraId="5F6B4C7E">
            <w:pPr>
              <w:widowControl/>
              <w:spacing w:line="240" w:lineRule="auto"/>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表4-</w:t>
            </w:r>
            <w:r>
              <w:rPr>
                <w:rFonts w:hint="eastAsia"/>
                <w:b/>
                <w:bCs/>
                <w:color w:val="000000" w:themeColor="text1"/>
                <w:kern w:val="0"/>
                <w:sz w:val="21"/>
                <w:szCs w:val="21"/>
                <w:lang w:val="en-US" w:eastAsia="zh-CN" w:bidi="ar"/>
                <w14:textFill>
                  <w14:solidFill>
                    <w14:schemeClr w14:val="tx1"/>
                  </w14:solidFill>
                </w14:textFill>
              </w:rPr>
              <w:t xml:space="preserve">8 </w:t>
            </w:r>
            <w:r>
              <w:rPr>
                <w:b/>
                <w:bCs/>
                <w:color w:val="000000" w:themeColor="text1"/>
                <w:kern w:val="0"/>
                <w:sz w:val="21"/>
                <w:szCs w:val="21"/>
                <w:lang w:bidi="ar"/>
                <w14:textFill>
                  <w14:solidFill>
                    <w14:schemeClr w14:val="tx1"/>
                  </w14:solidFill>
                </w14:textFill>
              </w:rPr>
              <w:t xml:space="preserve"> 废水类别、污染物及污染治理设施信息表</w:t>
            </w:r>
          </w:p>
          <w:tbl>
            <w:tblPr>
              <w:tblStyle w:val="29"/>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9"/>
              <w:gridCol w:w="837"/>
              <w:gridCol w:w="891"/>
              <w:gridCol w:w="850"/>
              <w:gridCol w:w="688"/>
              <w:gridCol w:w="691"/>
              <w:gridCol w:w="691"/>
              <w:gridCol w:w="701"/>
              <w:gridCol w:w="838"/>
              <w:gridCol w:w="1504"/>
            </w:tblGrid>
            <w:tr w14:paraId="63E459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8" w:type="pct"/>
                  <w:vMerge w:val="restart"/>
                  <w:noWrap w:val="0"/>
                  <w:vAlign w:val="center"/>
                </w:tcPr>
                <w:p w14:paraId="5F56A840">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序号</w:t>
                  </w:r>
                </w:p>
              </w:tc>
              <w:tc>
                <w:tcPr>
                  <w:tcW w:w="516" w:type="pct"/>
                  <w:vMerge w:val="restart"/>
                  <w:noWrap w:val="0"/>
                  <w:vAlign w:val="center"/>
                </w:tcPr>
                <w:p w14:paraId="39627B69">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废水类别</w:t>
                  </w:r>
                </w:p>
              </w:tc>
              <w:tc>
                <w:tcPr>
                  <w:tcW w:w="549" w:type="pct"/>
                  <w:vMerge w:val="restart"/>
                  <w:noWrap w:val="0"/>
                  <w:vAlign w:val="center"/>
                </w:tcPr>
                <w:p w14:paraId="40D6A94B">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污染物种类</w:t>
                  </w:r>
                </w:p>
              </w:tc>
              <w:tc>
                <w:tcPr>
                  <w:tcW w:w="524" w:type="pct"/>
                  <w:vMerge w:val="restart"/>
                  <w:noWrap w:val="0"/>
                  <w:vAlign w:val="center"/>
                </w:tcPr>
                <w:p w14:paraId="32A43A2B">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排放去向</w:t>
                  </w:r>
                </w:p>
              </w:tc>
              <w:tc>
                <w:tcPr>
                  <w:tcW w:w="424" w:type="pct"/>
                  <w:vMerge w:val="restart"/>
                  <w:noWrap w:val="0"/>
                  <w:vAlign w:val="center"/>
                </w:tcPr>
                <w:p w14:paraId="165ABE10">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排放规律</w:t>
                  </w:r>
                </w:p>
              </w:tc>
              <w:tc>
                <w:tcPr>
                  <w:tcW w:w="1284" w:type="pct"/>
                  <w:gridSpan w:val="3"/>
                  <w:noWrap w:val="0"/>
                  <w:vAlign w:val="center"/>
                </w:tcPr>
                <w:p w14:paraId="55061BB1">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污染治理设施</w:t>
                  </w:r>
                </w:p>
              </w:tc>
              <w:tc>
                <w:tcPr>
                  <w:tcW w:w="516" w:type="pct"/>
                  <w:vMerge w:val="restart"/>
                  <w:noWrap w:val="0"/>
                  <w:vAlign w:val="center"/>
                </w:tcPr>
                <w:p w14:paraId="5E5C351C">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排放口编号</w:t>
                  </w:r>
                </w:p>
              </w:tc>
              <w:tc>
                <w:tcPr>
                  <w:tcW w:w="926" w:type="pct"/>
                  <w:vMerge w:val="restart"/>
                  <w:noWrap w:val="0"/>
                  <w:vAlign w:val="center"/>
                </w:tcPr>
                <w:p w14:paraId="3665945B">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排放口类型</w:t>
                  </w:r>
                </w:p>
                <w:p w14:paraId="1434AAB2">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b/>
                      <w:bCs/>
                      <w:color w:val="000000" w:themeColor="text1"/>
                      <w:kern w:val="0"/>
                      <w:sz w:val="21"/>
                      <w:szCs w:val="21"/>
                      <w:lang w:bidi="ar"/>
                      <w14:textFill>
                        <w14:solidFill>
                          <w14:schemeClr w14:val="tx1"/>
                        </w14:solidFill>
                      </w14:textFill>
                    </w:rPr>
                  </w:pPr>
                </w:p>
              </w:tc>
            </w:tr>
            <w:tr w14:paraId="2EE14F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8" w:type="pct"/>
                  <w:vMerge w:val="continue"/>
                  <w:noWrap w:val="0"/>
                  <w:vAlign w:val="center"/>
                </w:tcPr>
                <w:p w14:paraId="6ECEFD68">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sz w:val="21"/>
                      <w:szCs w:val="21"/>
                      <w14:textFill>
                        <w14:solidFill>
                          <w14:schemeClr w14:val="tx1"/>
                        </w14:solidFill>
                      </w14:textFill>
                    </w:rPr>
                  </w:pPr>
                </w:p>
              </w:tc>
              <w:tc>
                <w:tcPr>
                  <w:tcW w:w="516" w:type="pct"/>
                  <w:vMerge w:val="continue"/>
                  <w:noWrap w:val="0"/>
                  <w:vAlign w:val="center"/>
                </w:tcPr>
                <w:p w14:paraId="12DBF6D0">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sz w:val="21"/>
                      <w:szCs w:val="21"/>
                      <w14:textFill>
                        <w14:solidFill>
                          <w14:schemeClr w14:val="tx1"/>
                        </w14:solidFill>
                      </w14:textFill>
                    </w:rPr>
                  </w:pPr>
                </w:p>
              </w:tc>
              <w:tc>
                <w:tcPr>
                  <w:tcW w:w="549" w:type="pct"/>
                  <w:vMerge w:val="continue"/>
                  <w:noWrap w:val="0"/>
                  <w:vAlign w:val="center"/>
                </w:tcPr>
                <w:p w14:paraId="5F7AA3A0">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sz w:val="21"/>
                      <w:szCs w:val="21"/>
                      <w14:textFill>
                        <w14:solidFill>
                          <w14:schemeClr w14:val="tx1"/>
                        </w14:solidFill>
                      </w14:textFill>
                    </w:rPr>
                  </w:pPr>
                </w:p>
              </w:tc>
              <w:tc>
                <w:tcPr>
                  <w:tcW w:w="524" w:type="pct"/>
                  <w:vMerge w:val="continue"/>
                  <w:noWrap w:val="0"/>
                  <w:vAlign w:val="center"/>
                </w:tcPr>
                <w:p w14:paraId="5230E1F2">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sz w:val="21"/>
                      <w:szCs w:val="21"/>
                      <w14:textFill>
                        <w14:solidFill>
                          <w14:schemeClr w14:val="tx1"/>
                        </w14:solidFill>
                      </w14:textFill>
                    </w:rPr>
                  </w:pPr>
                </w:p>
              </w:tc>
              <w:tc>
                <w:tcPr>
                  <w:tcW w:w="424" w:type="pct"/>
                  <w:vMerge w:val="continue"/>
                  <w:noWrap w:val="0"/>
                  <w:vAlign w:val="center"/>
                </w:tcPr>
                <w:p w14:paraId="5C4FF1E0">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sz w:val="21"/>
                      <w:szCs w:val="21"/>
                      <w14:textFill>
                        <w14:solidFill>
                          <w14:schemeClr w14:val="tx1"/>
                        </w14:solidFill>
                      </w14:textFill>
                    </w:rPr>
                  </w:pPr>
                </w:p>
              </w:tc>
              <w:tc>
                <w:tcPr>
                  <w:tcW w:w="426" w:type="pct"/>
                  <w:noWrap w:val="0"/>
                  <w:vAlign w:val="center"/>
                </w:tcPr>
                <w:p w14:paraId="7EC6CE0B">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污染治理设施编号</w:t>
                  </w:r>
                </w:p>
              </w:tc>
              <w:tc>
                <w:tcPr>
                  <w:tcW w:w="426" w:type="pct"/>
                  <w:noWrap w:val="0"/>
                  <w:vAlign w:val="center"/>
                </w:tcPr>
                <w:p w14:paraId="38AD5227">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污染</w:t>
                  </w:r>
                </w:p>
                <w:p w14:paraId="71CC0110">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治理</w:t>
                  </w:r>
                </w:p>
                <w:p w14:paraId="5CD2D696">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设施</w:t>
                  </w:r>
                </w:p>
                <w:p w14:paraId="2DA0E98C">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名称</w:t>
                  </w:r>
                </w:p>
              </w:tc>
              <w:tc>
                <w:tcPr>
                  <w:tcW w:w="430" w:type="pct"/>
                  <w:noWrap w:val="0"/>
                  <w:vAlign w:val="center"/>
                </w:tcPr>
                <w:p w14:paraId="5DFFC183">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污染治理设施工艺</w:t>
                  </w:r>
                </w:p>
              </w:tc>
              <w:tc>
                <w:tcPr>
                  <w:tcW w:w="516" w:type="pct"/>
                  <w:vMerge w:val="continue"/>
                  <w:noWrap w:val="0"/>
                  <w:vAlign w:val="center"/>
                </w:tcPr>
                <w:p w14:paraId="1D24D1FD">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sz w:val="21"/>
                      <w:szCs w:val="21"/>
                      <w14:textFill>
                        <w14:solidFill>
                          <w14:schemeClr w14:val="tx1"/>
                        </w14:solidFill>
                      </w14:textFill>
                    </w:rPr>
                  </w:pPr>
                </w:p>
              </w:tc>
              <w:tc>
                <w:tcPr>
                  <w:tcW w:w="926" w:type="pct"/>
                  <w:vMerge w:val="continue"/>
                  <w:noWrap w:val="0"/>
                  <w:vAlign w:val="center"/>
                </w:tcPr>
                <w:p w14:paraId="767C676C">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sz w:val="21"/>
                      <w:szCs w:val="21"/>
                      <w14:textFill>
                        <w14:solidFill>
                          <w14:schemeClr w14:val="tx1"/>
                        </w14:solidFill>
                      </w14:textFill>
                    </w:rPr>
                  </w:pPr>
                </w:p>
              </w:tc>
            </w:tr>
            <w:tr w14:paraId="1C411E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8" w:type="pct"/>
                  <w:noWrap w:val="0"/>
                  <w:vAlign w:val="center"/>
                </w:tcPr>
                <w:p w14:paraId="1B848815">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1</w:t>
                  </w:r>
                </w:p>
              </w:tc>
              <w:tc>
                <w:tcPr>
                  <w:tcW w:w="516" w:type="pct"/>
                  <w:noWrap w:val="0"/>
                  <w:vAlign w:val="center"/>
                </w:tcPr>
                <w:p w14:paraId="37BB7130">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生活污水</w:t>
                  </w:r>
                </w:p>
              </w:tc>
              <w:tc>
                <w:tcPr>
                  <w:tcW w:w="549" w:type="pct"/>
                  <w:noWrap w:val="0"/>
                  <w:vAlign w:val="center"/>
                </w:tcPr>
                <w:p w14:paraId="151F1375">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pH</w:t>
                  </w:r>
                </w:p>
                <w:p w14:paraId="725F88C1">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COD</w:t>
                  </w:r>
                </w:p>
                <w:p w14:paraId="3306A82B">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BOD</w:t>
                  </w:r>
                  <w:r>
                    <w:rPr>
                      <w:color w:val="000000" w:themeColor="text1"/>
                      <w:kern w:val="0"/>
                      <w:sz w:val="21"/>
                      <w:szCs w:val="21"/>
                      <w:vertAlign w:val="subscript"/>
                      <w:lang w:bidi="ar"/>
                      <w14:textFill>
                        <w14:solidFill>
                          <w14:schemeClr w14:val="tx1"/>
                        </w14:solidFill>
                      </w14:textFill>
                    </w:rPr>
                    <w:t>5</w:t>
                  </w:r>
                </w:p>
                <w:p w14:paraId="7138CB89">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SS</w:t>
                  </w:r>
                </w:p>
                <w:p w14:paraId="677E04FF">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NH</w:t>
                  </w:r>
                  <w:r>
                    <w:rPr>
                      <w:color w:val="000000" w:themeColor="text1"/>
                      <w:kern w:val="0"/>
                      <w:sz w:val="21"/>
                      <w:szCs w:val="21"/>
                      <w:vertAlign w:val="subscript"/>
                      <w:lang w:bidi="ar"/>
                      <w14:textFill>
                        <w14:solidFill>
                          <w14:schemeClr w14:val="tx1"/>
                        </w14:solidFill>
                      </w14:textFill>
                    </w:rPr>
                    <w:t>3</w:t>
                  </w:r>
                  <w:r>
                    <w:rPr>
                      <w:color w:val="000000" w:themeColor="text1"/>
                      <w:kern w:val="0"/>
                      <w:sz w:val="21"/>
                      <w:szCs w:val="21"/>
                      <w:lang w:bidi="ar"/>
                      <w14:textFill>
                        <w14:solidFill>
                          <w14:schemeClr w14:val="tx1"/>
                        </w14:solidFill>
                      </w14:textFill>
                    </w:rPr>
                    <w:t>-N</w:t>
                  </w:r>
                </w:p>
              </w:tc>
              <w:tc>
                <w:tcPr>
                  <w:tcW w:w="524" w:type="pct"/>
                  <w:vMerge w:val="restart"/>
                  <w:noWrap w:val="0"/>
                  <w:vAlign w:val="center"/>
                </w:tcPr>
                <w:p w14:paraId="61EDF127">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rFonts w:hint="eastAsia" w:eastAsia="宋体"/>
                      <w:color w:val="000000" w:themeColor="text1"/>
                      <w:kern w:val="0"/>
                      <w:sz w:val="21"/>
                      <w:szCs w:val="21"/>
                      <w:lang w:eastAsia="zh-CN" w:bidi="ar"/>
                      <w14:textFill>
                        <w14:solidFill>
                          <w14:schemeClr w14:val="tx1"/>
                        </w14:solidFill>
                      </w14:textFill>
                    </w:rPr>
                  </w:pPr>
                  <w:r>
                    <w:rPr>
                      <w:rFonts w:hint="eastAsia"/>
                      <w:color w:val="000000" w:themeColor="text1"/>
                      <w:kern w:val="0"/>
                      <w:sz w:val="21"/>
                      <w:szCs w:val="21"/>
                      <w:lang w:eastAsia="zh-CN" w:bidi="ar"/>
                      <w14:textFill>
                        <w14:solidFill>
                          <w14:schemeClr w14:val="tx1"/>
                        </w14:solidFill>
                      </w14:textFill>
                    </w:rPr>
                    <w:t>淮南市潘集污水处理厂</w:t>
                  </w:r>
                </w:p>
              </w:tc>
              <w:tc>
                <w:tcPr>
                  <w:tcW w:w="424" w:type="pct"/>
                  <w:vMerge w:val="restart"/>
                  <w:noWrap w:val="0"/>
                  <w:vAlign w:val="center"/>
                </w:tcPr>
                <w:p w14:paraId="169701BA">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间断</w:t>
                  </w:r>
                </w:p>
                <w:p w14:paraId="36AECBAC">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排放，</w:t>
                  </w:r>
                </w:p>
                <w:p w14:paraId="39FA79E4">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排放</w:t>
                  </w:r>
                </w:p>
                <w:p w14:paraId="03B0BD9B">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期间</w:t>
                  </w:r>
                </w:p>
                <w:p w14:paraId="4DA44E4E">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流量</w:t>
                  </w:r>
                </w:p>
                <w:p w14:paraId="2E7035EF">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不稳</w:t>
                  </w:r>
                </w:p>
                <w:p w14:paraId="70BA97F3">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定</w:t>
                  </w:r>
                </w:p>
              </w:tc>
              <w:tc>
                <w:tcPr>
                  <w:tcW w:w="426" w:type="pct"/>
                  <w:noWrap w:val="0"/>
                  <w:vAlign w:val="center"/>
                </w:tcPr>
                <w:p w14:paraId="0380556F">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w:t>
                  </w:r>
                </w:p>
              </w:tc>
              <w:tc>
                <w:tcPr>
                  <w:tcW w:w="426" w:type="pct"/>
                  <w:noWrap w:val="0"/>
                  <w:vAlign w:val="center"/>
                </w:tcPr>
                <w:p w14:paraId="0E1E5D00">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w:t>
                  </w:r>
                </w:p>
              </w:tc>
              <w:tc>
                <w:tcPr>
                  <w:tcW w:w="430" w:type="pct"/>
                  <w:noWrap w:val="0"/>
                  <w:vAlign w:val="center"/>
                </w:tcPr>
                <w:p w14:paraId="5FF15296">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w:t>
                  </w:r>
                </w:p>
              </w:tc>
              <w:tc>
                <w:tcPr>
                  <w:tcW w:w="516" w:type="pct"/>
                  <w:vMerge w:val="restart"/>
                  <w:noWrap w:val="0"/>
                  <w:vAlign w:val="center"/>
                </w:tcPr>
                <w:p w14:paraId="72A2C6EA">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DW001</w:t>
                  </w:r>
                </w:p>
              </w:tc>
              <w:tc>
                <w:tcPr>
                  <w:tcW w:w="926" w:type="pct"/>
                  <w:vMerge w:val="restart"/>
                  <w:noWrap w:val="0"/>
                  <w:vAlign w:val="center"/>
                </w:tcPr>
                <w:p w14:paraId="4C91E244">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rFonts w:hint="eastAsia"/>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sym w:font="Wingdings 2" w:char="0052"/>
                  </w:r>
                  <w:r>
                    <w:rPr>
                      <w:color w:val="000000" w:themeColor="text1"/>
                      <w:kern w:val="0"/>
                      <w:sz w:val="21"/>
                      <w:szCs w:val="21"/>
                      <w:lang w:bidi="ar"/>
                      <w14:textFill>
                        <w14:solidFill>
                          <w14:schemeClr w14:val="tx1"/>
                        </w14:solidFill>
                      </w14:textFill>
                    </w:rPr>
                    <w:t>企业总排</w:t>
                  </w:r>
                  <w:r>
                    <w:rPr>
                      <w:rFonts w:hint="eastAsia"/>
                      <w:color w:val="000000" w:themeColor="text1"/>
                      <w:kern w:val="0"/>
                      <w:sz w:val="21"/>
                      <w:szCs w:val="21"/>
                      <w:lang w:bidi="ar"/>
                      <w14:textFill>
                        <w14:solidFill>
                          <w14:schemeClr w14:val="tx1"/>
                        </w14:solidFill>
                      </w14:textFill>
                    </w:rPr>
                    <w:t>口</w:t>
                  </w:r>
                </w:p>
                <w:p w14:paraId="7E7DD878">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rFonts w:hint="eastAsia"/>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sym w:font="Wingdings 2" w:char="00A3"/>
                  </w:r>
                  <w:r>
                    <w:rPr>
                      <w:color w:val="000000" w:themeColor="text1"/>
                      <w:kern w:val="0"/>
                      <w:sz w:val="21"/>
                      <w:szCs w:val="21"/>
                      <w:lang w:bidi="ar"/>
                      <w14:textFill>
                        <w14:solidFill>
                          <w14:schemeClr w14:val="tx1"/>
                        </w14:solidFill>
                      </w14:textFill>
                    </w:rPr>
                    <w:t>雨水排放</w:t>
                  </w:r>
                  <w:r>
                    <w:rPr>
                      <w:rFonts w:hint="eastAsia"/>
                      <w:color w:val="000000" w:themeColor="text1"/>
                      <w:kern w:val="0"/>
                      <w:sz w:val="21"/>
                      <w:szCs w:val="21"/>
                      <w:lang w:bidi="ar"/>
                      <w14:textFill>
                        <w14:solidFill>
                          <w14:schemeClr w14:val="tx1"/>
                        </w14:solidFill>
                      </w14:textFill>
                    </w:rPr>
                    <w:t>口</w:t>
                  </w:r>
                </w:p>
                <w:p w14:paraId="6AF72EEB">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rFonts w:hint="eastAsia"/>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sym w:font="Wingdings 2" w:char="00A3"/>
                  </w:r>
                  <w:r>
                    <w:rPr>
                      <w:color w:val="000000" w:themeColor="text1"/>
                      <w:kern w:val="0"/>
                      <w:sz w:val="21"/>
                      <w:szCs w:val="21"/>
                      <w:lang w:bidi="ar"/>
                      <w14:textFill>
                        <w14:solidFill>
                          <w14:schemeClr w14:val="tx1"/>
                        </w14:solidFill>
                      </w14:textFill>
                    </w:rPr>
                    <w:t>清净下水排放</w:t>
                  </w:r>
                  <w:r>
                    <w:rPr>
                      <w:rFonts w:hint="eastAsia"/>
                      <w:color w:val="000000" w:themeColor="text1"/>
                      <w:kern w:val="0"/>
                      <w:sz w:val="21"/>
                      <w:szCs w:val="21"/>
                      <w:lang w:bidi="ar"/>
                      <w14:textFill>
                        <w14:solidFill>
                          <w14:schemeClr w14:val="tx1"/>
                        </w14:solidFill>
                      </w14:textFill>
                    </w:rPr>
                    <w:t>口</w:t>
                  </w:r>
                </w:p>
                <w:p w14:paraId="40533A1D">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rFonts w:hint="eastAsia"/>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sym w:font="Wingdings 2" w:char="00A3"/>
                  </w:r>
                  <w:r>
                    <w:rPr>
                      <w:color w:val="000000" w:themeColor="text1"/>
                      <w:kern w:val="0"/>
                      <w:sz w:val="21"/>
                      <w:szCs w:val="21"/>
                      <w:lang w:bidi="ar"/>
                      <w14:textFill>
                        <w14:solidFill>
                          <w14:schemeClr w14:val="tx1"/>
                        </w14:solidFill>
                      </w14:textFill>
                    </w:rPr>
                    <w:t>温排水排放</w:t>
                  </w:r>
                  <w:r>
                    <w:rPr>
                      <w:rFonts w:hint="eastAsia"/>
                      <w:color w:val="000000" w:themeColor="text1"/>
                      <w:kern w:val="0"/>
                      <w:sz w:val="21"/>
                      <w:szCs w:val="21"/>
                      <w:lang w:bidi="ar"/>
                      <w14:textFill>
                        <w14:solidFill>
                          <w14:schemeClr w14:val="tx1"/>
                        </w14:solidFill>
                      </w14:textFill>
                    </w:rPr>
                    <w:t>口</w:t>
                  </w:r>
                </w:p>
                <w:p w14:paraId="4E3B5150">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sym w:font="Wingdings 2" w:char="00A3"/>
                  </w:r>
                  <w:r>
                    <w:rPr>
                      <w:color w:val="000000" w:themeColor="text1"/>
                      <w:kern w:val="0"/>
                      <w:sz w:val="21"/>
                      <w:szCs w:val="21"/>
                      <w:lang w:bidi="ar"/>
                      <w14:textFill>
                        <w14:solidFill>
                          <w14:schemeClr w14:val="tx1"/>
                        </w14:solidFill>
                      </w14:textFill>
                    </w:rPr>
                    <w:t>车间或车间处理设施排放口</w:t>
                  </w:r>
                </w:p>
              </w:tc>
            </w:tr>
            <w:tr w14:paraId="62FD2C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8" w:type="pct"/>
                  <w:noWrap w:val="0"/>
                  <w:vAlign w:val="center"/>
                </w:tcPr>
                <w:p w14:paraId="0DE266A2">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rFonts w:hint="eastAsia" w:eastAsia="宋体"/>
                      <w:color w:val="000000" w:themeColor="text1"/>
                      <w:kern w:val="0"/>
                      <w:sz w:val="21"/>
                      <w:szCs w:val="21"/>
                      <w:lang w:val="en-US" w:eastAsia="zh-CN" w:bidi="ar"/>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2</w:t>
                  </w:r>
                </w:p>
              </w:tc>
              <w:tc>
                <w:tcPr>
                  <w:tcW w:w="516" w:type="pct"/>
                  <w:noWrap w:val="0"/>
                  <w:vAlign w:val="center"/>
                </w:tcPr>
                <w:p w14:paraId="57EA0F2F">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rFonts w:hint="eastAsia" w:eastAsia="宋体"/>
                      <w:color w:val="000000" w:themeColor="text1"/>
                      <w:kern w:val="0"/>
                      <w:sz w:val="21"/>
                      <w:szCs w:val="21"/>
                      <w:lang w:eastAsia="zh-CN" w:bidi="ar"/>
                      <w14:textFill>
                        <w14:solidFill>
                          <w14:schemeClr w14:val="tx1"/>
                        </w14:solidFill>
                      </w14:textFill>
                    </w:rPr>
                  </w:pPr>
                  <w:r>
                    <w:rPr>
                      <w:rFonts w:hint="eastAsia"/>
                      <w:color w:val="000000" w:themeColor="text1"/>
                      <w:kern w:val="0"/>
                      <w:sz w:val="21"/>
                      <w:szCs w:val="21"/>
                      <w:lang w:eastAsia="zh-CN" w:bidi="ar"/>
                      <w14:textFill>
                        <w14:solidFill>
                          <w14:schemeClr w14:val="tx1"/>
                        </w14:solidFill>
                      </w14:textFill>
                    </w:rPr>
                    <w:t>循环冷却水排水</w:t>
                  </w:r>
                </w:p>
              </w:tc>
              <w:tc>
                <w:tcPr>
                  <w:tcW w:w="549" w:type="pct"/>
                  <w:noWrap w:val="0"/>
                  <w:vAlign w:val="center"/>
                </w:tcPr>
                <w:p w14:paraId="7A72EFF6">
                  <w:pPr>
                    <w:pStyle w:val="35"/>
                    <w:keepNext w:val="0"/>
                    <w:keepLines w:val="0"/>
                    <w:pageBreakBefore w:val="0"/>
                    <w:kinsoku/>
                    <w:wordWrap/>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COD</w:t>
                  </w:r>
                </w:p>
                <w:p w14:paraId="1CC56C6B">
                  <w:pPr>
                    <w:keepNext w:val="0"/>
                    <w:keepLines w:val="0"/>
                    <w:pageBreakBefore w:val="0"/>
                    <w:kinsoku/>
                    <w:wordWrap/>
                    <w:topLinePunct w:val="0"/>
                    <w:autoSpaceDE/>
                    <w:autoSpaceDN/>
                    <w:bidi w:val="0"/>
                    <w:adjustRightInd/>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SS</w:t>
                  </w:r>
                </w:p>
              </w:tc>
              <w:tc>
                <w:tcPr>
                  <w:tcW w:w="524" w:type="pct"/>
                  <w:vMerge w:val="continue"/>
                  <w:noWrap w:val="0"/>
                  <w:vAlign w:val="center"/>
                </w:tcPr>
                <w:p w14:paraId="187C324E">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rFonts w:hint="eastAsia"/>
                      <w:color w:val="000000" w:themeColor="text1"/>
                      <w:kern w:val="0"/>
                      <w:sz w:val="21"/>
                      <w:szCs w:val="21"/>
                      <w:lang w:eastAsia="zh-CN" w:bidi="ar"/>
                      <w14:textFill>
                        <w14:solidFill>
                          <w14:schemeClr w14:val="tx1"/>
                        </w14:solidFill>
                      </w14:textFill>
                    </w:rPr>
                  </w:pPr>
                </w:p>
              </w:tc>
              <w:tc>
                <w:tcPr>
                  <w:tcW w:w="424" w:type="pct"/>
                  <w:vMerge w:val="continue"/>
                  <w:noWrap w:val="0"/>
                  <w:vAlign w:val="center"/>
                </w:tcPr>
                <w:p w14:paraId="0FD5D499">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kern w:val="0"/>
                      <w:sz w:val="21"/>
                      <w:szCs w:val="21"/>
                      <w:lang w:bidi="ar"/>
                      <w14:textFill>
                        <w14:solidFill>
                          <w14:schemeClr w14:val="tx1"/>
                        </w14:solidFill>
                      </w14:textFill>
                    </w:rPr>
                  </w:pPr>
                </w:p>
              </w:tc>
              <w:tc>
                <w:tcPr>
                  <w:tcW w:w="426" w:type="pct"/>
                  <w:noWrap w:val="0"/>
                  <w:vAlign w:val="center"/>
                </w:tcPr>
                <w:p w14:paraId="0E697A33">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rFonts w:hint="eastAsia"/>
                      <w:color w:val="000000" w:themeColor="text1"/>
                      <w:kern w:val="0"/>
                      <w:sz w:val="21"/>
                      <w:szCs w:val="21"/>
                      <w:lang w:val="en-US" w:eastAsia="zh-CN"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w:t>
                  </w:r>
                </w:p>
              </w:tc>
              <w:tc>
                <w:tcPr>
                  <w:tcW w:w="426" w:type="pct"/>
                  <w:noWrap w:val="0"/>
                  <w:vAlign w:val="center"/>
                </w:tcPr>
                <w:p w14:paraId="6C6D0324">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rFonts w:hint="eastAsia"/>
                      <w:color w:val="000000" w:themeColor="text1"/>
                      <w:kern w:val="0"/>
                      <w:sz w:val="21"/>
                      <w:szCs w:val="21"/>
                      <w:lang w:val="en-US" w:eastAsia="zh-CN"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w:t>
                  </w:r>
                </w:p>
              </w:tc>
              <w:tc>
                <w:tcPr>
                  <w:tcW w:w="430" w:type="pct"/>
                  <w:noWrap w:val="0"/>
                  <w:vAlign w:val="center"/>
                </w:tcPr>
                <w:p w14:paraId="794124A2">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rFonts w:hint="eastAsia"/>
                      <w:color w:val="000000" w:themeColor="text1"/>
                      <w:kern w:val="0"/>
                      <w:sz w:val="21"/>
                      <w:szCs w:val="21"/>
                      <w:lang w:val="en-US" w:eastAsia="zh-CN"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w:t>
                  </w:r>
                </w:p>
              </w:tc>
              <w:tc>
                <w:tcPr>
                  <w:tcW w:w="516" w:type="pct"/>
                  <w:vMerge w:val="continue"/>
                  <w:noWrap w:val="0"/>
                  <w:vAlign w:val="center"/>
                </w:tcPr>
                <w:p w14:paraId="364442AE">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kern w:val="0"/>
                      <w:sz w:val="21"/>
                      <w:szCs w:val="21"/>
                      <w:lang w:bidi="ar"/>
                      <w14:textFill>
                        <w14:solidFill>
                          <w14:schemeClr w14:val="tx1"/>
                        </w14:solidFill>
                      </w14:textFill>
                    </w:rPr>
                  </w:pPr>
                </w:p>
              </w:tc>
              <w:tc>
                <w:tcPr>
                  <w:tcW w:w="926" w:type="pct"/>
                  <w:vMerge w:val="continue"/>
                  <w:noWrap w:val="0"/>
                  <w:vAlign w:val="center"/>
                </w:tcPr>
                <w:p w14:paraId="21DFC2E6">
                  <w:pPr>
                    <w:keepNext w:val="0"/>
                    <w:keepLines w:val="0"/>
                    <w:pageBreakBefore w:val="0"/>
                    <w:widowControl/>
                    <w:kinsoku/>
                    <w:wordWrap/>
                    <w:topLinePunct w:val="0"/>
                    <w:autoSpaceDE/>
                    <w:autoSpaceDN/>
                    <w:bidi w:val="0"/>
                    <w:adjustRightInd/>
                    <w:spacing w:line="240" w:lineRule="auto"/>
                    <w:ind w:firstLine="0" w:firstLineChars="0"/>
                    <w:jc w:val="center"/>
                    <w:textAlignment w:val="auto"/>
                    <w:rPr>
                      <w:color w:val="000000" w:themeColor="text1"/>
                      <w:kern w:val="0"/>
                      <w:sz w:val="21"/>
                      <w:szCs w:val="21"/>
                      <w:lang w:bidi="ar"/>
                      <w14:textFill>
                        <w14:solidFill>
                          <w14:schemeClr w14:val="tx1"/>
                        </w14:solidFill>
                      </w14:textFill>
                    </w:rPr>
                  </w:pPr>
                </w:p>
              </w:tc>
            </w:tr>
          </w:tbl>
          <w:p w14:paraId="2A435CE4">
            <w:pPr>
              <w:pStyle w:val="12"/>
              <w:spacing w:before="120" w:beforeLines="50" w:after="0" w:line="360" w:lineRule="auto"/>
              <w:ind w:right="0" w:firstLine="480" w:firstLineChars="200"/>
              <w:rPr>
                <w:color w:val="000000" w:themeColor="text1"/>
                <w:sz w:val="24"/>
                <w:szCs w:val="24"/>
                <w:lang w:bidi="ar"/>
                <w14:textFill>
                  <w14:solidFill>
                    <w14:schemeClr w14:val="tx1"/>
                  </w14:solidFill>
                </w14:textFill>
              </w:rPr>
            </w:pPr>
            <w:r>
              <w:rPr>
                <w:color w:val="000000" w:themeColor="text1"/>
                <w:sz w:val="24"/>
                <w:szCs w:val="24"/>
                <w:lang w:bidi="ar"/>
                <w14:textFill>
                  <w14:solidFill>
                    <w14:schemeClr w14:val="tx1"/>
                  </w14:solidFill>
                </w14:textFill>
              </w:rPr>
              <w:t>废水间接排放口基本情况见</w:t>
            </w:r>
            <w:r>
              <w:rPr>
                <w:rFonts w:hint="eastAsia"/>
                <w:color w:val="000000" w:themeColor="text1"/>
                <w:sz w:val="24"/>
                <w:szCs w:val="24"/>
                <w:lang w:bidi="ar"/>
                <w14:textFill>
                  <w14:solidFill>
                    <w14:schemeClr w14:val="tx1"/>
                  </w14:solidFill>
                </w14:textFill>
              </w:rPr>
              <w:t>下表</w:t>
            </w:r>
            <w:r>
              <w:rPr>
                <w:color w:val="000000" w:themeColor="text1"/>
                <w:sz w:val="24"/>
                <w:szCs w:val="24"/>
                <w:lang w:bidi="ar"/>
                <w14:textFill>
                  <w14:solidFill>
                    <w14:schemeClr w14:val="tx1"/>
                  </w14:solidFill>
                </w14:textFill>
              </w:rPr>
              <w:t>。</w:t>
            </w:r>
          </w:p>
          <w:p w14:paraId="23362897">
            <w:pPr>
              <w:widowControl/>
              <w:spacing w:line="240" w:lineRule="auto"/>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表4-</w:t>
            </w:r>
            <w:r>
              <w:rPr>
                <w:rFonts w:hint="eastAsia"/>
                <w:b/>
                <w:bCs/>
                <w:color w:val="000000" w:themeColor="text1"/>
                <w:kern w:val="0"/>
                <w:sz w:val="21"/>
                <w:szCs w:val="21"/>
                <w:lang w:val="en-US" w:eastAsia="zh-CN" w:bidi="ar"/>
                <w14:textFill>
                  <w14:solidFill>
                    <w14:schemeClr w14:val="tx1"/>
                  </w14:solidFill>
                </w14:textFill>
              </w:rPr>
              <w:t xml:space="preserve">9 </w:t>
            </w:r>
            <w:r>
              <w:rPr>
                <w:b/>
                <w:bCs/>
                <w:color w:val="000000" w:themeColor="text1"/>
                <w:kern w:val="0"/>
                <w:sz w:val="21"/>
                <w:szCs w:val="21"/>
                <w:lang w:bidi="ar"/>
                <w14:textFill>
                  <w14:solidFill>
                    <w14:schemeClr w14:val="tx1"/>
                  </w14:solidFill>
                </w14:textFill>
              </w:rPr>
              <w:t xml:space="preserve"> 废水间接排放口基本情况表</w:t>
            </w:r>
          </w:p>
          <w:tbl>
            <w:tblPr>
              <w:tblStyle w:val="29"/>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158"/>
              <w:gridCol w:w="1166"/>
              <w:gridCol w:w="870"/>
              <w:gridCol w:w="635"/>
              <w:gridCol w:w="427"/>
              <w:gridCol w:w="427"/>
              <w:gridCol w:w="636"/>
              <w:gridCol w:w="729"/>
              <w:gridCol w:w="1184"/>
            </w:tblGrid>
            <w:tr w14:paraId="20B9BC0B">
              <w:tblPrEx>
                <w:tblCellMar>
                  <w:top w:w="0" w:type="dxa"/>
                  <w:left w:w="108" w:type="dxa"/>
                  <w:bottom w:w="0" w:type="dxa"/>
                  <w:right w:w="108" w:type="dxa"/>
                </w:tblCellMar>
              </w:tblPrEx>
              <w:trPr>
                <w:trHeight w:val="454" w:hRule="atLeast"/>
              </w:trPr>
              <w:tc>
                <w:tcPr>
                  <w:tcW w:w="542" w:type="pct"/>
                  <w:vMerge w:val="restart"/>
                  <w:noWrap w:val="0"/>
                  <w:vAlign w:val="center"/>
                </w:tcPr>
                <w:p w14:paraId="131A7217">
                  <w:pPr>
                    <w:pStyle w:val="12"/>
                    <w:spacing w:before="0" w:after="0" w:line="240" w:lineRule="auto"/>
                    <w:ind w:right="0"/>
                    <w:jc w:val="center"/>
                    <w:rPr>
                      <w:b/>
                      <w:bCs/>
                      <w:color w:val="000000" w:themeColor="text1"/>
                      <w:sz w:val="21"/>
                      <w:szCs w:val="21"/>
                      <w:lang w:bidi="ar"/>
                      <w14:textFill>
                        <w14:solidFill>
                          <w14:schemeClr w14:val="tx1"/>
                        </w14:solidFill>
                      </w14:textFill>
                    </w:rPr>
                  </w:pPr>
                  <w:r>
                    <w:rPr>
                      <w:b/>
                      <w:bCs/>
                      <w:color w:val="000000" w:themeColor="text1"/>
                      <w:sz w:val="21"/>
                      <w:szCs w:val="21"/>
                      <w:lang w:bidi="ar"/>
                      <w14:textFill>
                        <w14:solidFill>
                          <w14:schemeClr w14:val="tx1"/>
                        </w14:solidFill>
                      </w14:textFill>
                    </w:rPr>
                    <w:t>排放口编号</w:t>
                  </w:r>
                </w:p>
              </w:tc>
              <w:tc>
                <w:tcPr>
                  <w:tcW w:w="1431" w:type="pct"/>
                  <w:gridSpan w:val="2"/>
                  <w:noWrap w:val="0"/>
                  <w:vAlign w:val="center"/>
                </w:tcPr>
                <w:p w14:paraId="387BB370">
                  <w:pPr>
                    <w:widowControl/>
                    <w:spacing w:line="240" w:lineRule="auto"/>
                    <w:jc w:val="center"/>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排放口地理位置</w:t>
                  </w:r>
                </w:p>
              </w:tc>
              <w:tc>
                <w:tcPr>
                  <w:tcW w:w="536" w:type="pct"/>
                  <w:vMerge w:val="restart"/>
                  <w:noWrap w:val="0"/>
                  <w:vAlign w:val="center"/>
                </w:tcPr>
                <w:p w14:paraId="31B012A9">
                  <w:pPr>
                    <w:pStyle w:val="12"/>
                    <w:spacing w:before="0" w:after="0" w:line="240" w:lineRule="auto"/>
                    <w:ind w:right="0"/>
                    <w:jc w:val="center"/>
                    <w:rPr>
                      <w:b/>
                      <w:bCs/>
                      <w:color w:val="000000" w:themeColor="text1"/>
                      <w:sz w:val="21"/>
                      <w:szCs w:val="21"/>
                      <w:lang w:bidi="ar"/>
                      <w14:textFill>
                        <w14:solidFill>
                          <w14:schemeClr w14:val="tx1"/>
                        </w14:solidFill>
                      </w14:textFill>
                    </w:rPr>
                  </w:pPr>
                  <w:r>
                    <w:rPr>
                      <w:b/>
                      <w:bCs/>
                      <w:color w:val="000000" w:themeColor="text1"/>
                      <w:sz w:val="21"/>
                      <w:szCs w:val="21"/>
                      <w:lang w:bidi="ar"/>
                      <w14:textFill>
                        <w14:solidFill>
                          <w14:schemeClr w14:val="tx1"/>
                        </w14:solidFill>
                      </w14:textFill>
                    </w:rPr>
                    <w:t>废水排放量（t/a）</w:t>
                  </w:r>
                </w:p>
              </w:tc>
              <w:tc>
                <w:tcPr>
                  <w:tcW w:w="391" w:type="pct"/>
                  <w:vMerge w:val="restart"/>
                  <w:noWrap w:val="0"/>
                  <w:vAlign w:val="center"/>
                </w:tcPr>
                <w:p w14:paraId="77553928">
                  <w:pPr>
                    <w:pStyle w:val="12"/>
                    <w:spacing w:before="0" w:after="0" w:line="240" w:lineRule="auto"/>
                    <w:ind w:right="0"/>
                    <w:jc w:val="center"/>
                    <w:rPr>
                      <w:b/>
                      <w:bCs/>
                      <w:color w:val="000000" w:themeColor="text1"/>
                      <w:sz w:val="21"/>
                      <w:szCs w:val="21"/>
                      <w:lang w:bidi="ar"/>
                      <w14:textFill>
                        <w14:solidFill>
                          <w14:schemeClr w14:val="tx1"/>
                        </w14:solidFill>
                      </w14:textFill>
                    </w:rPr>
                  </w:pPr>
                  <w:r>
                    <w:rPr>
                      <w:b/>
                      <w:bCs/>
                      <w:color w:val="000000" w:themeColor="text1"/>
                      <w:sz w:val="21"/>
                      <w:szCs w:val="21"/>
                      <w:lang w:bidi="ar"/>
                      <w14:textFill>
                        <w14:solidFill>
                          <w14:schemeClr w14:val="tx1"/>
                        </w14:solidFill>
                      </w14:textFill>
                    </w:rPr>
                    <w:t>排放去向</w:t>
                  </w:r>
                </w:p>
              </w:tc>
              <w:tc>
                <w:tcPr>
                  <w:tcW w:w="263" w:type="pct"/>
                  <w:vMerge w:val="restart"/>
                  <w:noWrap w:val="0"/>
                  <w:vAlign w:val="center"/>
                </w:tcPr>
                <w:p w14:paraId="6832E959">
                  <w:pPr>
                    <w:pStyle w:val="12"/>
                    <w:spacing w:before="0" w:after="0" w:line="240" w:lineRule="auto"/>
                    <w:ind w:right="0"/>
                    <w:jc w:val="center"/>
                    <w:rPr>
                      <w:b/>
                      <w:bCs/>
                      <w:color w:val="000000" w:themeColor="text1"/>
                      <w:sz w:val="21"/>
                      <w:szCs w:val="21"/>
                      <w:lang w:bidi="ar"/>
                      <w14:textFill>
                        <w14:solidFill>
                          <w14:schemeClr w14:val="tx1"/>
                        </w14:solidFill>
                      </w14:textFill>
                    </w:rPr>
                  </w:pPr>
                  <w:r>
                    <w:rPr>
                      <w:b/>
                      <w:bCs/>
                      <w:color w:val="000000" w:themeColor="text1"/>
                      <w:sz w:val="21"/>
                      <w:szCs w:val="21"/>
                      <w:lang w:bidi="ar"/>
                      <w14:textFill>
                        <w14:solidFill>
                          <w14:schemeClr w14:val="tx1"/>
                        </w14:solidFill>
                      </w14:textFill>
                    </w:rPr>
                    <w:t>排放规律</w:t>
                  </w:r>
                </w:p>
              </w:tc>
              <w:tc>
                <w:tcPr>
                  <w:tcW w:w="263" w:type="pct"/>
                  <w:vMerge w:val="restart"/>
                  <w:noWrap w:val="0"/>
                  <w:vAlign w:val="center"/>
                </w:tcPr>
                <w:p w14:paraId="5587F214">
                  <w:pPr>
                    <w:pStyle w:val="12"/>
                    <w:spacing w:before="0" w:after="0" w:line="240" w:lineRule="auto"/>
                    <w:ind w:right="0"/>
                    <w:jc w:val="center"/>
                    <w:rPr>
                      <w:b/>
                      <w:bCs/>
                      <w:color w:val="000000" w:themeColor="text1"/>
                      <w:sz w:val="21"/>
                      <w:szCs w:val="21"/>
                      <w:lang w:bidi="ar"/>
                      <w14:textFill>
                        <w14:solidFill>
                          <w14:schemeClr w14:val="tx1"/>
                        </w14:solidFill>
                      </w14:textFill>
                    </w:rPr>
                  </w:pPr>
                  <w:r>
                    <w:rPr>
                      <w:b/>
                      <w:bCs/>
                      <w:color w:val="000000" w:themeColor="text1"/>
                      <w:sz w:val="21"/>
                      <w:szCs w:val="21"/>
                      <w:lang w:bidi="ar"/>
                      <w14:textFill>
                        <w14:solidFill>
                          <w14:schemeClr w14:val="tx1"/>
                        </w14:solidFill>
                      </w14:textFill>
                    </w:rPr>
                    <w:t>间歇排放时段</w:t>
                  </w:r>
                </w:p>
              </w:tc>
              <w:tc>
                <w:tcPr>
                  <w:tcW w:w="1570" w:type="pct"/>
                  <w:gridSpan w:val="3"/>
                  <w:noWrap w:val="0"/>
                  <w:vAlign w:val="center"/>
                </w:tcPr>
                <w:p w14:paraId="5E0B932C">
                  <w:pPr>
                    <w:pStyle w:val="12"/>
                    <w:spacing w:before="0" w:after="0" w:line="240" w:lineRule="auto"/>
                    <w:ind w:right="0"/>
                    <w:jc w:val="center"/>
                    <w:rPr>
                      <w:b/>
                      <w:bCs/>
                      <w:color w:val="000000" w:themeColor="text1"/>
                      <w:sz w:val="21"/>
                      <w:szCs w:val="21"/>
                      <w:lang w:bidi="ar"/>
                      <w14:textFill>
                        <w14:solidFill>
                          <w14:schemeClr w14:val="tx1"/>
                        </w14:solidFill>
                      </w14:textFill>
                    </w:rPr>
                  </w:pPr>
                  <w:r>
                    <w:rPr>
                      <w:b/>
                      <w:bCs/>
                      <w:color w:val="000000" w:themeColor="text1"/>
                      <w:sz w:val="21"/>
                      <w:szCs w:val="21"/>
                      <w:lang w:bidi="ar"/>
                      <w14:textFill>
                        <w14:solidFill>
                          <w14:schemeClr w14:val="tx1"/>
                        </w14:solidFill>
                      </w14:textFill>
                    </w:rPr>
                    <w:t>受纳污水处理厂信息</w:t>
                  </w:r>
                </w:p>
              </w:tc>
            </w:tr>
            <w:tr w14:paraId="5F5D8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2" w:type="pct"/>
                  <w:vMerge w:val="continue"/>
                  <w:noWrap w:val="0"/>
                  <w:vAlign w:val="center"/>
                </w:tcPr>
                <w:p w14:paraId="00F9DA7B">
                  <w:pPr>
                    <w:pStyle w:val="12"/>
                    <w:spacing w:before="0" w:after="0" w:line="240" w:lineRule="auto"/>
                    <w:ind w:right="0"/>
                    <w:jc w:val="center"/>
                    <w:rPr>
                      <w:b/>
                      <w:bCs/>
                      <w:color w:val="000000" w:themeColor="text1"/>
                      <w:sz w:val="21"/>
                      <w:szCs w:val="21"/>
                      <w14:textFill>
                        <w14:solidFill>
                          <w14:schemeClr w14:val="tx1"/>
                        </w14:solidFill>
                      </w14:textFill>
                    </w:rPr>
                  </w:pPr>
                </w:p>
              </w:tc>
              <w:tc>
                <w:tcPr>
                  <w:tcW w:w="713" w:type="pct"/>
                  <w:noWrap w:val="0"/>
                  <w:vAlign w:val="center"/>
                </w:tcPr>
                <w:p w14:paraId="40D6AEA4">
                  <w:pPr>
                    <w:pStyle w:val="12"/>
                    <w:spacing w:before="0" w:after="0" w:line="240" w:lineRule="auto"/>
                    <w:ind w:right="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经度</w:t>
                  </w:r>
                </w:p>
              </w:tc>
              <w:tc>
                <w:tcPr>
                  <w:tcW w:w="718" w:type="pct"/>
                  <w:noWrap w:val="0"/>
                  <w:vAlign w:val="center"/>
                </w:tcPr>
                <w:p w14:paraId="145C17E4">
                  <w:pPr>
                    <w:pStyle w:val="12"/>
                    <w:spacing w:before="0" w:after="0" w:line="240" w:lineRule="auto"/>
                    <w:ind w:right="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纬度</w:t>
                  </w:r>
                </w:p>
              </w:tc>
              <w:tc>
                <w:tcPr>
                  <w:tcW w:w="536" w:type="pct"/>
                  <w:vMerge w:val="continue"/>
                  <w:noWrap w:val="0"/>
                  <w:vAlign w:val="center"/>
                </w:tcPr>
                <w:p w14:paraId="226B1551">
                  <w:pPr>
                    <w:pStyle w:val="12"/>
                    <w:spacing w:before="0" w:after="0" w:line="240" w:lineRule="auto"/>
                    <w:ind w:right="0"/>
                    <w:jc w:val="center"/>
                    <w:rPr>
                      <w:b/>
                      <w:bCs/>
                      <w:color w:val="000000" w:themeColor="text1"/>
                      <w:sz w:val="21"/>
                      <w:szCs w:val="21"/>
                      <w14:textFill>
                        <w14:solidFill>
                          <w14:schemeClr w14:val="tx1"/>
                        </w14:solidFill>
                      </w14:textFill>
                    </w:rPr>
                  </w:pPr>
                </w:p>
              </w:tc>
              <w:tc>
                <w:tcPr>
                  <w:tcW w:w="391" w:type="pct"/>
                  <w:vMerge w:val="continue"/>
                  <w:noWrap w:val="0"/>
                  <w:vAlign w:val="center"/>
                </w:tcPr>
                <w:p w14:paraId="6725439E">
                  <w:pPr>
                    <w:pStyle w:val="12"/>
                    <w:spacing w:before="0" w:after="0" w:line="240" w:lineRule="auto"/>
                    <w:ind w:right="0"/>
                    <w:jc w:val="center"/>
                    <w:rPr>
                      <w:b/>
                      <w:bCs/>
                      <w:color w:val="000000" w:themeColor="text1"/>
                      <w:sz w:val="21"/>
                      <w:szCs w:val="21"/>
                      <w14:textFill>
                        <w14:solidFill>
                          <w14:schemeClr w14:val="tx1"/>
                        </w14:solidFill>
                      </w14:textFill>
                    </w:rPr>
                  </w:pPr>
                </w:p>
              </w:tc>
              <w:tc>
                <w:tcPr>
                  <w:tcW w:w="263" w:type="pct"/>
                  <w:vMerge w:val="continue"/>
                  <w:noWrap w:val="0"/>
                  <w:vAlign w:val="center"/>
                </w:tcPr>
                <w:p w14:paraId="03E9E293">
                  <w:pPr>
                    <w:pStyle w:val="12"/>
                    <w:spacing w:before="0" w:after="0" w:line="240" w:lineRule="auto"/>
                    <w:ind w:right="0"/>
                    <w:jc w:val="center"/>
                    <w:rPr>
                      <w:b/>
                      <w:bCs/>
                      <w:color w:val="000000" w:themeColor="text1"/>
                      <w:sz w:val="21"/>
                      <w:szCs w:val="21"/>
                      <w14:textFill>
                        <w14:solidFill>
                          <w14:schemeClr w14:val="tx1"/>
                        </w14:solidFill>
                      </w14:textFill>
                    </w:rPr>
                  </w:pPr>
                </w:p>
              </w:tc>
              <w:tc>
                <w:tcPr>
                  <w:tcW w:w="263" w:type="pct"/>
                  <w:vMerge w:val="continue"/>
                  <w:noWrap w:val="0"/>
                  <w:vAlign w:val="center"/>
                </w:tcPr>
                <w:p w14:paraId="5B0170D7">
                  <w:pPr>
                    <w:pStyle w:val="12"/>
                    <w:spacing w:before="0" w:after="0" w:line="240" w:lineRule="auto"/>
                    <w:ind w:right="0"/>
                    <w:jc w:val="center"/>
                    <w:rPr>
                      <w:b/>
                      <w:bCs/>
                      <w:color w:val="000000" w:themeColor="text1"/>
                      <w:sz w:val="21"/>
                      <w:szCs w:val="21"/>
                      <w14:textFill>
                        <w14:solidFill>
                          <w14:schemeClr w14:val="tx1"/>
                        </w14:solidFill>
                      </w14:textFill>
                    </w:rPr>
                  </w:pPr>
                </w:p>
              </w:tc>
              <w:tc>
                <w:tcPr>
                  <w:tcW w:w="392" w:type="pct"/>
                  <w:noWrap w:val="0"/>
                  <w:vAlign w:val="center"/>
                </w:tcPr>
                <w:p w14:paraId="27BD2BF6">
                  <w:pPr>
                    <w:pStyle w:val="12"/>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名称</w:t>
                  </w:r>
                </w:p>
              </w:tc>
              <w:tc>
                <w:tcPr>
                  <w:tcW w:w="449" w:type="pct"/>
                  <w:noWrap w:val="0"/>
                  <w:vAlign w:val="center"/>
                </w:tcPr>
                <w:p w14:paraId="2861EA7D">
                  <w:pPr>
                    <w:pStyle w:val="12"/>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污染物种类</w:t>
                  </w:r>
                </w:p>
              </w:tc>
              <w:tc>
                <w:tcPr>
                  <w:tcW w:w="728" w:type="pct"/>
                  <w:noWrap w:val="0"/>
                  <w:vAlign w:val="center"/>
                </w:tcPr>
                <w:p w14:paraId="0F9F493D">
                  <w:pPr>
                    <w:pStyle w:val="12"/>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国家或地方污染物排放标准浓度限值（mg/L）</w:t>
                  </w:r>
                </w:p>
              </w:tc>
            </w:tr>
            <w:tr w14:paraId="71885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2" w:type="pct"/>
                  <w:vMerge w:val="restart"/>
                  <w:noWrap w:val="0"/>
                  <w:vAlign w:val="center"/>
                </w:tcPr>
                <w:p w14:paraId="0C881FEE">
                  <w:pPr>
                    <w:pStyle w:val="12"/>
                    <w:spacing w:before="0" w:after="0" w:line="240" w:lineRule="auto"/>
                    <w:ind w:right="0"/>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DW001</w:t>
                  </w:r>
                </w:p>
              </w:tc>
              <w:tc>
                <w:tcPr>
                  <w:tcW w:w="713" w:type="pct"/>
                  <w:vMerge w:val="restart"/>
                  <w:noWrap w:val="0"/>
                  <w:vAlign w:val="center"/>
                </w:tcPr>
                <w:p w14:paraId="6E3DB0DF">
                  <w:pPr>
                    <w:pStyle w:val="12"/>
                    <w:widowControl w:val="0"/>
                    <w:snapToGrid/>
                    <w:spacing w:before="0" w:after="0" w:line="240" w:lineRule="auto"/>
                    <w:ind w:right="0"/>
                    <w:jc w:val="center"/>
                    <w:rPr>
                      <w:rFonts w:hint="eastAsia" w:eastAsia="宋体"/>
                      <w:color w:val="000000" w:themeColor="text1"/>
                      <w:sz w:val="21"/>
                      <w:szCs w:val="21"/>
                      <w:highlight w:val="none"/>
                      <w:lang w:val="en-US" w:eastAsia="zh-CN" w:bidi="ar"/>
                      <w14:textFill>
                        <w14:solidFill>
                          <w14:schemeClr w14:val="tx1"/>
                        </w14:solidFill>
                      </w14:textFill>
                    </w:rPr>
                  </w:pPr>
                  <w:r>
                    <w:rPr>
                      <w:rFonts w:hint="eastAsia" w:eastAsia="宋体"/>
                      <w:color w:val="000000" w:themeColor="text1"/>
                      <w:sz w:val="21"/>
                      <w:szCs w:val="21"/>
                      <w:highlight w:val="none"/>
                      <w:lang w:val="en-US" w:eastAsia="zh-CN" w:bidi="ar"/>
                      <w14:textFill>
                        <w14:solidFill>
                          <w14:schemeClr w14:val="tx1"/>
                        </w14:solidFill>
                      </w14:textFill>
                    </w:rPr>
                    <w:t>116.90</w:t>
                  </w:r>
                  <w:r>
                    <w:rPr>
                      <w:rFonts w:hint="eastAsia"/>
                      <w:color w:val="000000" w:themeColor="text1"/>
                      <w:sz w:val="21"/>
                      <w:szCs w:val="21"/>
                      <w:highlight w:val="none"/>
                      <w:lang w:val="en-US" w:eastAsia="zh-CN" w:bidi="ar"/>
                      <w14:textFill>
                        <w14:solidFill>
                          <w14:schemeClr w14:val="tx1"/>
                        </w14:solidFill>
                      </w14:textFill>
                    </w:rPr>
                    <w:t>2802</w:t>
                  </w:r>
                </w:p>
              </w:tc>
              <w:tc>
                <w:tcPr>
                  <w:tcW w:w="718" w:type="pct"/>
                  <w:vMerge w:val="restart"/>
                  <w:noWrap w:val="0"/>
                  <w:vAlign w:val="center"/>
                </w:tcPr>
                <w:p w14:paraId="7A1038C8">
                  <w:pPr>
                    <w:pStyle w:val="12"/>
                    <w:widowControl w:val="0"/>
                    <w:snapToGrid/>
                    <w:spacing w:before="0" w:after="0" w:line="240" w:lineRule="auto"/>
                    <w:ind w:right="0"/>
                    <w:jc w:val="center"/>
                    <w:rPr>
                      <w:rFonts w:hint="default" w:eastAsia="宋体"/>
                      <w:color w:val="000000" w:themeColor="text1"/>
                      <w:sz w:val="21"/>
                      <w:szCs w:val="21"/>
                      <w:highlight w:val="none"/>
                      <w:lang w:val="en-US" w:eastAsia="zh-CN" w:bidi="ar"/>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32.70</w:t>
                  </w:r>
                  <w:r>
                    <w:rPr>
                      <w:rFonts w:hint="eastAsia"/>
                      <w:color w:val="000000" w:themeColor="text1"/>
                      <w:sz w:val="21"/>
                      <w:szCs w:val="21"/>
                      <w:highlight w:val="none"/>
                      <w:lang w:val="en-US" w:eastAsia="zh-CN" w:bidi="ar"/>
                      <w14:textFill>
                        <w14:solidFill>
                          <w14:schemeClr w14:val="tx1"/>
                        </w14:solidFill>
                      </w14:textFill>
                    </w:rPr>
                    <w:t>1664</w:t>
                  </w:r>
                </w:p>
              </w:tc>
              <w:tc>
                <w:tcPr>
                  <w:tcW w:w="536" w:type="pct"/>
                  <w:vMerge w:val="restart"/>
                  <w:noWrap w:val="0"/>
                  <w:vAlign w:val="center"/>
                </w:tcPr>
                <w:p w14:paraId="00435348">
                  <w:pPr>
                    <w:pStyle w:val="12"/>
                    <w:spacing w:before="0" w:after="0" w:line="240" w:lineRule="auto"/>
                    <w:ind w:right="0"/>
                    <w:jc w:val="center"/>
                    <w:rPr>
                      <w:rFonts w:hint="default" w:eastAsia="宋体"/>
                      <w:color w:val="000000" w:themeColor="text1"/>
                      <w:sz w:val="21"/>
                      <w:szCs w:val="21"/>
                      <w:lang w:val="en-US" w:eastAsia="zh-CN" w:bidi="ar"/>
                      <w14:textFill>
                        <w14:solidFill>
                          <w14:schemeClr w14:val="tx1"/>
                        </w14:solidFill>
                      </w14:textFill>
                    </w:rPr>
                  </w:pPr>
                  <w:r>
                    <w:rPr>
                      <w:rFonts w:hint="eastAsia"/>
                      <w:color w:val="000000" w:themeColor="text1"/>
                      <w:sz w:val="21"/>
                      <w:szCs w:val="21"/>
                      <w:lang w:val="en-US" w:eastAsia="zh-CN" w:bidi="ar"/>
                      <w14:textFill>
                        <w14:solidFill>
                          <w14:schemeClr w14:val="tx1"/>
                        </w14:solidFill>
                      </w14:textFill>
                    </w:rPr>
                    <w:t>612</w:t>
                  </w:r>
                </w:p>
              </w:tc>
              <w:tc>
                <w:tcPr>
                  <w:tcW w:w="391" w:type="pct"/>
                  <w:vMerge w:val="restart"/>
                  <w:noWrap w:val="0"/>
                  <w:vAlign w:val="center"/>
                </w:tcPr>
                <w:p w14:paraId="24027033">
                  <w:pPr>
                    <w:pStyle w:val="12"/>
                    <w:spacing w:before="0" w:after="0" w:line="240" w:lineRule="auto"/>
                    <w:ind w:right="0"/>
                    <w:jc w:val="center"/>
                    <w:rPr>
                      <w:rFonts w:hint="eastAsia" w:eastAsia="宋体"/>
                      <w:color w:val="000000" w:themeColor="text1"/>
                      <w:sz w:val="21"/>
                      <w:szCs w:val="21"/>
                      <w:lang w:eastAsia="zh-CN" w:bidi="ar"/>
                      <w14:textFill>
                        <w14:solidFill>
                          <w14:schemeClr w14:val="tx1"/>
                        </w14:solidFill>
                      </w14:textFill>
                    </w:rPr>
                  </w:pPr>
                  <w:r>
                    <w:rPr>
                      <w:rFonts w:hint="eastAsia"/>
                      <w:color w:val="000000" w:themeColor="text1"/>
                      <w:sz w:val="21"/>
                      <w:szCs w:val="21"/>
                      <w:lang w:eastAsia="zh-CN" w:bidi="ar"/>
                      <w14:textFill>
                        <w14:solidFill>
                          <w14:schemeClr w14:val="tx1"/>
                        </w14:solidFill>
                      </w14:textFill>
                    </w:rPr>
                    <w:t>淮南市潘集污水处理厂</w:t>
                  </w:r>
                </w:p>
              </w:tc>
              <w:tc>
                <w:tcPr>
                  <w:tcW w:w="263" w:type="pct"/>
                  <w:vMerge w:val="restart"/>
                  <w:noWrap w:val="0"/>
                  <w:vAlign w:val="center"/>
                </w:tcPr>
                <w:p w14:paraId="7E73D3FC">
                  <w:pPr>
                    <w:pStyle w:val="12"/>
                    <w:spacing w:before="0" w:after="0" w:line="240" w:lineRule="auto"/>
                    <w:ind w:right="0"/>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间断</w:t>
                  </w:r>
                </w:p>
              </w:tc>
              <w:tc>
                <w:tcPr>
                  <w:tcW w:w="263" w:type="pct"/>
                  <w:vMerge w:val="restart"/>
                  <w:noWrap w:val="0"/>
                  <w:vAlign w:val="center"/>
                </w:tcPr>
                <w:p w14:paraId="4C2A2564">
                  <w:pPr>
                    <w:pStyle w:val="12"/>
                    <w:spacing w:before="0" w:after="0" w:line="240" w:lineRule="auto"/>
                    <w:ind w:right="0"/>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w:t>
                  </w:r>
                </w:p>
              </w:tc>
              <w:tc>
                <w:tcPr>
                  <w:tcW w:w="392" w:type="pct"/>
                  <w:vMerge w:val="restart"/>
                  <w:noWrap w:val="0"/>
                  <w:vAlign w:val="center"/>
                </w:tcPr>
                <w:p w14:paraId="18B67848">
                  <w:pPr>
                    <w:pStyle w:val="12"/>
                    <w:spacing w:before="0" w:after="0" w:line="240" w:lineRule="auto"/>
                    <w:ind w:right="0"/>
                    <w:jc w:val="center"/>
                    <w:rPr>
                      <w:rFonts w:hint="eastAsia" w:eastAsia="宋体"/>
                      <w:color w:val="000000" w:themeColor="text1"/>
                      <w:sz w:val="21"/>
                      <w:szCs w:val="21"/>
                      <w:lang w:eastAsia="zh-CN" w:bidi="ar"/>
                      <w14:textFill>
                        <w14:solidFill>
                          <w14:schemeClr w14:val="tx1"/>
                        </w14:solidFill>
                      </w14:textFill>
                    </w:rPr>
                  </w:pPr>
                  <w:r>
                    <w:rPr>
                      <w:rFonts w:hint="eastAsia"/>
                      <w:color w:val="000000" w:themeColor="text1"/>
                      <w:sz w:val="21"/>
                      <w:szCs w:val="21"/>
                      <w:lang w:eastAsia="zh-CN" w:bidi="ar"/>
                      <w14:textFill>
                        <w14:solidFill>
                          <w14:schemeClr w14:val="tx1"/>
                        </w14:solidFill>
                      </w14:textFill>
                    </w:rPr>
                    <w:t>淮南市潘集污水处理厂</w:t>
                  </w:r>
                </w:p>
              </w:tc>
              <w:tc>
                <w:tcPr>
                  <w:tcW w:w="449" w:type="pct"/>
                  <w:noWrap w:val="0"/>
                  <w:vAlign w:val="center"/>
                </w:tcPr>
                <w:p w14:paraId="5F5B591A">
                  <w:pPr>
                    <w:pStyle w:val="12"/>
                    <w:spacing w:before="0" w:after="0" w:line="240" w:lineRule="auto"/>
                    <w:ind w:right="0"/>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pH</w:t>
                  </w:r>
                </w:p>
              </w:tc>
              <w:tc>
                <w:tcPr>
                  <w:tcW w:w="728" w:type="pct"/>
                  <w:noWrap w:val="0"/>
                  <w:vAlign w:val="center"/>
                </w:tcPr>
                <w:p w14:paraId="4C3F4DB7">
                  <w:pPr>
                    <w:pStyle w:val="12"/>
                    <w:spacing w:before="0" w:after="0" w:line="240" w:lineRule="auto"/>
                    <w:ind w:right="0"/>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6~9（无量纲）</w:t>
                  </w:r>
                </w:p>
              </w:tc>
            </w:tr>
            <w:tr w14:paraId="4FB3C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2" w:type="pct"/>
                  <w:vMerge w:val="continue"/>
                  <w:noWrap w:val="0"/>
                  <w:vAlign w:val="center"/>
                </w:tcPr>
                <w:p w14:paraId="5CFF3422">
                  <w:pPr>
                    <w:pStyle w:val="12"/>
                    <w:spacing w:before="0" w:after="0" w:line="240" w:lineRule="auto"/>
                    <w:ind w:right="0"/>
                    <w:jc w:val="center"/>
                    <w:rPr>
                      <w:color w:val="000000" w:themeColor="text1"/>
                      <w:sz w:val="21"/>
                      <w:szCs w:val="21"/>
                      <w14:textFill>
                        <w14:solidFill>
                          <w14:schemeClr w14:val="tx1"/>
                        </w14:solidFill>
                      </w14:textFill>
                    </w:rPr>
                  </w:pPr>
                </w:p>
              </w:tc>
              <w:tc>
                <w:tcPr>
                  <w:tcW w:w="713" w:type="pct"/>
                  <w:vMerge w:val="continue"/>
                  <w:noWrap w:val="0"/>
                  <w:vAlign w:val="center"/>
                </w:tcPr>
                <w:p w14:paraId="1F566021">
                  <w:pPr>
                    <w:pStyle w:val="12"/>
                    <w:spacing w:before="0" w:after="0" w:line="240" w:lineRule="auto"/>
                    <w:ind w:right="0"/>
                    <w:jc w:val="center"/>
                    <w:rPr>
                      <w:color w:val="000000" w:themeColor="text1"/>
                      <w:sz w:val="21"/>
                      <w:szCs w:val="21"/>
                      <w14:textFill>
                        <w14:solidFill>
                          <w14:schemeClr w14:val="tx1"/>
                        </w14:solidFill>
                      </w14:textFill>
                    </w:rPr>
                  </w:pPr>
                </w:p>
              </w:tc>
              <w:tc>
                <w:tcPr>
                  <w:tcW w:w="718" w:type="pct"/>
                  <w:vMerge w:val="continue"/>
                  <w:noWrap w:val="0"/>
                  <w:vAlign w:val="center"/>
                </w:tcPr>
                <w:p w14:paraId="00BD744A">
                  <w:pPr>
                    <w:pStyle w:val="12"/>
                    <w:spacing w:before="0" w:after="0" w:line="240" w:lineRule="auto"/>
                    <w:ind w:right="0"/>
                    <w:jc w:val="center"/>
                    <w:rPr>
                      <w:color w:val="000000" w:themeColor="text1"/>
                      <w:sz w:val="21"/>
                      <w:szCs w:val="21"/>
                      <w14:textFill>
                        <w14:solidFill>
                          <w14:schemeClr w14:val="tx1"/>
                        </w14:solidFill>
                      </w14:textFill>
                    </w:rPr>
                  </w:pPr>
                </w:p>
              </w:tc>
              <w:tc>
                <w:tcPr>
                  <w:tcW w:w="536" w:type="pct"/>
                  <w:vMerge w:val="continue"/>
                  <w:noWrap w:val="0"/>
                  <w:vAlign w:val="center"/>
                </w:tcPr>
                <w:p w14:paraId="368A6592">
                  <w:pPr>
                    <w:pStyle w:val="12"/>
                    <w:spacing w:before="0" w:after="0" w:line="240" w:lineRule="auto"/>
                    <w:ind w:right="0"/>
                    <w:jc w:val="center"/>
                    <w:rPr>
                      <w:color w:val="000000" w:themeColor="text1"/>
                      <w:sz w:val="21"/>
                      <w:szCs w:val="21"/>
                      <w14:textFill>
                        <w14:solidFill>
                          <w14:schemeClr w14:val="tx1"/>
                        </w14:solidFill>
                      </w14:textFill>
                    </w:rPr>
                  </w:pPr>
                </w:p>
              </w:tc>
              <w:tc>
                <w:tcPr>
                  <w:tcW w:w="391" w:type="pct"/>
                  <w:vMerge w:val="continue"/>
                  <w:noWrap w:val="0"/>
                  <w:vAlign w:val="center"/>
                </w:tcPr>
                <w:p w14:paraId="31557B11">
                  <w:pPr>
                    <w:pStyle w:val="12"/>
                    <w:spacing w:before="0" w:after="0" w:line="240" w:lineRule="auto"/>
                    <w:ind w:right="0"/>
                    <w:jc w:val="center"/>
                    <w:rPr>
                      <w:color w:val="000000" w:themeColor="text1"/>
                      <w:sz w:val="21"/>
                      <w:szCs w:val="21"/>
                      <w14:textFill>
                        <w14:solidFill>
                          <w14:schemeClr w14:val="tx1"/>
                        </w14:solidFill>
                      </w14:textFill>
                    </w:rPr>
                  </w:pPr>
                </w:p>
              </w:tc>
              <w:tc>
                <w:tcPr>
                  <w:tcW w:w="263" w:type="pct"/>
                  <w:vMerge w:val="continue"/>
                  <w:noWrap w:val="0"/>
                  <w:vAlign w:val="center"/>
                </w:tcPr>
                <w:p w14:paraId="4ABB5C91">
                  <w:pPr>
                    <w:pStyle w:val="12"/>
                    <w:spacing w:before="0" w:after="0" w:line="240" w:lineRule="auto"/>
                    <w:ind w:right="0"/>
                    <w:jc w:val="center"/>
                    <w:rPr>
                      <w:color w:val="000000" w:themeColor="text1"/>
                      <w:sz w:val="21"/>
                      <w:szCs w:val="21"/>
                      <w14:textFill>
                        <w14:solidFill>
                          <w14:schemeClr w14:val="tx1"/>
                        </w14:solidFill>
                      </w14:textFill>
                    </w:rPr>
                  </w:pPr>
                </w:p>
              </w:tc>
              <w:tc>
                <w:tcPr>
                  <w:tcW w:w="263" w:type="pct"/>
                  <w:vMerge w:val="continue"/>
                  <w:noWrap w:val="0"/>
                  <w:vAlign w:val="center"/>
                </w:tcPr>
                <w:p w14:paraId="29BFA723">
                  <w:pPr>
                    <w:pStyle w:val="12"/>
                    <w:spacing w:before="0" w:after="0" w:line="240" w:lineRule="auto"/>
                    <w:ind w:right="0"/>
                    <w:jc w:val="center"/>
                    <w:rPr>
                      <w:color w:val="000000" w:themeColor="text1"/>
                      <w:sz w:val="21"/>
                      <w:szCs w:val="21"/>
                      <w14:textFill>
                        <w14:solidFill>
                          <w14:schemeClr w14:val="tx1"/>
                        </w14:solidFill>
                      </w14:textFill>
                    </w:rPr>
                  </w:pPr>
                </w:p>
              </w:tc>
              <w:tc>
                <w:tcPr>
                  <w:tcW w:w="392" w:type="pct"/>
                  <w:vMerge w:val="continue"/>
                  <w:noWrap w:val="0"/>
                  <w:vAlign w:val="center"/>
                </w:tcPr>
                <w:p w14:paraId="73913216">
                  <w:pPr>
                    <w:pStyle w:val="12"/>
                    <w:spacing w:before="0" w:after="0" w:line="240" w:lineRule="auto"/>
                    <w:ind w:right="0"/>
                    <w:jc w:val="center"/>
                    <w:rPr>
                      <w:color w:val="000000" w:themeColor="text1"/>
                      <w:sz w:val="21"/>
                      <w:szCs w:val="21"/>
                      <w14:textFill>
                        <w14:solidFill>
                          <w14:schemeClr w14:val="tx1"/>
                        </w14:solidFill>
                      </w14:textFill>
                    </w:rPr>
                  </w:pPr>
                </w:p>
              </w:tc>
              <w:tc>
                <w:tcPr>
                  <w:tcW w:w="449" w:type="pct"/>
                  <w:noWrap w:val="0"/>
                  <w:vAlign w:val="center"/>
                </w:tcPr>
                <w:p w14:paraId="3A364D1A">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p>
              </w:tc>
              <w:tc>
                <w:tcPr>
                  <w:tcW w:w="728" w:type="pct"/>
                  <w:noWrap w:val="0"/>
                  <w:vAlign w:val="center"/>
                </w:tcPr>
                <w:p w14:paraId="61830FCC">
                  <w:pPr>
                    <w:pStyle w:val="12"/>
                    <w:spacing w:before="0" w:after="0" w:line="240" w:lineRule="auto"/>
                    <w:ind w:right="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50</w:t>
                  </w:r>
                </w:p>
              </w:tc>
            </w:tr>
            <w:tr w14:paraId="722B23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2" w:type="pct"/>
                  <w:vMerge w:val="continue"/>
                  <w:noWrap w:val="0"/>
                  <w:vAlign w:val="center"/>
                </w:tcPr>
                <w:p w14:paraId="271E31EF">
                  <w:pPr>
                    <w:pStyle w:val="12"/>
                    <w:spacing w:before="0" w:after="0" w:line="240" w:lineRule="auto"/>
                    <w:ind w:right="0"/>
                    <w:jc w:val="center"/>
                    <w:rPr>
                      <w:color w:val="000000" w:themeColor="text1"/>
                      <w:sz w:val="21"/>
                      <w:szCs w:val="21"/>
                      <w14:textFill>
                        <w14:solidFill>
                          <w14:schemeClr w14:val="tx1"/>
                        </w14:solidFill>
                      </w14:textFill>
                    </w:rPr>
                  </w:pPr>
                </w:p>
              </w:tc>
              <w:tc>
                <w:tcPr>
                  <w:tcW w:w="713" w:type="pct"/>
                  <w:vMerge w:val="continue"/>
                  <w:noWrap w:val="0"/>
                  <w:vAlign w:val="center"/>
                </w:tcPr>
                <w:p w14:paraId="7870841F">
                  <w:pPr>
                    <w:pStyle w:val="12"/>
                    <w:spacing w:before="0" w:after="0" w:line="240" w:lineRule="auto"/>
                    <w:ind w:right="0"/>
                    <w:jc w:val="center"/>
                    <w:rPr>
                      <w:color w:val="000000" w:themeColor="text1"/>
                      <w:sz w:val="21"/>
                      <w:szCs w:val="21"/>
                      <w14:textFill>
                        <w14:solidFill>
                          <w14:schemeClr w14:val="tx1"/>
                        </w14:solidFill>
                      </w14:textFill>
                    </w:rPr>
                  </w:pPr>
                </w:p>
              </w:tc>
              <w:tc>
                <w:tcPr>
                  <w:tcW w:w="718" w:type="pct"/>
                  <w:vMerge w:val="continue"/>
                  <w:noWrap w:val="0"/>
                  <w:vAlign w:val="center"/>
                </w:tcPr>
                <w:p w14:paraId="4A036A73">
                  <w:pPr>
                    <w:pStyle w:val="12"/>
                    <w:spacing w:before="0" w:after="0" w:line="240" w:lineRule="auto"/>
                    <w:ind w:right="0"/>
                    <w:jc w:val="center"/>
                    <w:rPr>
                      <w:color w:val="000000" w:themeColor="text1"/>
                      <w:sz w:val="21"/>
                      <w:szCs w:val="21"/>
                      <w14:textFill>
                        <w14:solidFill>
                          <w14:schemeClr w14:val="tx1"/>
                        </w14:solidFill>
                      </w14:textFill>
                    </w:rPr>
                  </w:pPr>
                </w:p>
              </w:tc>
              <w:tc>
                <w:tcPr>
                  <w:tcW w:w="536" w:type="pct"/>
                  <w:vMerge w:val="continue"/>
                  <w:noWrap w:val="0"/>
                  <w:vAlign w:val="center"/>
                </w:tcPr>
                <w:p w14:paraId="693BC08C">
                  <w:pPr>
                    <w:pStyle w:val="12"/>
                    <w:spacing w:before="0" w:after="0" w:line="240" w:lineRule="auto"/>
                    <w:ind w:right="0"/>
                    <w:jc w:val="center"/>
                    <w:rPr>
                      <w:color w:val="000000" w:themeColor="text1"/>
                      <w:sz w:val="21"/>
                      <w:szCs w:val="21"/>
                      <w14:textFill>
                        <w14:solidFill>
                          <w14:schemeClr w14:val="tx1"/>
                        </w14:solidFill>
                      </w14:textFill>
                    </w:rPr>
                  </w:pPr>
                </w:p>
              </w:tc>
              <w:tc>
                <w:tcPr>
                  <w:tcW w:w="391" w:type="pct"/>
                  <w:vMerge w:val="continue"/>
                  <w:noWrap w:val="0"/>
                  <w:vAlign w:val="center"/>
                </w:tcPr>
                <w:p w14:paraId="57019954">
                  <w:pPr>
                    <w:pStyle w:val="12"/>
                    <w:spacing w:before="0" w:after="0" w:line="240" w:lineRule="auto"/>
                    <w:ind w:right="0"/>
                    <w:jc w:val="center"/>
                    <w:rPr>
                      <w:color w:val="000000" w:themeColor="text1"/>
                      <w:sz w:val="21"/>
                      <w:szCs w:val="21"/>
                      <w14:textFill>
                        <w14:solidFill>
                          <w14:schemeClr w14:val="tx1"/>
                        </w14:solidFill>
                      </w14:textFill>
                    </w:rPr>
                  </w:pPr>
                </w:p>
              </w:tc>
              <w:tc>
                <w:tcPr>
                  <w:tcW w:w="263" w:type="pct"/>
                  <w:vMerge w:val="continue"/>
                  <w:noWrap w:val="0"/>
                  <w:vAlign w:val="center"/>
                </w:tcPr>
                <w:p w14:paraId="3FB0546C">
                  <w:pPr>
                    <w:pStyle w:val="12"/>
                    <w:spacing w:before="0" w:after="0" w:line="240" w:lineRule="auto"/>
                    <w:ind w:right="0"/>
                    <w:jc w:val="center"/>
                    <w:rPr>
                      <w:color w:val="000000" w:themeColor="text1"/>
                      <w:sz w:val="21"/>
                      <w:szCs w:val="21"/>
                      <w14:textFill>
                        <w14:solidFill>
                          <w14:schemeClr w14:val="tx1"/>
                        </w14:solidFill>
                      </w14:textFill>
                    </w:rPr>
                  </w:pPr>
                </w:p>
              </w:tc>
              <w:tc>
                <w:tcPr>
                  <w:tcW w:w="263" w:type="pct"/>
                  <w:vMerge w:val="continue"/>
                  <w:noWrap w:val="0"/>
                  <w:vAlign w:val="center"/>
                </w:tcPr>
                <w:p w14:paraId="5E77DC1D">
                  <w:pPr>
                    <w:pStyle w:val="12"/>
                    <w:spacing w:before="0" w:after="0" w:line="240" w:lineRule="auto"/>
                    <w:ind w:right="0"/>
                    <w:jc w:val="center"/>
                    <w:rPr>
                      <w:color w:val="000000" w:themeColor="text1"/>
                      <w:sz w:val="21"/>
                      <w:szCs w:val="21"/>
                      <w14:textFill>
                        <w14:solidFill>
                          <w14:schemeClr w14:val="tx1"/>
                        </w14:solidFill>
                      </w14:textFill>
                    </w:rPr>
                  </w:pPr>
                </w:p>
              </w:tc>
              <w:tc>
                <w:tcPr>
                  <w:tcW w:w="392" w:type="pct"/>
                  <w:vMerge w:val="continue"/>
                  <w:noWrap w:val="0"/>
                  <w:vAlign w:val="center"/>
                </w:tcPr>
                <w:p w14:paraId="5721BA1A">
                  <w:pPr>
                    <w:pStyle w:val="12"/>
                    <w:spacing w:before="0" w:after="0" w:line="240" w:lineRule="auto"/>
                    <w:ind w:right="0"/>
                    <w:jc w:val="center"/>
                    <w:rPr>
                      <w:color w:val="000000" w:themeColor="text1"/>
                      <w:sz w:val="21"/>
                      <w:szCs w:val="21"/>
                      <w14:textFill>
                        <w14:solidFill>
                          <w14:schemeClr w14:val="tx1"/>
                        </w14:solidFill>
                      </w14:textFill>
                    </w:rPr>
                  </w:pPr>
                </w:p>
              </w:tc>
              <w:tc>
                <w:tcPr>
                  <w:tcW w:w="449" w:type="pct"/>
                  <w:noWrap w:val="0"/>
                  <w:vAlign w:val="center"/>
                </w:tcPr>
                <w:p w14:paraId="40AF5AA3">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BOD</w:t>
                  </w:r>
                  <w:r>
                    <w:rPr>
                      <w:color w:val="000000" w:themeColor="text1"/>
                      <w:sz w:val="21"/>
                      <w:szCs w:val="21"/>
                      <w:vertAlign w:val="subscript"/>
                      <w:lang w:bidi="ar"/>
                      <w14:textFill>
                        <w14:solidFill>
                          <w14:schemeClr w14:val="tx1"/>
                        </w14:solidFill>
                      </w14:textFill>
                    </w:rPr>
                    <w:t>5</w:t>
                  </w:r>
                </w:p>
              </w:tc>
              <w:tc>
                <w:tcPr>
                  <w:tcW w:w="728" w:type="pct"/>
                  <w:noWrap w:val="0"/>
                  <w:vAlign w:val="center"/>
                </w:tcPr>
                <w:p w14:paraId="76A48A94">
                  <w:pPr>
                    <w:pStyle w:val="12"/>
                    <w:spacing w:before="0" w:after="0" w:line="240" w:lineRule="auto"/>
                    <w:ind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r>
            <w:tr w14:paraId="0D1BC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2" w:type="pct"/>
                  <w:vMerge w:val="continue"/>
                  <w:noWrap w:val="0"/>
                  <w:vAlign w:val="center"/>
                </w:tcPr>
                <w:p w14:paraId="374A1AC3">
                  <w:pPr>
                    <w:pStyle w:val="12"/>
                    <w:spacing w:before="0" w:after="0" w:line="240" w:lineRule="auto"/>
                    <w:ind w:right="0"/>
                    <w:jc w:val="center"/>
                    <w:rPr>
                      <w:color w:val="000000" w:themeColor="text1"/>
                      <w:sz w:val="21"/>
                      <w:szCs w:val="21"/>
                      <w14:textFill>
                        <w14:solidFill>
                          <w14:schemeClr w14:val="tx1"/>
                        </w14:solidFill>
                      </w14:textFill>
                    </w:rPr>
                  </w:pPr>
                </w:p>
              </w:tc>
              <w:tc>
                <w:tcPr>
                  <w:tcW w:w="713" w:type="pct"/>
                  <w:vMerge w:val="continue"/>
                  <w:noWrap w:val="0"/>
                  <w:vAlign w:val="center"/>
                </w:tcPr>
                <w:p w14:paraId="69B070EC">
                  <w:pPr>
                    <w:pStyle w:val="12"/>
                    <w:spacing w:before="0" w:after="0" w:line="240" w:lineRule="auto"/>
                    <w:ind w:right="0"/>
                    <w:jc w:val="center"/>
                    <w:rPr>
                      <w:color w:val="000000" w:themeColor="text1"/>
                      <w:sz w:val="21"/>
                      <w:szCs w:val="21"/>
                      <w14:textFill>
                        <w14:solidFill>
                          <w14:schemeClr w14:val="tx1"/>
                        </w14:solidFill>
                      </w14:textFill>
                    </w:rPr>
                  </w:pPr>
                </w:p>
              </w:tc>
              <w:tc>
                <w:tcPr>
                  <w:tcW w:w="718" w:type="pct"/>
                  <w:vMerge w:val="continue"/>
                  <w:noWrap w:val="0"/>
                  <w:vAlign w:val="center"/>
                </w:tcPr>
                <w:p w14:paraId="319DD036">
                  <w:pPr>
                    <w:pStyle w:val="12"/>
                    <w:spacing w:before="0" w:after="0" w:line="240" w:lineRule="auto"/>
                    <w:ind w:right="0"/>
                    <w:jc w:val="center"/>
                    <w:rPr>
                      <w:color w:val="000000" w:themeColor="text1"/>
                      <w:sz w:val="21"/>
                      <w:szCs w:val="21"/>
                      <w14:textFill>
                        <w14:solidFill>
                          <w14:schemeClr w14:val="tx1"/>
                        </w14:solidFill>
                      </w14:textFill>
                    </w:rPr>
                  </w:pPr>
                </w:p>
              </w:tc>
              <w:tc>
                <w:tcPr>
                  <w:tcW w:w="536" w:type="pct"/>
                  <w:vMerge w:val="continue"/>
                  <w:noWrap w:val="0"/>
                  <w:vAlign w:val="center"/>
                </w:tcPr>
                <w:p w14:paraId="4F8920A9">
                  <w:pPr>
                    <w:pStyle w:val="12"/>
                    <w:spacing w:before="0" w:after="0" w:line="240" w:lineRule="auto"/>
                    <w:ind w:right="0"/>
                    <w:jc w:val="center"/>
                    <w:rPr>
                      <w:color w:val="000000" w:themeColor="text1"/>
                      <w:sz w:val="21"/>
                      <w:szCs w:val="21"/>
                      <w14:textFill>
                        <w14:solidFill>
                          <w14:schemeClr w14:val="tx1"/>
                        </w14:solidFill>
                      </w14:textFill>
                    </w:rPr>
                  </w:pPr>
                </w:p>
              </w:tc>
              <w:tc>
                <w:tcPr>
                  <w:tcW w:w="391" w:type="pct"/>
                  <w:vMerge w:val="continue"/>
                  <w:noWrap w:val="0"/>
                  <w:vAlign w:val="center"/>
                </w:tcPr>
                <w:p w14:paraId="70DC70B0">
                  <w:pPr>
                    <w:pStyle w:val="12"/>
                    <w:spacing w:before="0" w:after="0" w:line="240" w:lineRule="auto"/>
                    <w:ind w:right="0"/>
                    <w:jc w:val="center"/>
                    <w:rPr>
                      <w:color w:val="000000" w:themeColor="text1"/>
                      <w:sz w:val="21"/>
                      <w:szCs w:val="21"/>
                      <w14:textFill>
                        <w14:solidFill>
                          <w14:schemeClr w14:val="tx1"/>
                        </w14:solidFill>
                      </w14:textFill>
                    </w:rPr>
                  </w:pPr>
                </w:p>
              </w:tc>
              <w:tc>
                <w:tcPr>
                  <w:tcW w:w="263" w:type="pct"/>
                  <w:vMerge w:val="continue"/>
                  <w:noWrap w:val="0"/>
                  <w:vAlign w:val="center"/>
                </w:tcPr>
                <w:p w14:paraId="596C3363">
                  <w:pPr>
                    <w:pStyle w:val="12"/>
                    <w:spacing w:before="0" w:after="0" w:line="240" w:lineRule="auto"/>
                    <w:ind w:right="0"/>
                    <w:jc w:val="center"/>
                    <w:rPr>
                      <w:color w:val="000000" w:themeColor="text1"/>
                      <w:sz w:val="21"/>
                      <w:szCs w:val="21"/>
                      <w14:textFill>
                        <w14:solidFill>
                          <w14:schemeClr w14:val="tx1"/>
                        </w14:solidFill>
                      </w14:textFill>
                    </w:rPr>
                  </w:pPr>
                </w:p>
              </w:tc>
              <w:tc>
                <w:tcPr>
                  <w:tcW w:w="263" w:type="pct"/>
                  <w:vMerge w:val="continue"/>
                  <w:noWrap w:val="0"/>
                  <w:vAlign w:val="center"/>
                </w:tcPr>
                <w:p w14:paraId="0F3D06E9">
                  <w:pPr>
                    <w:pStyle w:val="12"/>
                    <w:spacing w:before="0" w:after="0" w:line="240" w:lineRule="auto"/>
                    <w:ind w:right="0"/>
                    <w:jc w:val="center"/>
                    <w:rPr>
                      <w:color w:val="000000" w:themeColor="text1"/>
                      <w:sz w:val="21"/>
                      <w:szCs w:val="21"/>
                      <w14:textFill>
                        <w14:solidFill>
                          <w14:schemeClr w14:val="tx1"/>
                        </w14:solidFill>
                      </w14:textFill>
                    </w:rPr>
                  </w:pPr>
                </w:p>
              </w:tc>
              <w:tc>
                <w:tcPr>
                  <w:tcW w:w="392" w:type="pct"/>
                  <w:vMerge w:val="continue"/>
                  <w:noWrap w:val="0"/>
                  <w:vAlign w:val="center"/>
                </w:tcPr>
                <w:p w14:paraId="642F5AE5">
                  <w:pPr>
                    <w:pStyle w:val="12"/>
                    <w:spacing w:before="0" w:after="0" w:line="240" w:lineRule="auto"/>
                    <w:ind w:right="0"/>
                    <w:jc w:val="center"/>
                    <w:rPr>
                      <w:color w:val="000000" w:themeColor="text1"/>
                      <w:sz w:val="21"/>
                      <w:szCs w:val="21"/>
                      <w14:textFill>
                        <w14:solidFill>
                          <w14:schemeClr w14:val="tx1"/>
                        </w14:solidFill>
                      </w14:textFill>
                    </w:rPr>
                  </w:pPr>
                </w:p>
              </w:tc>
              <w:tc>
                <w:tcPr>
                  <w:tcW w:w="449" w:type="pct"/>
                  <w:noWrap w:val="0"/>
                  <w:vAlign w:val="center"/>
                </w:tcPr>
                <w:p w14:paraId="4A53EA96">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SS</w:t>
                  </w:r>
                </w:p>
              </w:tc>
              <w:tc>
                <w:tcPr>
                  <w:tcW w:w="728" w:type="pct"/>
                  <w:noWrap w:val="0"/>
                  <w:vAlign w:val="center"/>
                </w:tcPr>
                <w:p w14:paraId="77798AD3">
                  <w:pPr>
                    <w:pStyle w:val="12"/>
                    <w:spacing w:before="0" w:after="0" w:line="240" w:lineRule="auto"/>
                    <w:ind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r>
            <w:tr w14:paraId="037ED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2" w:type="pct"/>
                  <w:vMerge w:val="continue"/>
                  <w:noWrap w:val="0"/>
                  <w:vAlign w:val="center"/>
                </w:tcPr>
                <w:p w14:paraId="2DCBA305">
                  <w:pPr>
                    <w:pStyle w:val="12"/>
                    <w:spacing w:before="0" w:after="0" w:line="240" w:lineRule="auto"/>
                    <w:ind w:right="0"/>
                    <w:jc w:val="center"/>
                    <w:rPr>
                      <w:color w:val="000000" w:themeColor="text1"/>
                      <w:sz w:val="21"/>
                      <w:szCs w:val="21"/>
                      <w14:textFill>
                        <w14:solidFill>
                          <w14:schemeClr w14:val="tx1"/>
                        </w14:solidFill>
                      </w14:textFill>
                    </w:rPr>
                  </w:pPr>
                </w:p>
              </w:tc>
              <w:tc>
                <w:tcPr>
                  <w:tcW w:w="713" w:type="pct"/>
                  <w:vMerge w:val="continue"/>
                  <w:noWrap w:val="0"/>
                  <w:vAlign w:val="center"/>
                </w:tcPr>
                <w:p w14:paraId="5C57CA34">
                  <w:pPr>
                    <w:pStyle w:val="12"/>
                    <w:spacing w:before="0" w:after="0" w:line="240" w:lineRule="auto"/>
                    <w:ind w:right="0"/>
                    <w:jc w:val="center"/>
                    <w:rPr>
                      <w:color w:val="000000" w:themeColor="text1"/>
                      <w:sz w:val="21"/>
                      <w:szCs w:val="21"/>
                      <w14:textFill>
                        <w14:solidFill>
                          <w14:schemeClr w14:val="tx1"/>
                        </w14:solidFill>
                      </w14:textFill>
                    </w:rPr>
                  </w:pPr>
                </w:p>
              </w:tc>
              <w:tc>
                <w:tcPr>
                  <w:tcW w:w="718" w:type="pct"/>
                  <w:vMerge w:val="continue"/>
                  <w:noWrap w:val="0"/>
                  <w:vAlign w:val="center"/>
                </w:tcPr>
                <w:p w14:paraId="093E327C">
                  <w:pPr>
                    <w:pStyle w:val="12"/>
                    <w:spacing w:before="0" w:after="0" w:line="240" w:lineRule="auto"/>
                    <w:ind w:right="0"/>
                    <w:jc w:val="center"/>
                    <w:rPr>
                      <w:color w:val="000000" w:themeColor="text1"/>
                      <w:sz w:val="21"/>
                      <w:szCs w:val="21"/>
                      <w14:textFill>
                        <w14:solidFill>
                          <w14:schemeClr w14:val="tx1"/>
                        </w14:solidFill>
                      </w14:textFill>
                    </w:rPr>
                  </w:pPr>
                </w:p>
              </w:tc>
              <w:tc>
                <w:tcPr>
                  <w:tcW w:w="536" w:type="pct"/>
                  <w:vMerge w:val="continue"/>
                  <w:noWrap w:val="0"/>
                  <w:vAlign w:val="center"/>
                </w:tcPr>
                <w:p w14:paraId="52AC1634">
                  <w:pPr>
                    <w:pStyle w:val="12"/>
                    <w:spacing w:before="0" w:after="0" w:line="240" w:lineRule="auto"/>
                    <w:ind w:right="0"/>
                    <w:jc w:val="center"/>
                    <w:rPr>
                      <w:color w:val="000000" w:themeColor="text1"/>
                      <w:sz w:val="21"/>
                      <w:szCs w:val="21"/>
                      <w14:textFill>
                        <w14:solidFill>
                          <w14:schemeClr w14:val="tx1"/>
                        </w14:solidFill>
                      </w14:textFill>
                    </w:rPr>
                  </w:pPr>
                </w:p>
              </w:tc>
              <w:tc>
                <w:tcPr>
                  <w:tcW w:w="391" w:type="pct"/>
                  <w:vMerge w:val="continue"/>
                  <w:noWrap w:val="0"/>
                  <w:vAlign w:val="center"/>
                </w:tcPr>
                <w:p w14:paraId="38343788">
                  <w:pPr>
                    <w:pStyle w:val="12"/>
                    <w:spacing w:before="0" w:after="0" w:line="240" w:lineRule="auto"/>
                    <w:ind w:right="0"/>
                    <w:jc w:val="center"/>
                    <w:rPr>
                      <w:color w:val="000000" w:themeColor="text1"/>
                      <w:sz w:val="21"/>
                      <w:szCs w:val="21"/>
                      <w14:textFill>
                        <w14:solidFill>
                          <w14:schemeClr w14:val="tx1"/>
                        </w14:solidFill>
                      </w14:textFill>
                    </w:rPr>
                  </w:pPr>
                </w:p>
              </w:tc>
              <w:tc>
                <w:tcPr>
                  <w:tcW w:w="263" w:type="pct"/>
                  <w:vMerge w:val="continue"/>
                  <w:noWrap w:val="0"/>
                  <w:vAlign w:val="center"/>
                </w:tcPr>
                <w:p w14:paraId="6A2DD7B4">
                  <w:pPr>
                    <w:pStyle w:val="12"/>
                    <w:spacing w:before="0" w:after="0" w:line="240" w:lineRule="auto"/>
                    <w:ind w:right="0"/>
                    <w:jc w:val="center"/>
                    <w:rPr>
                      <w:color w:val="000000" w:themeColor="text1"/>
                      <w:sz w:val="21"/>
                      <w:szCs w:val="21"/>
                      <w14:textFill>
                        <w14:solidFill>
                          <w14:schemeClr w14:val="tx1"/>
                        </w14:solidFill>
                      </w14:textFill>
                    </w:rPr>
                  </w:pPr>
                </w:p>
              </w:tc>
              <w:tc>
                <w:tcPr>
                  <w:tcW w:w="263" w:type="pct"/>
                  <w:vMerge w:val="continue"/>
                  <w:noWrap w:val="0"/>
                  <w:vAlign w:val="center"/>
                </w:tcPr>
                <w:p w14:paraId="7B104CD6">
                  <w:pPr>
                    <w:pStyle w:val="12"/>
                    <w:spacing w:before="0" w:after="0" w:line="240" w:lineRule="auto"/>
                    <w:ind w:right="0"/>
                    <w:jc w:val="center"/>
                    <w:rPr>
                      <w:color w:val="000000" w:themeColor="text1"/>
                      <w:sz w:val="21"/>
                      <w:szCs w:val="21"/>
                      <w14:textFill>
                        <w14:solidFill>
                          <w14:schemeClr w14:val="tx1"/>
                        </w14:solidFill>
                      </w14:textFill>
                    </w:rPr>
                  </w:pPr>
                </w:p>
              </w:tc>
              <w:tc>
                <w:tcPr>
                  <w:tcW w:w="392" w:type="pct"/>
                  <w:vMerge w:val="continue"/>
                  <w:noWrap w:val="0"/>
                  <w:vAlign w:val="center"/>
                </w:tcPr>
                <w:p w14:paraId="6F6E40B0">
                  <w:pPr>
                    <w:pStyle w:val="12"/>
                    <w:spacing w:before="0" w:after="0" w:line="240" w:lineRule="auto"/>
                    <w:ind w:right="0"/>
                    <w:jc w:val="center"/>
                    <w:rPr>
                      <w:color w:val="000000" w:themeColor="text1"/>
                      <w:sz w:val="21"/>
                      <w:szCs w:val="21"/>
                      <w14:textFill>
                        <w14:solidFill>
                          <w14:schemeClr w14:val="tx1"/>
                        </w14:solidFill>
                      </w14:textFill>
                    </w:rPr>
                  </w:pPr>
                </w:p>
              </w:tc>
              <w:tc>
                <w:tcPr>
                  <w:tcW w:w="449" w:type="pct"/>
                  <w:noWrap w:val="0"/>
                  <w:vAlign w:val="center"/>
                </w:tcPr>
                <w:p w14:paraId="54A6CAEB">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氨氮</w:t>
                  </w:r>
                </w:p>
              </w:tc>
              <w:tc>
                <w:tcPr>
                  <w:tcW w:w="728" w:type="pct"/>
                  <w:noWrap w:val="0"/>
                  <w:vAlign w:val="center"/>
                </w:tcPr>
                <w:p w14:paraId="0AE717D8">
                  <w:pPr>
                    <w:pStyle w:val="12"/>
                    <w:spacing w:before="0" w:after="0" w:line="240" w:lineRule="auto"/>
                    <w:ind w:right="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5.0</w:t>
                  </w:r>
                </w:p>
              </w:tc>
            </w:tr>
          </w:tbl>
          <w:p w14:paraId="23729768">
            <w:pPr>
              <w:pStyle w:val="62"/>
              <w:ind w:firstLineChars="200"/>
              <w:jc w:val="both"/>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（3）废水监测要求</w:t>
            </w:r>
          </w:p>
          <w:p w14:paraId="03C80E0F">
            <w:pPr>
              <w:spacing w:line="360" w:lineRule="auto"/>
              <w:ind w:firstLine="480" w:firstLineChars="200"/>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根据《固定污染源排污许可分类管理名录（2019年版）》判定本项目行业类别为登记管理，无需按照排污许可证要求设置自行监测方案；</w:t>
            </w:r>
            <w:r>
              <w:rPr>
                <w:rFonts w:hint="eastAsia" w:ascii="Times New Roman" w:hAnsi="Times New Roman" w:eastAsia="宋体" w:cs="Times New Roman"/>
                <w:b w:val="0"/>
                <w:bCs/>
                <w:color w:val="auto"/>
                <w:sz w:val="24"/>
                <w:highlight w:val="none"/>
                <w:lang w:val="en-US" w:eastAsia="zh-CN"/>
              </w:rPr>
              <w:t>鉴于企业运营期有污染物外排，建议企业运营期开展污染物排放监测，其监测内容如下表所示</w:t>
            </w:r>
            <w:r>
              <w:rPr>
                <w:rFonts w:hint="eastAsia" w:ascii="Times New Roman" w:hAnsi="Times New Roman" w:eastAsia="宋体"/>
                <w:color w:val="auto"/>
                <w:sz w:val="24"/>
                <w:szCs w:val="24"/>
                <w:lang w:val="en-US" w:eastAsia="zh-CN"/>
              </w:rPr>
              <w:t>：</w:t>
            </w:r>
          </w:p>
          <w:p w14:paraId="577E5592">
            <w:pPr>
              <w:pStyle w:val="62"/>
              <w:spacing w:line="240" w:lineRule="auto"/>
              <w:ind w:firstLine="0"/>
              <w:rPr>
                <w:color w:val="000000" w:themeColor="text1"/>
                <w:szCs w:val="21"/>
                <w14:textFill>
                  <w14:solidFill>
                    <w14:schemeClr w14:val="tx1"/>
                  </w14:solidFill>
                </w14:textFill>
              </w:rPr>
            </w:pPr>
            <w:r>
              <w:rPr>
                <w:color w:val="000000" w:themeColor="text1"/>
                <w:szCs w:val="21"/>
                <w14:textFill>
                  <w14:solidFill>
                    <w14:schemeClr w14:val="tx1"/>
                  </w14:solidFill>
                </w14:textFill>
              </w:rPr>
              <w:t>表4-</w:t>
            </w:r>
            <w:r>
              <w:rPr>
                <w:rFonts w:hint="eastAsia"/>
                <w:color w:val="000000" w:themeColor="text1"/>
                <w:szCs w:val="21"/>
                <w:lang w:val="en-US" w:eastAsia="zh-CN"/>
                <w14:textFill>
                  <w14:solidFill>
                    <w14:schemeClr w14:val="tx1"/>
                  </w14:solidFill>
                </w14:textFill>
              </w:rPr>
              <w:t xml:space="preserve">10 </w:t>
            </w:r>
            <w:r>
              <w:rPr>
                <w:color w:val="000000" w:themeColor="text1"/>
                <w:szCs w:val="21"/>
                <w14:textFill>
                  <w14:solidFill>
                    <w14:schemeClr w14:val="tx1"/>
                  </w14:solidFill>
                </w14:textFill>
              </w:rPr>
              <w:t xml:space="preserve"> 项目废水污染源环境监测计划一览表</w:t>
            </w:r>
          </w:p>
          <w:tbl>
            <w:tblPr>
              <w:tblStyle w:val="2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041"/>
              <w:gridCol w:w="2984"/>
              <w:gridCol w:w="1089"/>
              <w:gridCol w:w="2276"/>
            </w:tblGrid>
            <w:tr w14:paraId="2F5624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5" w:type="pct"/>
                  <w:noWrap w:val="0"/>
                  <w:vAlign w:val="center"/>
                </w:tcPr>
                <w:p w14:paraId="37A0B2D5">
                  <w:pPr>
                    <w:pStyle w:val="62"/>
                    <w:widowControl/>
                    <w:autoSpaceDE/>
                    <w:autoSpaceDN/>
                    <w:spacing w:line="240" w:lineRule="auto"/>
                    <w:ind w:firstLine="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类别</w:t>
                  </w:r>
                </w:p>
              </w:tc>
              <w:tc>
                <w:tcPr>
                  <w:tcW w:w="641" w:type="pct"/>
                  <w:noWrap w:val="0"/>
                  <w:vAlign w:val="center"/>
                </w:tcPr>
                <w:p w14:paraId="092EC6ED">
                  <w:pPr>
                    <w:widowControl/>
                    <w:spacing w:line="240" w:lineRule="auto"/>
                    <w:jc w:val="center"/>
                    <w:rPr>
                      <w:rFonts w:hint="eastAsia"/>
                      <w:b/>
                      <w:color w:val="000000" w:themeColor="text1"/>
                      <w:sz w:val="21"/>
                      <w:szCs w:val="21"/>
                      <w14:textFill>
                        <w14:solidFill>
                          <w14:schemeClr w14:val="tx1"/>
                        </w14:solidFill>
                      </w14:textFill>
                    </w:rPr>
                  </w:pPr>
                  <w:r>
                    <w:rPr>
                      <w:rFonts w:hint="eastAsia" w:ascii="宋体" w:hAnsi="宋体" w:cs="宋体"/>
                      <w:b/>
                      <w:color w:val="000000" w:themeColor="text1"/>
                      <w:kern w:val="0"/>
                      <w:sz w:val="21"/>
                      <w:szCs w:val="21"/>
                      <w:lang w:bidi="ar"/>
                      <w14:textFill>
                        <w14:solidFill>
                          <w14:schemeClr w14:val="tx1"/>
                        </w14:solidFill>
                      </w14:textFill>
                    </w:rPr>
                    <w:t>监测点位</w:t>
                  </w:r>
                </w:p>
              </w:tc>
              <w:tc>
                <w:tcPr>
                  <w:tcW w:w="1838" w:type="pct"/>
                  <w:noWrap w:val="0"/>
                  <w:vAlign w:val="center"/>
                </w:tcPr>
                <w:p w14:paraId="744AFD27">
                  <w:pPr>
                    <w:pStyle w:val="62"/>
                    <w:widowControl/>
                    <w:autoSpaceDE/>
                    <w:autoSpaceDN/>
                    <w:spacing w:line="240" w:lineRule="auto"/>
                    <w:ind w:firstLine="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监测指标</w:t>
                  </w:r>
                </w:p>
              </w:tc>
              <w:tc>
                <w:tcPr>
                  <w:tcW w:w="671" w:type="pct"/>
                  <w:noWrap w:val="0"/>
                  <w:vAlign w:val="center"/>
                </w:tcPr>
                <w:p w14:paraId="237420EF">
                  <w:pPr>
                    <w:pStyle w:val="62"/>
                    <w:widowControl/>
                    <w:autoSpaceDE/>
                    <w:autoSpaceDN/>
                    <w:spacing w:line="240" w:lineRule="auto"/>
                    <w:ind w:firstLine="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监测频次</w:t>
                  </w:r>
                </w:p>
              </w:tc>
              <w:tc>
                <w:tcPr>
                  <w:tcW w:w="1402" w:type="pct"/>
                  <w:noWrap w:val="0"/>
                  <w:vAlign w:val="center"/>
                </w:tcPr>
                <w:p w14:paraId="7D1F22ED">
                  <w:pPr>
                    <w:pStyle w:val="62"/>
                    <w:widowControl/>
                    <w:autoSpaceDE/>
                    <w:autoSpaceDN/>
                    <w:spacing w:line="240" w:lineRule="auto"/>
                    <w:ind w:firstLine="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执行标准</w:t>
                  </w:r>
                </w:p>
              </w:tc>
            </w:tr>
            <w:tr w14:paraId="13E241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5" w:type="pct"/>
                  <w:noWrap w:val="0"/>
                  <w:vAlign w:val="center"/>
                </w:tcPr>
                <w:p w14:paraId="067A39F2">
                  <w:pPr>
                    <w:pStyle w:val="62"/>
                    <w:widowControl/>
                    <w:autoSpaceDE/>
                    <w:autoSpaceDN/>
                    <w:spacing w:line="240" w:lineRule="auto"/>
                    <w:ind w:firstLine="0"/>
                    <w:rPr>
                      <w:rFonts w:hint="eastAsia"/>
                      <w:b w:val="0"/>
                      <w:bCs/>
                      <w:color w:val="000000" w:themeColor="text1"/>
                      <w:szCs w:val="21"/>
                      <w14:textFill>
                        <w14:solidFill>
                          <w14:schemeClr w14:val="tx1"/>
                        </w14:solidFill>
                      </w14:textFill>
                    </w:rPr>
                  </w:pPr>
                  <w:r>
                    <w:rPr>
                      <w:rFonts w:hint="eastAsia"/>
                      <w:b w:val="0"/>
                      <w:bCs/>
                      <w:color w:val="000000" w:themeColor="text1"/>
                      <w:szCs w:val="21"/>
                      <w14:textFill>
                        <w14:solidFill>
                          <w14:schemeClr w14:val="tx1"/>
                        </w14:solidFill>
                      </w14:textFill>
                    </w:rPr>
                    <w:t>废水</w:t>
                  </w:r>
                </w:p>
              </w:tc>
              <w:tc>
                <w:tcPr>
                  <w:tcW w:w="641" w:type="pct"/>
                  <w:noWrap w:val="0"/>
                  <w:vAlign w:val="center"/>
                </w:tcPr>
                <w:p w14:paraId="01EC7203">
                  <w:pPr>
                    <w:widowControl/>
                    <w:spacing w:line="240" w:lineRule="auto"/>
                    <w:jc w:val="center"/>
                    <w:rPr>
                      <w:rFonts w:hint="eastAsia" w:ascii="宋体" w:hAnsi="宋体" w:cs="宋体"/>
                      <w:bCs/>
                      <w:color w:val="000000" w:themeColor="text1"/>
                      <w:kern w:val="0"/>
                      <w:sz w:val="21"/>
                      <w:szCs w:val="21"/>
                      <w:lang w:bidi="ar"/>
                      <w14:textFill>
                        <w14:solidFill>
                          <w14:schemeClr w14:val="tx1"/>
                        </w14:solidFill>
                      </w14:textFill>
                    </w:rPr>
                  </w:pPr>
                  <w:r>
                    <w:rPr>
                      <w:rFonts w:hint="eastAsia"/>
                      <w:bCs/>
                      <w:color w:val="000000" w:themeColor="text1"/>
                      <w:sz w:val="21"/>
                      <w:szCs w:val="21"/>
                      <w14:textFill>
                        <w14:solidFill>
                          <w14:schemeClr w14:val="tx1"/>
                        </w14:solidFill>
                      </w14:textFill>
                    </w:rPr>
                    <w:t>DW001</w:t>
                  </w:r>
                </w:p>
              </w:tc>
              <w:tc>
                <w:tcPr>
                  <w:tcW w:w="1838" w:type="pct"/>
                  <w:noWrap w:val="0"/>
                  <w:vAlign w:val="center"/>
                </w:tcPr>
                <w:p w14:paraId="102C9658">
                  <w:pPr>
                    <w:widowControl/>
                    <w:spacing w:line="240" w:lineRule="auto"/>
                    <w:jc w:val="center"/>
                    <w:rPr>
                      <w:bCs/>
                      <w:color w:val="000000" w:themeColor="text1"/>
                      <w:szCs w:val="21"/>
                      <w14:textFill>
                        <w14:solidFill>
                          <w14:schemeClr w14:val="tx1"/>
                        </w14:solidFill>
                      </w14:textFill>
                    </w:rPr>
                  </w:pPr>
                  <w:r>
                    <w:rPr>
                      <w:color w:val="000000" w:themeColor="text1"/>
                      <w:kern w:val="0"/>
                      <w:sz w:val="21"/>
                      <w:szCs w:val="21"/>
                      <w:lang w:bidi="ar"/>
                      <w14:textFill>
                        <w14:solidFill>
                          <w14:schemeClr w14:val="tx1"/>
                        </w14:solidFill>
                      </w14:textFill>
                    </w:rPr>
                    <w:t>pH</w:t>
                  </w:r>
                  <w:r>
                    <w:rPr>
                      <w:rFonts w:hint="eastAsia"/>
                      <w:color w:val="000000" w:themeColor="text1"/>
                      <w:kern w:val="0"/>
                      <w:sz w:val="21"/>
                      <w:szCs w:val="21"/>
                      <w:lang w:bidi="ar"/>
                      <w14:textFill>
                        <w14:solidFill>
                          <w14:schemeClr w14:val="tx1"/>
                        </w14:solidFill>
                      </w14:textFill>
                    </w:rPr>
                    <w:t>、</w:t>
                  </w:r>
                  <w:r>
                    <w:rPr>
                      <w:color w:val="000000" w:themeColor="text1"/>
                      <w:kern w:val="0"/>
                      <w:sz w:val="21"/>
                      <w:szCs w:val="21"/>
                      <w:lang w:bidi="ar"/>
                      <w14:textFill>
                        <w14:solidFill>
                          <w14:schemeClr w14:val="tx1"/>
                        </w14:solidFill>
                      </w14:textFill>
                    </w:rPr>
                    <w:t>COD</w:t>
                  </w:r>
                  <w:r>
                    <w:rPr>
                      <w:rFonts w:hint="eastAsia"/>
                      <w:color w:val="000000" w:themeColor="text1"/>
                      <w:kern w:val="0"/>
                      <w:sz w:val="21"/>
                      <w:szCs w:val="21"/>
                      <w:lang w:bidi="ar"/>
                      <w14:textFill>
                        <w14:solidFill>
                          <w14:schemeClr w14:val="tx1"/>
                        </w14:solidFill>
                      </w14:textFill>
                    </w:rPr>
                    <w:t>、</w:t>
                  </w:r>
                  <w:r>
                    <w:rPr>
                      <w:color w:val="000000" w:themeColor="text1"/>
                      <w:kern w:val="0"/>
                      <w:sz w:val="21"/>
                      <w:szCs w:val="21"/>
                      <w:lang w:bidi="ar"/>
                      <w14:textFill>
                        <w14:solidFill>
                          <w14:schemeClr w14:val="tx1"/>
                        </w14:solidFill>
                      </w14:textFill>
                    </w:rPr>
                    <w:t>BOD</w:t>
                  </w:r>
                  <w:r>
                    <w:rPr>
                      <w:color w:val="000000" w:themeColor="text1"/>
                      <w:kern w:val="0"/>
                      <w:sz w:val="21"/>
                      <w:szCs w:val="21"/>
                      <w:vertAlign w:val="subscript"/>
                      <w:lang w:bidi="ar"/>
                      <w14:textFill>
                        <w14:solidFill>
                          <w14:schemeClr w14:val="tx1"/>
                        </w14:solidFill>
                      </w14:textFill>
                    </w:rPr>
                    <w:t>5</w:t>
                  </w:r>
                  <w:r>
                    <w:rPr>
                      <w:rFonts w:hint="eastAsia"/>
                      <w:color w:val="000000" w:themeColor="text1"/>
                      <w:kern w:val="0"/>
                      <w:sz w:val="21"/>
                      <w:szCs w:val="21"/>
                      <w:lang w:bidi="ar"/>
                      <w14:textFill>
                        <w14:solidFill>
                          <w14:schemeClr w14:val="tx1"/>
                        </w14:solidFill>
                      </w14:textFill>
                    </w:rPr>
                    <w:t>、</w:t>
                  </w:r>
                  <w:r>
                    <w:rPr>
                      <w:color w:val="000000" w:themeColor="text1"/>
                      <w:kern w:val="0"/>
                      <w:sz w:val="21"/>
                      <w:szCs w:val="21"/>
                      <w:lang w:bidi="ar"/>
                      <w14:textFill>
                        <w14:solidFill>
                          <w14:schemeClr w14:val="tx1"/>
                        </w14:solidFill>
                      </w14:textFill>
                    </w:rPr>
                    <w:t>SS</w:t>
                  </w:r>
                  <w:r>
                    <w:rPr>
                      <w:rFonts w:hint="eastAsia"/>
                      <w:color w:val="000000" w:themeColor="text1"/>
                      <w:kern w:val="0"/>
                      <w:sz w:val="21"/>
                      <w:szCs w:val="21"/>
                      <w:lang w:bidi="ar"/>
                      <w14:textFill>
                        <w14:solidFill>
                          <w14:schemeClr w14:val="tx1"/>
                        </w14:solidFill>
                      </w14:textFill>
                    </w:rPr>
                    <w:t>、</w:t>
                  </w:r>
                  <w:r>
                    <w:rPr>
                      <w:color w:val="000000" w:themeColor="text1"/>
                      <w:kern w:val="0"/>
                      <w:sz w:val="21"/>
                      <w:szCs w:val="21"/>
                      <w:lang w:bidi="ar"/>
                      <w14:textFill>
                        <w14:solidFill>
                          <w14:schemeClr w14:val="tx1"/>
                        </w14:solidFill>
                      </w14:textFill>
                    </w:rPr>
                    <w:t>NH</w:t>
                  </w:r>
                  <w:r>
                    <w:rPr>
                      <w:color w:val="000000" w:themeColor="text1"/>
                      <w:kern w:val="0"/>
                      <w:sz w:val="21"/>
                      <w:szCs w:val="21"/>
                      <w:vertAlign w:val="subscript"/>
                      <w:lang w:bidi="ar"/>
                      <w14:textFill>
                        <w14:solidFill>
                          <w14:schemeClr w14:val="tx1"/>
                        </w14:solidFill>
                      </w14:textFill>
                    </w:rPr>
                    <w:t>3</w:t>
                  </w:r>
                  <w:r>
                    <w:rPr>
                      <w:color w:val="000000" w:themeColor="text1"/>
                      <w:kern w:val="0"/>
                      <w:sz w:val="21"/>
                      <w:szCs w:val="21"/>
                      <w:lang w:bidi="ar"/>
                      <w14:textFill>
                        <w14:solidFill>
                          <w14:schemeClr w14:val="tx1"/>
                        </w14:solidFill>
                      </w14:textFill>
                    </w:rPr>
                    <w:t>-N</w:t>
                  </w:r>
                </w:p>
              </w:tc>
              <w:tc>
                <w:tcPr>
                  <w:tcW w:w="671" w:type="pct"/>
                  <w:noWrap w:val="0"/>
                  <w:vAlign w:val="center"/>
                </w:tcPr>
                <w:p w14:paraId="4E3114EE">
                  <w:pPr>
                    <w:pStyle w:val="62"/>
                    <w:widowControl/>
                    <w:autoSpaceDE/>
                    <w:autoSpaceDN/>
                    <w:spacing w:line="240" w:lineRule="auto"/>
                    <w:ind w:firstLine="0"/>
                    <w:rPr>
                      <w:rFonts w:hint="eastAsia"/>
                      <w:b w:val="0"/>
                      <w:bCs/>
                      <w:color w:val="000000" w:themeColor="text1"/>
                      <w:szCs w:val="21"/>
                      <w14:textFill>
                        <w14:solidFill>
                          <w14:schemeClr w14:val="tx1"/>
                        </w14:solidFill>
                      </w14:textFill>
                    </w:rPr>
                  </w:pPr>
                  <w:r>
                    <w:rPr>
                      <w:rFonts w:hint="eastAsia"/>
                      <w:b w:val="0"/>
                      <w:bCs/>
                      <w:color w:val="000000" w:themeColor="text1"/>
                      <w:szCs w:val="21"/>
                      <w14:textFill>
                        <w14:solidFill>
                          <w14:schemeClr w14:val="tx1"/>
                        </w14:solidFill>
                      </w14:textFill>
                    </w:rPr>
                    <w:t>1次/年</w:t>
                  </w:r>
                </w:p>
              </w:tc>
              <w:tc>
                <w:tcPr>
                  <w:tcW w:w="1402" w:type="pct"/>
                  <w:noWrap w:val="0"/>
                  <w:vAlign w:val="center"/>
                </w:tcPr>
                <w:p w14:paraId="49847B00">
                  <w:pPr>
                    <w:pStyle w:val="62"/>
                    <w:widowControl/>
                    <w:autoSpaceDE/>
                    <w:autoSpaceDN/>
                    <w:spacing w:line="240" w:lineRule="auto"/>
                    <w:ind w:firstLine="0"/>
                    <w:rPr>
                      <w:rFonts w:hint="eastAsia"/>
                      <w:b w:val="0"/>
                      <w:bCs/>
                      <w:color w:val="000000" w:themeColor="text1"/>
                      <w:szCs w:val="21"/>
                      <w14:textFill>
                        <w14:solidFill>
                          <w14:schemeClr w14:val="tx1"/>
                        </w14:solidFill>
                      </w14:textFill>
                    </w:rPr>
                  </w:pPr>
                  <w:r>
                    <w:rPr>
                      <w:rFonts w:hint="eastAsia"/>
                      <w:b w:val="0"/>
                      <w:bCs/>
                      <w:color w:val="000000" w:themeColor="text1"/>
                      <w:szCs w:val="21"/>
                      <w:lang w:eastAsia="zh-CN"/>
                      <w14:textFill>
                        <w14:solidFill>
                          <w14:schemeClr w14:val="tx1"/>
                        </w14:solidFill>
                      </w14:textFill>
                    </w:rPr>
                    <w:t>淮南市潘集污水处理厂</w:t>
                  </w:r>
                  <w:r>
                    <w:rPr>
                      <w:rFonts w:hint="eastAsia"/>
                      <w:b w:val="0"/>
                      <w:bCs/>
                      <w:color w:val="000000" w:themeColor="text1"/>
                      <w:szCs w:val="21"/>
                      <w14:textFill>
                        <w14:solidFill>
                          <w14:schemeClr w14:val="tx1"/>
                        </w14:solidFill>
                      </w14:textFill>
                    </w:rPr>
                    <w:t>接管限值</w:t>
                  </w:r>
                </w:p>
              </w:tc>
            </w:tr>
          </w:tbl>
          <w:p w14:paraId="39B2870B">
            <w:pPr>
              <w:pStyle w:val="62"/>
              <w:spacing w:before="120" w:beforeLines="50"/>
              <w:ind w:firstLineChars="200"/>
              <w:jc w:val="both"/>
              <w:rPr>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（4）废水排放达标情况</w:t>
            </w:r>
          </w:p>
          <w:p w14:paraId="4E747518">
            <w:pPr>
              <w:pStyle w:val="62"/>
              <w:keepNext w:val="0"/>
              <w:keepLines w:val="0"/>
              <w:pageBreakBefore w:val="0"/>
              <w:widowControl w:val="0"/>
              <w:kinsoku/>
              <w:wordWrap/>
              <w:overflowPunct/>
              <w:topLinePunct w:val="0"/>
              <w:autoSpaceDE w:val="0"/>
              <w:autoSpaceDN w:val="0"/>
              <w:bidi w:val="0"/>
              <w:adjustRightInd/>
              <w:snapToGrid/>
              <w:ind w:firstLineChars="200"/>
              <w:jc w:val="both"/>
              <w:textAlignment w:val="auto"/>
              <w:rPr>
                <w:b w:val="0"/>
                <w:bCs/>
                <w:color w:val="000000" w:themeColor="text1"/>
                <w:sz w:val="24"/>
                <w:szCs w:val="24"/>
                <w:highlight w:val="yellow"/>
                <w14:textFill>
                  <w14:solidFill>
                    <w14:schemeClr w14:val="tx1"/>
                  </w14:solidFill>
                </w14:textFill>
              </w:rPr>
            </w:pPr>
            <w:r>
              <w:rPr>
                <w:rFonts w:hint="eastAsia"/>
                <w:b w:val="0"/>
                <w:bCs/>
                <w:color w:val="000000" w:themeColor="text1"/>
                <w:sz w:val="24"/>
                <w:szCs w:val="24"/>
                <w:lang w:val="en-US" w:eastAsia="zh-CN"/>
                <w14:textFill>
                  <w14:solidFill>
                    <w14:schemeClr w14:val="tx1"/>
                  </w14:solidFill>
                </w14:textFill>
              </w:rPr>
              <w:t>本项目全厂</w:t>
            </w:r>
            <w:r>
              <w:rPr>
                <w:rFonts w:hint="eastAsia"/>
                <w:b w:val="0"/>
                <w:bCs/>
                <w:color w:val="000000" w:themeColor="text1"/>
                <w:sz w:val="24"/>
                <w:szCs w:val="24"/>
                <w14:textFill>
                  <w14:solidFill>
                    <w14:schemeClr w14:val="tx1"/>
                  </w14:solidFill>
                </w14:textFill>
              </w:rPr>
              <w:t>废水排放总量为</w:t>
            </w:r>
            <w:r>
              <w:rPr>
                <w:rFonts w:hint="eastAsia"/>
                <w:b w:val="0"/>
                <w:bCs/>
                <w:color w:val="000000" w:themeColor="text1"/>
                <w:sz w:val="24"/>
                <w:szCs w:val="24"/>
                <w:lang w:val="en-US" w:eastAsia="zh-CN"/>
                <w14:textFill>
                  <w14:solidFill>
                    <w14:schemeClr w14:val="tx1"/>
                  </w14:solidFill>
                </w14:textFill>
              </w:rPr>
              <w:t>612</w:t>
            </w:r>
            <w:r>
              <w:rPr>
                <w:rFonts w:hint="eastAsia"/>
                <w:b w:val="0"/>
                <w:bCs/>
                <w:color w:val="000000" w:themeColor="text1"/>
                <w:sz w:val="24"/>
                <w:szCs w:val="24"/>
                <w14:textFill>
                  <w14:solidFill>
                    <w14:schemeClr w14:val="tx1"/>
                  </w14:solidFill>
                </w14:textFill>
              </w:rPr>
              <w:t>m</w:t>
            </w:r>
            <w:r>
              <w:rPr>
                <w:b w:val="0"/>
                <w:bCs/>
                <w:color w:val="000000" w:themeColor="text1"/>
                <w:sz w:val="24"/>
                <w:szCs w:val="24"/>
                <w:vertAlign w:val="superscript"/>
                <w14:textFill>
                  <w14:solidFill>
                    <w14:schemeClr w14:val="tx1"/>
                  </w14:solidFill>
                </w14:textFill>
              </w:rPr>
              <w:t>3</w:t>
            </w:r>
            <w:r>
              <w:rPr>
                <w:b w:val="0"/>
                <w:bCs/>
                <w:color w:val="000000" w:themeColor="text1"/>
                <w:sz w:val="24"/>
                <w:szCs w:val="24"/>
                <w14:textFill>
                  <w14:solidFill>
                    <w14:schemeClr w14:val="tx1"/>
                  </w14:solidFill>
                </w14:textFill>
              </w:rPr>
              <w:t>/</w:t>
            </w:r>
            <w:r>
              <w:rPr>
                <w:rFonts w:hint="eastAsia"/>
                <w:b w:val="0"/>
                <w:bCs/>
                <w:color w:val="000000" w:themeColor="text1"/>
                <w:sz w:val="24"/>
                <w:szCs w:val="24"/>
                <w:lang w:val="en-US" w:eastAsia="zh-CN"/>
                <w14:textFill>
                  <w14:solidFill>
                    <w14:schemeClr w14:val="tx1"/>
                  </w14:solidFill>
                </w14:textFill>
              </w:rPr>
              <w:t>a</w:t>
            </w:r>
            <w:r>
              <w:rPr>
                <w:rFonts w:hint="eastAsia"/>
                <w:b w:val="0"/>
                <w:bCs/>
                <w:color w:val="000000" w:themeColor="text1"/>
                <w:sz w:val="24"/>
                <w:szCs w:val="24"/>
                <w14:textFill>
                  <w14:solidFill>
                    <w14:schemeClr w14:val="tx1"/>
                  </w14:solidFill>
                </w14:textFill>
              </w:rPr>
              <w:t>（</w:t>
            </w:r>
            <w:r>
              <w:rPr>
                <w:rFonts w:hint="eastAsia"/>
                <w:b w:val="0"/>
                <w:bCs/>
                <w:color w:val="000000" w:themeColor="text1"/>
                <w:sz w:val="24"/>
                <w:szCs w:val="24"/>
                <w:lang w:val="en-US" w:eastAsia="zh-CN"/>
                <w14:textFill>
                  <w14:solidFill>
                    <w14:schemeClr w14:val="tx1"/>
                  </w14:solidFill>
                </w14:textFill>
              </w:rPr>
              <w:t>2.04</w:t>
            </w:r>
            <w:r>
              <w:rPr>
                <w:rFonts w:hint="eastAsia"/>
                <w:b w:val="0"/>
                <w:bCs/>
                <w:color w:val="000000" w:themeColor="text1"/>
                <w:sz w:val="24"/>
                <w:szCs w:val="24"/>
                <w14:textFill>
                  <w14:solidFill>
                    <w14:schemeClr w14:val="tx1"/>
                  </w14:solidFill>
                </w14:textFill>
              </w:rPr>
              <w:t>m</w:t>
            </w:r>
            <w:r>
              <w:rPr>
                <w:rFonts w:hint="eastAsia"/>
                <w:b w:val="0"/>
                <w:bCs/>
                <w:color w:val="000000" w:themeColor="text1"/>
                <w:sz w:val="24"/>
                <w:szCs w:val="24"/>
                <w:vertAlign w:val="superscript"/>
                <w14:textFill>
                  <w14:solidFill>
                    <w14:schemeClr w14:val="tx1"/>
                  </w14:solidFill>
                </w14:textFill>
              </w:rPr>
              <w:t>3</w:t>
            </w:r>
            <w:r>
              <w:rPr>
                <w:rFonts w:hint="eastAsia"/>
                <w:b w:val="0"/>
                <w:bCs/>
                <w:color w:val="000000" w:themeColor="text1"/>
                <w:sz w:val="24"/>
                <w:szCs w:val="24"/>
                <w14:textFill>
                  <w14:solidFill>
                    <w14:schemeClr w14:val="tx1"/>
                  </w14:solidFill>
                </w14:textFill>
              </w:rPr>
              <w:t>/d）</w:t>
            </w:r>
            <w:r>
              <w:rPr>
                <w:rFonts w:hint="eastAsia"/>
                <w:b w:val="0"/>
                <w:bCs/>
                <w:color w:val="000000" w:themeColor="text1"/>
                <w:sz w:val="24"/>
                <w:szCs w:val="24"/>
                <w:lang w:eastAsia="zh-CN"/>
                <w14:textFill>
                  <w14:solidFill>
                    <w14:schemeClr w14:val="tx1"/>
                  </w14:solidFill>
                </w14:textFill>
              </w:rPr>
              <w:t>，</w:t>
            </w:r>
            <w:r>
              <w:rPr>
                <w:rFonts w:hint="eastAsia"/>
                <w:b w:val="0"/>
                <w:bCs/>
                <w:color w:val="000000" w:themeColor="text1"/>
                <w:sz w:val="24"/>
                <w:szCs w:val="24"/>
                <w14:textFill>
                  <w14:solidFill>
                    <w14:schemeClr w14:val="tx1"/>
                  </w14:solidFill>
                </w14:textFill>
              </w:rPr>
              <w:t>外排废水主要为生活污水</w:t>
            </w:r>
            <w:r>
              <w:rPr>
                <w:rFonts w:hint="eastAsia"/>
                <w:b w:val="0"/>
                <w:bCs/>
                <w:color w:val="000000" w:themeColor="text1"/>
                <w:sz w:val="24"/>
                <w:szCs w:val="24"/>
                <w:lang w:val="en-US" w:eastAsia="zh-CN"/>
                <w14:textFill>
                  <w14:solidFill>
                    <w14:schemeClr w14:val="tx1"/>
                  </w14:solidFill>
                </w14:textFill>
              </w:rPr>
              <w:t>和循环冷却水排水</w:t>
            </w:r>
            <w:r>
              <w:rPr>
                <w:rFonts w:hint="eastAsia"/>
                <w:b w:val="0"/>
                <w:bCs/>
                <w:color w:val="000000" w:themeColor="text1"/>
                <w:sz w:val="24"/>
                <w:szCs w:val="24"/>
                <w:lang w:eastAsia="zh-CN"/>
                <w14:textFill>
                  <w14:solidFill>
                    <w14:schemeClr w14:val="tx1"/>
                  </w14:solidFill>
                </w14:textFill>
              </w:rPr>
              <w:t>，</w:t>
            </w:r>
            <w:r>
              <w:rPr>
                <w:rFonts w:hint="eastAsia"/>
                <w:b w:val="0"/>
                <w:bCs/>
                <w:color w:val="000000" w:themeColor="text1"/>
                <w:sz w:val="24"/>
                <w:szCs w:val="24"/>
                <w:lang w:val="en-US" w:eastAsia="zh-CN"/>
                <w14:textFill>
                  <w14:solidFill>
                    <w14:schemeClr w14:val="tx1"/>
                  </w14:solidFill>
                </w14:textFill>
              </w:rPr>
              <w:t>水质简单，</w:t>
            </w:r>
            <w:r>
              <w:rPr>
                <w:rFonts w:hint="eastAsia"/>
                <w:b w:val="0"/>
                <w:bCs/>
                <w:color w:val="000000" w:themeColor="text1"/>
                <w:sz w:val="24"/>
                <w:szCs w:val="24"/>
                <w14:textFill>
                  <w14:solidFill>
                    <w14:schemeClr w14:val="tx1"/>
                  </w14:solidFill>
                </w14:textFill>
              </w:rPr>
              <w:t>各污染物排放量分别为：</w:t>
            </w:r>
            <w:r>
              <w:rPr>
                <w:b w:val="0"/>
                <w:bCs/>
                <w:color w:val="000000" w:themeColor="text1"/>
                <w:sz w:val="24"/>
                <w:szCs w:val="24"/>
                <w:lang w:bidi="ar"/>
                <w14:textFill>
                  <w14:solidFill>
                    <w14:schemeClr w14:val="tx1"/>
                  </w14:solidFill>
                </w14:textFill>
              </w:rPr>
              <w:t>COD</w:t>
            </w:r>
            <w:r>
              <w:rPr>
                <w:rFonts w:hint="eastAsia"/>
                <w:b w:val="0"/>
                <w:bCs/>
                <w:color w:val="000000" w:themeColor="text1"/>
                <w:sz w:val="24"/>
                <w:szCs w:val="24"/>
                <w:lang w:eastAsia="zh-CN" w:bidi="ar"/>
                <w14:textFill>
                  <w14:solidFill>
                    <w14:schemeClr w14:val="tx1"/>
                  </w14:solidFill>
                </w14:textFill>
              </w:rPr>
              <w:t>：0.</w:t>
            </w:r>
            <w:r>
              <w:rPr>
                <w:rFonts w:hint="eastAsia"/>
                <w:b w:val="0"/>
                <w:bCs/>
                <w:color w:val="000000" w:themeColor="text1"/>
                <w:sz w:val="24"/>
                <w:szCs w:val="24"/>
                <w:lang w:val="en-US" w:eastAsia="zh-CN" w:bidi="ar"/>
                <w14:textFill>
                  <w14:solidFill>
                    <w14:schemeClr w14:val="tx1"/>
                  </w14:solidFill>
                </w14:textFill>
              </w:rPr>
              <w:t>1003</w:t>
            </w:r>
            <w:r>
              <w:rPr>
                <w:b w:val="0"/>
                <w:bCs/>
                <w:color w:val="000000" w:themeColor="text1"/>
                <w:sz w:val="24"/>
                <w:szCs w:val="24"/>
                <w:lang w:bidi="ar"/>
                <w14:textFill>
                  <w14:solidFill>
                    <w14:schemeClr w14:val="tx1"/>
                  </w14:solidFill>
                </w14:textFill>
              </w:rPr>
              <w:t>t/a</w:t>
            </w:r>
            <w:r>
              <w:rPr>
                <w:rFonts w:hint="eastAsia"/>
                <w:b w:val="0"/>
                <w:bCs/>
                <w:color w:val="000000" w:themeColor="text1"/>
                <w:sz w:val="24"/>
                <w:szCs w:val="24"/>
                <w:lang w:bidi="ar"/>
                <w14:textFill>
                  <w14:solidFill>
                    <w14:schemeClr w14:val="tx1"/>
                  </w14:solidFill>
                </w14:textFill>
              </w:rPr>
              <w:t>；</w:t>
            </w:r>
            <w:r>
              <w:rPr>
                <w:b w:val="0"/>
                <w:bCs/>
                <w:color w:val="000000" w:themeColor="text1"/>
                <w:sz w:val="24"/>
                <w:szCs w:val="24"/>
                <w:lang w:bidi="ar"/>
                <w14:textFill>
                  <w14:solidFill>
                    <w14:schemeClr w14:val="tx1"/>
                  </w14:solidFill>
                </w14:textFill>
              </w:rPr>
              <w:t>BOD</w:t>
            </w:r>
            <w:r>
              <w:rPr>
                <w:b w:val="0"/>
                <w:bCs/>
                <w:color w:val="000000" w:themeColor="text1"/>
                <w:sz w:val="24"/>
                <w:szCs w:val="24"/>
                <w:vertAlign w:val="subscript"/>
                <w:lang w:bidi="ar"/>
                <w14:textFill>
                  <w14:solidFill>
                    <w14:schemeClr w14:val="tx1"/>
                  </w14:solidFill>
                </w14:textFill>
              </w:rPr>
              <w:t>5</w:t>
            </w:r>
            <w:r>
              <w:rPr>
                <w:rFonts w:hint="eastAsia"/>
                <w:b w:val="0"/>
                <w:bCs/>
                <w:color w:val="000000" w:themeColor="text1"/>
                <w:sz w:val="24"/>
                <w:szCs w:val="24"/>
                <w:vertAlign w:val="subscript"/>
                <w:lang w:eastAsia="zh-CN" w:bidi="ar"/>
                <w14:textFill>
                  <w14:solidFill>
                    <w14:schemeClr w14:val="tx1"/>
                  </w14:solidFill>
                </w14:textFill>
              </w:rPr>
              <w:t>:</w:t>
            </w:r>
            <w:r>
              <w:rPr>
                <w:rFonts w:hint="eastAsia"/>
                <w:b w:val="0"/>
                <w:bCs/>
                <w:color w:val="000000" w:themeColor="text1"/>
                <w:sz w:val="24"/>
                <w:szCs w:val="24"/>
                <w:lang w:eastAsia="zh-CN" w:bidi="ar"/>
                <w14:textFill>
                  <w14:solidFill>
                    <w14:schemeClr w14:val="tx1"/>
                  </w14:solidFill>
                </w14:textFill>
              </w:rPr>
              <w:t>0.0</w:t>
            </w:r>
            <w:r>
              <w:rPr>
                <w:rFonts w:hint="eastAsia"/>
                <w:b w:val="0"/>
                <w:bCs/>
                <w:color w:val="000000" w:themeColor="text1"/>
                <w:sz w:val="24"/>
                <w:szCs w:val="24"/>
                <w:lang w:val="en-US" w:eastAsia="zh-CN" w:bidi="ar"/>
                <w14:textFill>
                  <w14:solidFill>
                    <w14:schemeClr w14:val="tx1"/>
                  </w14:solidFill>
                </w14:textFill>
              </w:rPr>
              <w:t>386</w:t>
            </w:r>
            <w:r>
              <w:rPr>
                <w:b w:val="0"/>
                <w:bCs/>
                <w:color w:val="000000" w:themeColor="text1"/>
                <w:sz w:val="24"/>
                <w:szCs w:val="24"/>
                <w:lang w:bidi="ar"/>
                <w14:textFill>
                  <w14:solidFill>
                    <w14:schemeClr w14:val="tx1"/>
                  </w14:solidFill>
                </w14:textFill>
              </w:rPr>
              <w:t>t/a</w:t>
            </w:r>
            <w:r>
              <w:rPr>
                <w:rFonts w:hint="eastAsia"/>
                <w:b w:val="0"/>
                <w:bCs/>
                <w:color w:val="000000" w:themeColor="text1"/>
                <w:sz w:val="24"/>
                <w:szCs w:val="24"/>
                <w:lang w:bidi="ar"/>
                <w14:textFill>
                  <w14:solidFill>
                    <w14:schemeClr w14:val="tx1"/>
                  </w14:solidFill>
                </w14:textFill>
              </w:rPr>
              <w:t>；</w:t>
            </w:r>
            <w:r>
              <w:rPr>
                <w:rFonts w:hint="default" w:ascii="Times New Roman" w:hAnsi="Times New Roman" w:cs="Times New Roman"/>
                <w:b w:val="0"/>
                <w:bCs/>
                <w:color w:val="000000" w:themeColor="text1"/>
                <w:sz w:val="24"/>
                <w:szCs w:val="24"/>
                <w:lang w:bidi="ar"/>
                <w14:textFill>
                  <w14:solidFill>
                    <w14:schemeClr w14:val="tx1"/>
                  </w14:solidFill>
                </w14:textFill>
              </w:rPr>
              <w:t>SS</w:t>
            </w:r>
            <w:r>
              <w:rPr>
                <w:rFonts w:hint="default" w:ascii="Times New Roman" w:hAnsi="Times New Roman" w:cs="Times New Roman"/>
                <w:b w:val="0"/>
                <w:bCs/>
                <w:color w:val="000000" w:themeColor="text1"/>
                <w:sz w:val="24"/>
                <w:szCs w:val="24"/>
                <w:lang w:eastAsia="zh-CN" w:bidi="ar"/>
                <w14:textFill>
                  <w14:solidFill>
                    <w14:schemeClr w14:val="tx1"/>
                  </w14:solidFill>
                </w14:textFill>
              </w:rPr>
              <w:t>：0.</w:t>
            </w:r>
            <w:r>
              <w:rPr>
                <w:rFonts w:hint="eastAsia" w:cs="Times New Roman"/>
                <w:b w:val="0"/>
                <w:bCs/>
                <w:color w:val="000000" w:themeColor="text1"/>
                <w:sz w:val="24"/>
                <w:szCs w:val="24"/>
                <w:lang w:val="en-US" w:eastAsia="zh-CN" w:bidi="ar"/>
                <w14:textFill>
                  <w14:solidFill>
                    <w14:schemeClr w14:val="tx1"/>
                  </w14:solidFill>
                </w14:textFill>
              </w:rPr>
              <w:t>0432</w:t>
            </w:r>
            <w:r>
              <w:rPr>
                <w:rFonts w:hint="default" w:ascii="Times New Roman" w:hAnsi="Times New Roman" w:cs="Times New Roman"/>
                <w:b w:val="0"/>
                <w:bCs/>
                <w:color w:val="000000" w:themeColor="text1"/>
                <w:sz w:val="24"/>
                <w:szCs w:val="24"/>
                <w:lang w:bidi="ar"/>
                <w14:textFill>
                  <w14:solidFill>
                    <w14:schemeClr w14:val="tx1"/>
                  </w14:solidFill>
                </w14:textFill>
              </w:rPr>
              <w:t>t/a；氨氮</w:t>
            </w:r>
            <w:r>
              <w:rPr>
                <w:rFonts w:hint="default" w:ascii="Times New Roman" w:hAnsi="Times New Roman" w:cs="Times New Roman"/>
                <w:b w:val="0"/>
                <w:bCs/>
                <w:color w:val="000000" w:themeColor="text1"/>
                <w:sz w:val="24"/>
                <w:szCs w:val="24"/>
                <w:lang w:eastAsia="zh-CN" w:bidi="ar"/>
                <w14:textFill>
                  <w14:solidFill>
                    <w14:schemeClr w14:val="tx1"/>
                  </w14:solidFill>
                </w14:textFill>
              </w:rPr>
              <w:t>：0.0</w:t>
            </w:r>
            <w:r>
              <w:rPr>
                <w:rFonts w:hint="eastAsia" w:cs="Times New Roman"/>
                <w:b w:val="0"/>
                <w:bCs/>
                <w:color w:val="000000" w:themeColor="text1"/>
                <w:sz w:val="24"/>
                <w:szCs w:val="24"/>
                <w:lang w:val="en-US" w:eastAsia="zh-CN" w:bidi="ar"/>
                <w14:textFill>
                  <w14:solidFill>
                    <w14:schemeClr w14:val="tx1"/>
                  </w14:solidFill>
                </w14:textFill>
              </w:rPr>
              <w:t>0629</w:t>
            </w:r>
            <w:r>
              <w:rPr>
                <w:rFonts w:hint="default" w:ascii="Times New Roman" w:hAnsi="Times New Roman" w:cs="Times New Roman"/>
                <w:b w:val="0"/>
                <w:bCs/>
                <w:color w:val="000000" w:themeColor="text1"/>
                <w:sz w:val="24"/>
                <w:szCs w:val="24"/>
                <w:lang w:bidi="ar"/>
                <w14:textFill>
                  <w14:solidFill>
                    <w14:schemeClr w14:val="tx1"/>
                  </w14:solidFill>
                </w14:textFill>
              </w:rPr>
              <w:t>t/a</w:t>
            </w:r>
            <w:r>
              <w:rPr>
                <w:rFonts w:hint="default" w:ascii="Times New Roman" w:hAnsi="Times New Roman" w:cs="Times New Roman"/>
                <w:b w:val="0"/>
                <w:bCs/>
                <w:color w:val="000000" w:themeColor="text1"/>
                <w:sz w:val="24"/>
                <w:szCs w:val="24"/>
                <w14:textFill>
                  <w14:solidFill>
                    <w14:schemeClr w14:val="tx1"/>
                  </w14:solidFill>
                </w14:textFill>
              </w:rPr>
              <w:t>。</w:t>
            </w:r>
            <w:r>
              <w:rPr>
                <w:rFonts w:hint="eastAsia"/>
                <w:b w:val="0"/>
                <w:bCs/>
                <w:color w:val="000000" w:themeColor="text1"/>
                <w:sz w:val="24"/>
                <w:szCs w:val="24"/>
                <w14:textFill>
                  <w14:solidFill>
                    <w14:schemeClr w14:val="tx1"/>
                  </w14:solidFill>
                </w14:textFill>
              </w:rPr>
              <w:t>生活污水和</w:t>
            </w:r>
            <w:r>
              <w:rPr>
                <w:rFonts w:hint="eastAsia"/>
                <w:b w:val="0"/>
                <w:bCs/>
                <w:color w:val="000000" w:themeColor="text1"/>
                <w:sz w:val="24"/>
                <w:szCs w:val="24"/>
                <w:lang w:eastAsia="zh-CN"/>
                <w14:textFill>
                  <w14:solidFill>
                    <w14:schemeClr w14:val="tx1"/>
                  </w14:solidFill>
                </w14:textFill>
              </w:rPr>
              <w:t>循环冷却水排水</w:t>
            </w:r>
            <w:r>
              <w:rPr>
                <w:rFonts w:hint="eastAsia"/>
                <w:b w:val="0"/>
                <w:bCs/>
                <w:color w:val="000000" w:themeColor="text1"/>
                <w:sz w:val="24"/>
                <w:szCs w:val="24"/>
                <w14:textFill>
                  <w14:solidFill>
                    <w14:schemeClr w14:val="tx1"/>
                  </w14:solidFill>
                </w14:textFill>
              </w:rPr>
              <w:t>纳管接入市政污水管网进入</w:t>
            </w:r>
            <w:r>
              <w:rPr>
                <w:rFonts w:hint="eastAsia"/>
                <w:b w:val="0"/>
                <w:bCs/>
                <w:color w:val="000000" w:themeColor="text1"/>
                <w:sz w:val="24"/>
                <w:szCs w:val="24"/>
                <w:lang w:eastAsia="zh-CN"/>
                <w14:textFill>
                  <w14:solidFill>
                    <w14:schemeClr w14:val="tx1"/>
                  </w14:solidFill>
                </w14:textFill>
              </w:rPr>
              <w:t>淮南市潘集污水处理厂</w:t>
            </w:r>
            <w:r>
              <w:rPr>
                <w:rFonts w:hint="eastAsia"/>
                <w:b w:val="0"/>
                <w:bCs/>
                <w:color w:val="000000" w:themeColor="text1"/>
                <w:sz w:val="24"/>
                <w:szCs w:val="24"/>
                <w14:textFill>
                  <w14:solidFill>
                    <w14:schemeClr w14:val="tx1"/>
                  </w14:solidFill>
                </w14:textFill>
              </w:rPr>
              <w:t>进行深度处理。经分析，</w:t>
            </w:r>
            <w:r>
              <w:rPr>
                <w:rFonts w:hint="eastAsia"/>
                <w:b w:val="0"/>
                <w:color w:val="000000" w:themeColor="text1"/>
                <w:sz w:val="24"/>
                <w:szCs w:val="24"/>
                <w14:textFill>
                  <w14:solidFill>
                    <w14:schemeClr w14:val="tx1"/>
                  </w14:solidFill>
                </w14:textFill>
              </w:rPr>
              <w:t>废水排放浓度均满足</w:t>
            </w:r>
            <w:r>
              <w:rPr>
                <w:rFonts w:hint="eastAsia"/>
                <w:b w:val="0"/>
                <w:color w:val="000000" w:themeColor="text1"/>
                <w:sz w:val="24"/>
                <w:szCs w:val="24"/>
                <w:lang w:eastAsia="zh-CN"/>
                <w14:textFill>
                  <w14:solidFill>
                    <w14:schemeClr w14:val="tx1"/>
                  </w14:solidFill>
                </w14:textFill>
              </w:rPr>
              <w:t>淮南市潘集污水处理厂</w:t>
            </w:r>
            <w:r>
              <w:rPr>
                <w:rFonts w:hint="eastAsia"/>
                <w:b w:val="0"/>
                <w:color w:val="000000" w:themeColor="text1"/>
                <w:sz w:val="24"/>
                <w:szCs w:val="24"/>
                <w14:textFill>
                  <w14:solidFill>
                    <w14:schemeClr w14:val="tx1"/>
                  </w14:solidFill>
                </w14:textFill>
              </w:rPr>
              <w:t>接管限值。</w:t>
            </w:r>
          </w:p>
          <w:p w14:paraId="42990AA5">
            <w:pPr>
              <w:pStyle w:val="62"/>
              <w:ind w:firstLineChars="200"/>
              <w:jc w:val="both"/>
              <w:rPr>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（5）</w:t>
            </w:r>
            <w:r>
              <w:rPr>
                <w:rFonts w:hint="eastAsia"/>
                <w:b w:val="0"/>
                <w:bCs/>
                <w:color w:val="000000" w:themeColor="text1"/>
                <w:sz w:val="24"/>
                <w:szCs w:val="24"/>
                <w:lang w:eastAsia="zh-CN"/>
                <w14:textFill>
                  <w14:solidFill>
                    <w14:schemeClr w14:val="tx1"/>
                  </w14:solidFill>
                </w14:textFill>
              </w:rPr>
              <w:t>淮南市潘集污水处理厂</w:t>
            </w:r>
            <w:r>
              <w:rPr>
                <w:rFonts w:hint="eastAsia"/>
                <w:b w:val="0"/>
                <w:bCs/>
                <w:color w:val="000000" w:themeColor="text1"/>
                <w:sz w:val="24"/>
                <w:szCs w:val="24"/>
                <w14:textFill>
                  <w14:solidFill>
                    <w14:schemeClr w14:val="tx1"/>
                  </w14:solidFill>
                </w14:textFill>
              </w:rPr>
              <w:t>依托可行性分析</w:t>
            </w:r>
          </w:p>
          <w:p w14:paraId="0E4C2D24">
            <w:pPr>
              <w:ind w:firstLine="480"/>
              <w:rPr>
                <w:color w:val="auto"/>
              </w:rPr>
            </w:pPr>
            <w:r>
              <w:rPr>
                <w:rFonts w:hint="eastAsia"/>
                <w:color w:val="auto"/>
              </w:rPr>
              <w:t>淮南市潘集污水处理厂</w:t>
            </w:r>
            <w:r>
              <w:rPr>
                <w:rFonts w:hint="eastAsia"/>
                <w:color w:val="auto"/>
                <w:lang w:val="zh-CN"/>
              </w:rPr>
              <w:t>位于潘集区淮潘公路北侧、泥河以南，一期工程环评报告书于2</w:t>
            </w:r>
            <w:r>
              <w:rPr>
                <w:color w:val="auto"/>
                <w:lang w:val="zh-CN"/>
              </w:rPr>
              <w:t>010</w:t>
            </w:r>
            <w:r>
              <w:rPr>
                <w:rFonts w:hint="eastAsia"/>
                <w:color w:val="auto"/>
                <w:lang w:val="zh-CN"/>
              </w:rPr>
              <w:t>年1</w:t>
            </w:r>
            <w:r>
              <w:rPr>
                <w:color w:val="auto"/>
                <w:lang w:val="zh-CN"/>
              </w:rPr>
              <w:t>1</w:t>
            </w:r>
            <w:r>
              <w:rPr>
                <w:rFonts w:hint="eastAsia"/>
                <w:color w:val="auto"/>
                <w:lang w:val="zh-CN"/>
              </w:rPr>
              <w:t>月取得原淮南市环境保护局出具的批复</w:t>
            </w:r>
            <w:r>
              <w:rPr>
                <w:rFonts w:hint="eastAsia"/>
                <w:color w:val="auto"/>
              </w:rPr>
              <w:t>（淮环表批</w:t>
            </w:r>
            <w:r>
              <w:rPr>
                <w:rFonts w:hint="eastAsia" w:ascii="宋体" w:hAnsi="宋体"/>
                <w:color w:val="auto"/>
              </w:rPr>
              <w:t>〔</w:t>
            </w:r>
            <w:r>
              <w:rPr>
                <w:color w:val="auto"/>
              </w:rPr>
              <w:t>2010</w:t>
            </w:r>
            <w:r>
              <w:rPr>
                <w:rFonts w:hint="eastAsia" w:ascii="宋体" w:hAnsi="宋体"/>
                <w:color w:val="auto"/>
              </w:rPr>
              <w:t>〕</w:t>
            </w:r>
            <w:r>
              <w:rPr>
                <w:color w:val="auto"/>
              </w:rPr>
              <w:t>52</w:t>
            </w:r>
            <w:r>
              <w:rPr>
                <w:rFonts w:hint="eastAsia"/>
                <w:color w:val="auto"/>
              </w:rPr>
              <w:t>号），并于2</w:t>
            </w:r>
            <w:r>
              <w:rPr>
                <w:color w:val="auto"/>
              </w:rPr>
              <w:t>012</w:t>
            </w:r>
            <w:r>
              <w:rPr>
                <w:rFonts w:hint="eastAsia"/>
                <w:color w:val="auto"/>
              </w:rPr>
              <w:t>年7月开工建设，一期工程设计规模2万m</w:t>
            </w:r>
            <w:r>
              <w:rPr>
                <w:color w:val="auto"/>
                <w:vertAlign w:val="superscript"/>
              </w:rPr>
              <w:t>3</w:t>
            </w:r>
            <w:r>
              <w:rPr>
                <w:rFonts w:hint="eastAsia"/>
                <w:color w:val="auto"/>
              </w:rPr>
              <w:t>/</w:t>
            </w:r>
            <w:r>
              <w:rPr>
                <w:color w:val="auto"/>
              </w:rPr>
              <w:t>d</w:t>
            </w:r>
            <w:r>
              <w:rPr>
                <w:rFonts w:hint="eastAsia"/>
                <w:color w:val="auto"/>
              </w:rPr>
              <w:t>，出水达《城镇污水处理厂污染物排放标准》（GB18918-2002）表1中一级A标准。2</w:t>
            </w:r>
            <w:r>
              <w:rPr>
                <w:color w:val="auto"/>
              </w:rPr>
              <w:t>013</w:t>
            </w:r>
            <w:r>
              <w:rPr>
                <w:rFonts w:hint="eastAsia"/>
                <w:color w:val="auto"/>
              </w:rPr>
              <w:t>年8月一期工程建成并投入试运行，淮南市环境保护局以淮环函</w:t>
            </w:r>
            <w:r>
              <w:rPr>
                <w:rFonts w:hint="eastAsia" w:ascii="宋体" w:hAnsi="宋体"/>
                <w:color w:val="auto"/>
              </w:rPr>
              <w:t>〔</w:t>
            </w:r>
            <w:r>
              <w:rPr>
                <w:color w:val="auto"/>
              </w:rPr>
              <w:t>2013</w:t>
            </w:r>
            <w:r>
              <w:rPr>
                <w:rFonts w:hint="eastAsia" w:ascii="宋体" w:hAnsi="宋体"/>
                <w:color w:val="auto"/>
              </w:rPr>
              <w:t>〕</w:t>
            </w:r>
            <w:r>
              <w:rPr>
                <w:color w:val="auto"/>
              </w:rPr>
              <w:t>181</w:t>
            </w:r>
            <w:r>
              <w:rPr>
                <w:rFonts w:hint="eastAsia"/>
                <w:color w:val="auto"/>
              </w:rPr>
              <w:t>号文同意该项目试运行。</w:t>
            </w:r>
          </w:p>
          <w:p w14:paraId="0B409D12">
            <w:pPr>
              <w:ind w:firstLine="480" w:firstLineChars="200"/>
              <w:rPr>
                <w:rFonts w:hint="eastAsia"/>
                <w:color w:val="auto"/>
              </w:rPr>
            </w:pPr>
            <w:r>
              <w:rPr>
                <w:rFonts w:hint="eastAsia"/>
                <w:color w:val="auto"/>
              </w:rPr>
              <w:t>201</w:t>
            </w:r>
            <w:r>
              <w:rPr>
                <w:color w:val="auto"/>
              </w:rPr>
              <w:t>7</w:t>
            </w:r>
            <w:r>
              <w:rPr>
                <w:rFonts w:hint="eastAsia"/>
                <w:color w:val="auto"/>
              </w:rPr>
              <w:t>年，淮南市潘集污水处理厂在位于现有厂址启动二期工程建设，其环评报告书于201</w:t>
            </w:r>
            <w:r>
              <w:rPr>
                <w:color w:val="auto"/>
              </w:rPr>
              <w:t>7</w:t>
            </w:r>
            <w:r>
              <w:rPr>
                <w:rFonts w:hint="eastAsia"/>
                <w:color w:val="auto"/>
              </w:rPr>
              <w:t>年</w:t>
            </w:r>
            <w:r>
              <w:rPr>
                <w:color w:val="auto"/>
              </w:rPr>
              <w:t>11</w:t>
            </w:r>
            <w:r>
              <w:rPr>
                <w:rFonts w:hint="eastAsia"/>
                <w:color w:val="auto"/>
              </w:rPr>
              <w:t>月取得原淮南市环境保护局出具的批复（淮环审复</w:t>
            </w:r>
            <w:r>
              <w:rPr>
                <w:rFonts w:hint="eastAsia" w:ascii="宋体" w:hAnsi="宋体"/>
                <w:color w:val="auto"/>
              </w:rPr>
              <w:t>〔</w:t>
            </w:r>
            <w:r>
              <w:rPr>
                <w:color w:val="auto"/>
              </w:rPr>
              <w:t>2017</w:t>
            </w:r>
            <w:r>
              <w:rPr>
                <w:rFonts w:hint="eastAsia" w:ascii="宋体" w:hAnsi="宋体"/>
                <w:color w:val="auto"/>
              </w:rPr>
              <w:t>〕</w:t>
            </w:r>
            <w:r>
              <w:rPr>
                <w:color w:val="auto"/>
              </w:rPr>
              <w:t>41</w:t>
            </w:r>
            <w:r>
              <w:rPr>
                <w:rFonts w:hint="eastAsia"/>
                <w:color w:val="auto"/>
              </w:rPr>
              <w:t>号），新增处理规模2万m</w:t>
            </w:r>
            <w:r>
              <w:rPr>
                <w:color w:val="auto"/>
                <w:vertAlign w:val="superscript"/>
              </w:rPr>
              <w:t>3</w:t>
            </w:r>
            <w:r>
              <w:rPr>
                <w:rFonts w:hint="eastAsia"/>
                <w:color w:val="auto"/>
              </w:rPr>
              <w:t>/d，采用“A</w:t>
            </w:r>
            <w:r>
              <w:rPr>
                <w:color w:val="auto"/>
              </w:rPr>
              <w:t>AO</w:t>
            </w:r>
            <w:r>
              <w:rPr>
                <w:rFonts w:hint="eastAsia"/>
                <w:color w:val="auto"/>
              </w:rPr>
              <w:t>型Carrousel氧化沟工艺”工艺，出水执行《城镇污水处理厂污染物排放标准》（GB-18198-2002）一级A标准。二期工程于2020年</w:t>
            </w:r>
            <w:r>
              <w:rPr>
                <w:color w:val="auto"/>
              </w:rPr>
              <w:t>4</w:t>
            </w:r>
            <w:r>
              <w:rPr>
                <w:rFonts w:hint="eastAsia"/>
                <w:color w:val="auto"/>
              </w:rPr>
              <w:t>月由建设单位开展了自主竣工环境保护验收，现已投入运行。</w:t>
            </w:r>
          </w:p>
          <w:p w14:paraId="437F986A">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eastAsia="宋体"/>
                <w:lang w:val="en-US" w:eastAsia="zh-CN"/>
              </w:rPr>
            </w:pPr>
            <w:r>
              <w:rPr>
                <w:rFonts w:hint="eastAsia"/>
                <w:sz w:val="24"/>
                <w:lang w:val="en-US" w:eastAsia="zh-CN"/>
              </w:rPr>
              <w:t>本项目属于污水处理厂</w:t>
            </w:r>
            <w:r>
              <w:rPr>
                <w:sz w:val="24"/>
              </w:rPr>
              <w:t>服务范围</w:t>
            </w:r>
            <w:r>
              <w:rPr>
                <w:rFonts w:hint="eastAsia"/>
                <w:sz w:val="24"/>
                <w:lang w:val="en-US" w:eastAsia="zh-CN"/>
              </w:rPr>
              <w:t>内，且日排水量为2.04</w:t>
            </w:r>
            <w:r>
              <w:rPr>
                <w:sz w:val="24"/>
              </w:rPr>
              <w:t>m</w:t>
            </w:r>
            <w:r>
              <w:rPr>
                <w:sz w:val="24"/>
                <w:vertAlign w:val="superscript"/>
              </w:rPr>
              <w:t>3</w:t>
            </w:r>
            <w:r>
              <w:rPr>
                <w:sz w:val="24"/>
              </w:rPr>
              <w:t>/d</w:t>
            </w:r>
            <w:r>
              <w:rPr>
                <w:rFonts w:hint="eastAsia"/>
                <w:sz w:val="24"/>
                <w:lang w:eastAsia="zh-CN"/>
              </w:rPr>
              <w:t>，</w:t>
            </w:r>
            <w:r>
              <w:rPr>
                <w:rFonts w:hint="eastAsia"/>
                <w:sz w:val="24"/>
                <w:lang w:val="en-US" w:eastAsia="zh-CN"/>
              </w:rPr>
              <w:t>仅占处理规模的0.051</w:t>
            </w:r>
            <w:r>
              <w:rPr>
                <w:rFonts w:hint="default" w:ascii="Times New Roman" w:hAnsi="Times New Roman" w:cs="Times New Roman"/>
                <w:sz w:val="24"/>
                <w:lang w:val="en-US" w:eastAsia="zh-CN"/>
              </w:rPr>
              <w:t>‰</w:t>
            </w:r>
            <w:r>
              <w:rPr>
                <w:rFonts w:hint="eastAsia"/>
                <w:sz w:val="24"/>
                <w:lang w:val="en-US" w:eastAsia="zh-CN"/>
              </w:rPr>
              <w:t>，因此，本项目废水进入</w:t>
            </w:r>
            <w:r>
              <w:rPr>
                <w:rFonts w:hint="eastAsia"/>
                <w:b w:val="0"/>
                <w:bCs/>
                <w:color w:val="000000" w:themeColor="text1"/>
                <w:sz w:val="24"/>
                <w:szCs w:val="24"/>
                <w:lang w:eastAsia="zh-CN"/>
                <w14:textFill>
                  <w14:solidFill>
                    <w14:schemeClr w14:val="tx1"/>
                  </w14:solidFill>
                </w14:textFill>
              </w:rPr>
              <w:t>淮南市潘集污水处理厂</w:t>
            </w:r>
            <w:r>
              <w:rPr>
                <w:rFonts w:hint="eastAsia"/>
                <w:b w:val="0"/>
                <w:bCs/>
                <w:color w:val="000000" w:themeColor="text1"/>
                <w:sz w:val="24"/>
                <w:szCs w:val="24"/>
                <w:lang w:val="en-US" w:eastAsia="zh-CN"/>
                <w14:textFill>
                  <w14:solidFill>
                    <w14:schemeClr w14:val="tx1"/>
                  </w14:solidFill>
                </w14:textFill>
              </w:rPr>
              <w:t>处理是可行的。</w:t>
            </w:r>
          </w:p>
          <w:p w14:paraId="6EFA1155">
            <w:pPr>
              <w:ind w:firstLine="482" w:firstLineChars="200"/>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3、噪声环境保护措施</w:t>
            </w:r>
          </w:p>
          <w:p w14:paraId="2A75EB54">
            <w:pPr>
              <w:widowControl/>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（1）噪声污染源强分析</w:t>
            </w:r>
          </w:p>
          <w:p w14:paraId="76382C6A">
            <w:pPr>
              <w:pStyle w:val="28"/>
              <w:spacing w:after="0"/>
              <w:ind w:left="0" w:leftChars="0" w:firstLine="480"/>
              <w:rPr>
                <w:rFonts w:hint="eastAsia"/>
                <w:color w:val="000000" w:themeColor="text1"/>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t>本项目营运期噪声主要来源于注塑机</w:t>
            </w:r>
            <w:r>
              <w:rPr>
                <w:rFonts w:hint="eastAsia"/>
                <w:color w:val="000000" w:themeColor="text1"/>
                <w:highlight w:val="none"/>
                <w:lang w:val="en-US" w:eastAsia="zh-CN"/>
                <w14:textFill>
                  <w14:solidFill>
                    <w14:schemeClr w14:val="tx1"/>
                  </w14:solidFill>
                </w14:textFill>
              </w:rPr>
              <w:t>、拌料机、粉碎机</w:t>
            </w:r>
            <w:r>
              <w:rPr>
                <w:rFonts w:hint="default" w:ascii="Times New Roman" w:hAnsi="Times New Roman" w:eastAsia="宋体"/>
                <w:color w:val="000000" w:themeColor="text1"/>
                <w:highlight w:val="none"/>
                <w:lang w:val="en-US" w:eastAsia="zh-CN"/>
                <w14:textFill>
                  <w14:solidFill>
                    <w14:schemeClr w14:val="tx1"/>
                  </w14:solidFill>
                </w14:textFill>
              </w:rPr>
              <w:t>以及风机等</w:t>
            </w:r>
            <w:r>
              <w:rPr>
                <w:rFonts w:hint="eastAsia"/>
                <w:color w:val="000000" w:themeColor="text1"/>
                <w:highlight w:val="none"/>
                <w:lang w:val="en-US" w:eastAsia="zh-CN"/>
                <w14:textFill>
                  <w14:solidFill>
                    <w14:schemeClr w14:val="tx1"/>
                  </w14:solidFill>
                </w14:textFill>
              </w:rPr>
              <w:t>设备</w:t>
            </w:r>
            <w:r>
              <w:rPr>
                <w:rFonts w:hint="eastAsia"/>
                <w:color w:val="000000" w:themeColor="text1"/>
                <w14:textFill>
                  <w14:solidFill>
                    <w14:schemeClr w14:val="tx1"/>
                  </w14:solidFill>
                </w14:textFill>
              </w:rPr>
              <w:t>，具体源强如下</w:t>
            </w:r>
            <w:r>
              <w:rPr>
                <w:rFonts w:hint="eastAsia"/>
                <w:color w:val="000000" w:themeColor="text1"/>
                <w:lang w:eastAsia="zh-CN"/>
                <w14:textFill>
                  <w14:solidFill>
                    <w14:schemeClr w14:val="tx1"/>
                  </w14:solidFill>
                </w14:textFill>
              </w:rPr>
              <w:t>：</w:t>
            </w:r>
          </w:p>
        </w:tc>
      </w:tr>
    </w:tbl>
    <w:p w14:paraId="17989A01">
      <w:pPr>
        <w:rPr>
          <w:rFonts w:hint="eastAsia"/>
          <w:color w:val="000000"/>
        </w:rPr>
        <w:sectPr>
          <w:pgSz w:w="11907" w:h="16840"/>
          <w:pgMar w:top="1531" w:right="1531" w:bottom="1531" w:left="1531" w:header="851" w:footer="851" w:gutter="0"/>
          <w:pgBorders>
            <w:top w:val="none" w:sz="0" w:space="0"/>
            <w:left w:val="none" w:sz="0" w:space="0"/>
            <w:bottom w:val="none" w:sz="0" w:space="0"/>
            <w:right w:val="none" w:sz="0" w:space="0"/>
          </w:pgBorders>
          <w:cols w:space="720" w:num="1"/>
          <w:docGrid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13093"/>
      </w:tblGrid>
      <w:tr w14:paraId="78FB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0" w:hRule="atLeast"/>
        </w:trPr>
        <w:tc>
          <w:tcPr>
            <w:tcW w:w="899" w:type="dxa"/>
            <w:vAlign w:val="center"/>
          </w:tcPr>
          <w:p w14:paraId="2AC92471">
            <w:pPr>
              <w:pStyle w:val="61"/>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运营</w:t>
            </w:r>
          </w:p>
          <w:p w14:paraId="7441F585">
            <w:pPr>
              <w:pStyle w:val="61"/>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期环</w:t>
            </w:r>
          </w:p>
          <w:p w14:paraId="321C9575">
            <w:pPr>
              <w:pStyle w:val="61"/>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境影</w:t>
            </w:r>
          </w:p>
          <w:p w14:paraId="7C4BFA70">
            <w:pPr>
              <w:pStyle w:val="61"/>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响和</w:t>
            </w:r>
          </w:p>
          <w:p w14:paraId="2D4F7A0F">
            <w:pPr>
              <w:pStyle w:val="61"/>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保护</w:t>
            </w:r>
          </w:p>
          <w:p w14:paraId="6B372F9D">
            <w:pPr>
              <w:pStyle w:val="2"/>
              <w:spacing w:line="240" w:lineRule="auto"/>
              <w:jc w:val="center"/>
              <w:rPr>
                <w:rFonts w:hint="eastAsia"/>
                <w:color w:val="000000"/>
                <w:vertAlign w:val="baseline"/>
              </w:rPr>
            </w:pPr>
            <w:r>
              <w:rPr>
                <w:rFonts w:hint="eastAsia"/>
                <w:b w:val="0"/>
                <w:bCs/>
                <w:color w:val="000000" w:themeColor="text1"/>
                <w:sz w:val="24"/>
                <w:szCs w:val="24"/>
                <w14:textFill>
                  <w14:solidFill>
                    <w14:schemeClr w14:val="tx1"/>
                  </w14:solidFill>
                </w14:textFill>
              </w:rPr>
              <w:t>措</w:t>
            </w:r>
          </w:p>
        </w:tc>
        <w:tc>
          <w:tcPr>
            <w:tcW w:w="13093" w:type="dxa"/>
          </w:tcPr>
          <w:p w14:paraId="142AFC60">
            <w:pPr>
              <w:pStyle w:val="62"/>
              <w:spacing w:line="240" w:lineRule="auto"/>
              <w:ind w:firstLine="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表4-</w:t>
            </w:r>
            <w:r>
              <w:rPr>
                <w:rFonts w:hint="eastAsia"/>
                <w:color w:val="000000" w:themeColor="text1"/>
                <w:highlight w:val="none"/>
                <w:lang w:val="en-US" w:eastAsia="zh-CN"/>
                <w14:textFill>
                  <w14:solidFill>
                    <w14:schemeClr w14:val="tx1"/>
                  </w14:solidFill>
                </w14:textFill>
              </w:rPr>
              <w:t xml:space="preserve">11 </w:t>
            </w:r>
            <w:r>
              <w:rPr>
                <w:rFonts w:hint="eastAsia"/>
                <w:color w:val="000000" w:themeColor="text1"/>
                <w:highlight w:val="none"/>
                <w14:textFill>
                  <w14:solidFill>
                    <w14:schemeClr w14:val="tx1"/>
                  </w14:solidFill>
                </w14:textFill>
              </w:rPr>
              <w:t xml:space="preserve"> 室内声源工业企业噪声源调查清单</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867"/>
              <w:gridCol w:w="1146"/>
              <w:gridCol w:w="559"/>
              <w:gridCol w:w="925"/>
              <w:gridCol w:w="693"/>
              <w:gridCol w:w="966"/>
              <w:gridCol w:w="966"/>
              <w:gridCol w:w="886"/>
              <w:gridCol w:w="724"/>
              <w:gridCol w:w="1038"/>
              <w:gridCol w:w="907"/>
              <w:gridCol w:w="783"/>
              <w:gridCol w:w="1007"/>
              <w:gridCol w:w="873"/>
            </w:tblGrid>
            <w:tr w14:paraId="793AF5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 w:type="pct"/>
                  <w:vMerge w:val="restart"/>
                  <w:tcBorders>
                    <w:tl2br w:val="nil"/>
                    <w:tr2bl w:val="nil"/>
                  </w:tcBorders>
                  <w:noWrap w:val="0"/>
                  <w:vAlign w:val="center"/>
                </w:tcPr>
                <w:p w14:paraId="771A6A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序号</w:t>
                  </w:r>
                </w:p>
              </w:tc>
              <w:tc>
                <w:tcPr>
                  <w:tcW w:w="337" w:type="pct"/>
                  <w:vMerge w:val="restart"/>
                  <w:tcBorders>
                    <w:tl2br w:val="nil"/>
                    <w:tr2bl w:val="nil"/>
                  </w:tcBorders>
                  <w:noWrap w:val="0"/>
                  <w:vAlign w:val="center"/>
                </w:tcPr>
                <w:p w14:paraId="1B8F6C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auto"/>
                      <w:kern w:val="2"/>
                      <w:sz w:val="21"/>
                      <w:szCs w:val="21"/>
                      <w:highlight w:val="none"/>
                      <w:lang w:val="en-US" w:eastAsia="zh-CN" w:bidi="ar-SA"/>
                    </w:rPr>
                  </w:pPr>
                  <w:r>
                    <w:rPr>
                      <w:rFonts w:hint="eastAsia" w:eastAsia="宋体"/>
                      <w:b/>
                      <w:bCs/>
                      <w:color w:val="auto"/>
                      <w:kern w:val="2"/>
                      <w:sz w:val="21"/>
                      <w:szCs w:val="21"/>
                      <w:highlight w:val="none"/>
                      <w:lang w:val="en-US" w:eastAsia="zh-CN" w:bidi="ar-SA"/>
                    </w:rPr>
                    <w:t>建筑物名称</w:t>
                  </w:r>
                </w:p>
              </w:tc>
              <w:tc>
                <w:tcPr>
                  <w:tcW w:w="445" w:type="pct"/>
                  <w:vMerge w:val="restart"/>
                  <w:tcBorders>
                    <w:tl2br w:val="nil"/>
                    <w:tr2bl w:val="nil"/>
                  </w:tcBorders>
                  <w:noWrap w:val="0"/>
                  <w:vAlign w:val="center"/>
                </w:tcPr>
                <w:p w14:paraId="28685D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kern w:val="2"/>
                      <w:sz w:val="21"/>
                      <w:szCs w:val="21"/>
                      <w:highlight w:val="none"/>
                      <w:lang w:val="en-US" w:eastAsia="zh-CN" w:bidi="ar-SA"/>
                    </w:rPr>
                  </w:pPr>
                  <w:r>
                    <w:rPr>
                      <w:rFonts w:hint="eastAsia" w:eastAsia="宋体"/>
                      <w:b/>
                      <w:bCs/>
                      <w:color w:val="auto"/>
                      <w:kern w:val="2"/>
                      <w:sz w:val="21"/>
                      <w:szCs w:val="21"/>
                      <w:highlight w:val="none"/>
                      <w:lang w:val="en-US" w:eastAsia="zh-CN" w:bidi="ar-SA"/>
                    </w:rPr>
                    <w:t>声源名称</w:t>
                  </w:r>
                </w:p>
              </w:tc>
              <w:tc>
                <w:tcPr>
                  <w:tcW w:w="217" w:type="pct"/>
                  <w:vMerge w:val="restart"/>
                  <w:tcBorders>
                    <w:tl2br w:val="nil"/>
                    <w:tr2bl w:val="nil"/>
                  </w:tcBorders>
                  <w:noWrap w:val="0"/>
                  <w:vAlign w:val="center"/>
                </w:tcPr>
                <w:p w14:paraId="1ADCEBA7">
                  <w:pPr>
                    <w:pStyle w:val="73"/>
                    <w:keepNext w:val="0"/>
                    <w:keepLines w:val="0"/>
                    <w:pageBreakBefore w:val="0"/>
                    <w:kinsoku/>
                    <w:wordWrap/>
                    <w:bidi w:val="0"/>
                    <w:spacing w:line="240" w:lineRule="auto"/>
                    <w:ind w:firstLine="0" w:firstLineChars="0"/>
                    <w:jc w:val="center"/>
                    <w:rPr>
                      <w:rFonts w:hint="eastAsia"/>
                      <w:b/>
                      <w:bCs/>
                      <w:color w:val="auto"/>
                      <w:kern w:val="0"/>
                      <w:sz w:val="21"/>
                      <w:szCs w:val="21"/>
                      <w:highlight w:val="none"/>
                      <w:lang w:val="en-US" w:eastAsia="zh-CN" w:bidi="ar-SA"/>
                    </w:rPr>
                  </w:pPr>
                  <w:r>
                    <w:rPr>
                      <w:rFonts w:hint="eastAsia"/>
                      <w:b/>
                      <w:bCs/>
                      <w:color w:val="auto"/>
                      <w:sz w:val="21"/>
                      <w:szCs w:val="21"/>
                      <w:highlight w:val="none"/>
                    </w:rPr>
                    <w:t>数量</w:t>
                  </w:r>
                </w:p>
                <w:p w14:paraId="1672DB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kern w:val="2"/>
                      <w:sz w:val="21"/>
                      <w:szCs w:val="21"/>
                      <w:highlight w:val="none"/>
                      <w:lang w:val="en-US" w:eastAsia="zh-CN" w:bidi="ar-SA"/>
                    </w:rPr>
                  </w:pPr>
                </w:p>
              </w:tc>
              <w:tc>
                <w:tcPr>
                  <w:tcW w:w="359" w:type="pct"/>
                  <w:tcBorders>
                    <w:tl2br w:val="nil"/>
                    <w:tr2bl w:val="nil"/>
                  </w:tcBorders>
                  <w:noWrap w:val="0"/>
                  <w:vAlign w:val="center"/>
                </w:tcPr>
                <w:p w14:paraId="279B28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kern w:val="2"/>
                      <w:sz w:val="21"/>
                      <w:szCs w:val="21"/>
                      <w:highlight w:val="none"/>
                      <w:lang w:val="en-US" w:eastAsia="zh-CN" w:bidi="ar-SA"/>
                    </w:rPr>
                  </w:pPr>
                  <w:r>
                    <w:rPr>
                      <w:rFonts w:hint="eastAsia" w:eastAsia="宋体"/>
                      <w:b/>
                      <w:bCs/>
                      <w:color w:val="auto"/>
                      <w:kern w:val="2"/>
                      <w:sz w:val="21"/>
                      <w:szCs w:val="21"/>
                      <w:highlight w:val="none"/>
                      <w:lang w:val="en-US" w:eastAsia="zh-CN" w:bidi="ar-SA"/>
                    </w:rPr>
                    <w:t>声源源强（r0）</w:t>
                  </w:r>
                </w:p>
              </w:tc>
              <w:tc>
                <w:tcPr>
                  <w:tcW w:w="269" w:type="pct"/>
                  <w:vMerge w:val="restart"/>
                  <w:tcBorders>
                    <w:tl2br w:val="nil"/>
                    <w:tr2bl w:val="nil"/>
                  </w:tcBorders>
                  <w:noWrap w:val="0"/>
                  <w:vAlign w:val="center"/>
                </w:tcPr>
                <w:p w14:paraId="6D6A28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kern w:val="2"/>
                      <w:sz w:val="21"/>
                      <w:szCs w:val="21"/>
                      <w:highlight w:val="none"/>
                      <w:lang w:val="en-US" w:eastAsia="zh-CN" w:bidi="ar-SA"/>
                    </w:rPr>
                  </w:pPr>
                  <w:r>
                    <w:rPr>
                      <w:rFonts w:hint="eastAsia" w:eastAsia="宋体"/>
                      <w:b/>
                      <w:bCs/>
                      <w:color w:val="auto"/>
                      <w:kern w:val="2"/>
                      <w:sz w:val="21"/>
                      <w:szCs w:val="21"/>
                      <w:highlight w:val="none"/>
                      <w:lang w:val="en-US" w:eastAsia="zh-CN" w:bidi="ar-SA"/>
                    </w:rPr>
                    <w:t>声源控制措施</w:t>
                  </w:r>
                </w:p>
              </w:tc>
              <w:tc>
                <w:tcPr>
                  <w:tcW w:w="1094" w:type="pct"/>
                  <w:gridSpan w:val="3"/>
                  <w:tcBorders>
                    <w:tl2br w:val="nil"/>
                    <w:tr2bl w:val="nil"/>
                  </w:tcBorders>
                  <w:noWrap w:val="0"/>
                  <w:vAlign w:val="center"/>
                </w:tcPr>
                <w:p w14:paraId="12629A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auto"/>
                      <w:kern w:val="2"/>
                      <w:sz w:val="21"/>
                      <w:szCs w:val="21"/>
                      <w:highlight w:val="none"/>
                      <w:lang w:val="en-US" w:eastAsia="zh-CN" w:bidi="ar-SA"/>
                    </w:rPr>
                  </w:pPr>
                  <w:r>
                    <w:rPr>
                      <w:rFonts w:hint="eastAsia" w:eastAsia="宋体"/>
                      <w:b/>
                      <w:bCs/>
                      <w:color w:val="auto"/>
                      <w:kern w:val="2"/>
                      <w:sz w:val="21"/>
                      <w:szCs w:val="21"/>
                      <w:highlight w:val="none"/>
                      <w:lang w:val="en-US" w:eastAsia="zh-CN" w:bidi="ar-SA"/>
                    </w:rPr>
                    <w:t>空间相对位置/m</w:t>
                  </w:r>
                </w:p>
              </w:tc>
              <w:tc>
                <w:tcPr>
                  <w:tcW w:w="281" w:type="pct"/>
                  <w:vMerge w:val="restart"/>
                  <w:tcBorders>
                    <w:tl2br w:val="nil"/>
                    <w:tr2bl w:val="nil"/>
                  </w:tcBorders>
                  <w:noWrap w:val="0"/>
                  <w:vAlign w:val="center"/>
                </w:tcPr>
                <w:p w14:paraId="597D70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auto"/>
                      <w:kern w:val="2"/>
                      <w:sz w:val="21"/>
                      <w:szCs w:val="21"/>
                      <w:highlight w:val="none"/>
                      <w:lang w:val="en-US" w:eastAsia="zh-CN" w:bidi="ar-SA"/>
                    </w:rPr>
                  </w:pPr>
                  <w:r>
                    <w:rPr>
                      <w:rFonts w:hint="eastAsia" w:eastAsia="宋体"/>
                      <w:b/>
                      <w:bCs/>
                      <w:color w:val="auto"/>
                      <w:kern w:val="2"/>
                      <w:sz w:val="21"/>
                      <w:szCs w:val="21"/>
                      <w:highlight w:val="none"/>
                      <w:lang w:val="en-US" w:eastAsia="zh-CN" w:bidi="ar-SA"/>
                    </w:rPr>
                    <w:t>距室内边界距离/m</w:t>
                  </w:r>
                </w:p>
              </w:tc>
              <w:tc>
                <w:tcPr>
                  <w:tcW w:w="403" w:type="pct"/>
                  <w:vMerge w:val="restart"/>
                  <w:tcBorders>
                    <w:tl2br w:val="nil"/>
                    <w:tr2bl w:val="nil"/>
                  </w:tcBorders>
                  <w:noWrap w:val="0"/>
                  <w:vAlign w:val="center"/>
                </w:tcPr>
                <w:p w14:paraId="6DC2E9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kern w:val="2"/>
                      <w:sz w:val="21"/>
                      <w:szCs w:val="21"/>
                      <w:highlight w:val="none"/>
                      <w:lang w:val="en-US" w:eastAsia="zh-CN" w:bidi="ar-SA"/>
                    </w:rPr>
                  </w:pPr>
                  <w:r>
                    <w:rPr>
                      <w:rFonts w:hint="eastAsia" w:eastAsia="宋体"/>
                      <w:b/>
                      <w:bCs/>
                      <w:color w:val="auto"/>
                      <w:kern w:val="2"/>
                      <w:sz w:val="21"/>
                      <w:szCs w:val="21"/>
                      <w:highlight w:val="none"/>
                      <w:lang w:val="en-US" w:eastAsia="zh-CN" w:bidi="ar-SA"/>
                    </w:rPr>
                    <w:t>室内边界声级</w:t>
                  </w:r>
                  <w:r>
                    <w:rPr>
                      <w:rFonts w:hint="eastAsia" w:ascii="Times New Roman" w:hAnsi="Times New Roman" w:eastAsia="宋体" w:cs="Times New Roman"/>
                      <w:b/>
                      <w:bCs/>
                      <w:color w:val="auto"/>
                      <w:sz w:val="21"/>
                      <w:szCs w:val="21"/>
                      <w:highlight w:val="none"/>
                      <w:lang w:val="en-US" w:eastAsia="zh-CN"/>
                    </w:rPr>
                    <w:t>dB(A)</w:t>
                  </w:r>
                </w:p>
              </w:tc>
              <w:tc>
                <w:tcPr>
                  <w:tcW w:w="352" w:type="pct"/>
                  <w:vMerge w:val="restart"/>
                  <w:tcBorders>
                    <w:tl2br w:val="nil"/>
                    <w:tr2bl w:val="nil"/>
                  </w:tcBorders>
                  <w:noWrap w:val="0"/>
                  <w:vAlign w:val="center"/>
                </w:tcPr>
                <w:p w14:paraId="3910F2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auto"/>
                      <w:kern w:val="2"/>
                      <w:sz w:val="21"/>
                      <w:szCs w:val="21"/>
                      <w:highlight w:val="none"/>
                      <w:lang w:val="en-US" w:eastAsia="zh-CN" w:bidi="ar-SA"/>
                    </w:rPr>
                  </w:pPr>
                  <w:r>
                    <w:rPr>
                      <w:rFonts w:hint="eastAsia" w:eastAsia="宋体"/>
                      <w:b/>
                      <w:bCs/>
                      <w:color w:val="auto"/>
                      <w:kern w:val="2"/>
                      <w:sz w:val="21"/>
                      <w:szCs w:val="21"/>
                      <w:highlight w:val="none"/>
                      <w:lang w:val="en-US" w:eastAsia="zh-CN" w:bidi="ar-SA"/>
                    </w:rPr>
                    <w:t>运行时段</w:t>
                  </w:r>
                  <w:r>
                    <w:rPr>
                      <w:rFonts w:hint="eastAsia"/>
                      <w:b/>
                      <w:bCs/>
                      <w:color w:val="auto"/>
                      <w:kern w:val="2"/>
                      <w:sz w:val="21"/>
                      <w:szCs w:val="21"/>
                      <w:highlight w:val="none"/>
                      <w:lang w:val="en-US" w:eastAsia="zh-CN" w:bidi="ar-SA"/>
                    </w:rPr>
                    <w:t>（</w:t>
                  </w:r>
                  <w:r>
                    <w:rPr>
                      <w:rFonts w:hint="eastAsia" w:eastAsia="宋体"/>
                      <w:b/>
                      <w:bCs/>
                      <w:color w:val="auto"/>
                      <w:kern w:val="2"/>
                      <w:sz w:val="21"/>
                      <w:szCs w:val="21"/>
                      <w:highlight w:val="none"/>
                      <w:lang w:val="en-US" w:eastAsia="zh-CN" w:bidi="ar-SA"/>
                    </w:rPr>
                    <w:t>h</w:t>
                  </w:r>
                  <w:r>
                    <w:rPr>
                      <w:rFonts w:hint="eastAsia"/>
                      <w:b/>
                      <w:bCs/>
                      <w:color w:val="auto"/>
                      <w:kern w:val="2"/>
                      <w:sz w:val="21"/>
                      <w:szCs w:val="21"/>
                      <w:highlight w:val="none"/>
                      <w:lang w:val="en-US" w:eastAsia="zh-CN" w:bidi="ar-SA"/>
                    </w:rPr>
                    <w:t>）</w:t>
                  </w:r>
                </w:p>
              </w:tc>
              <w:tc>
                <w:tcPr>
                  <w:tcW w:w="304" w:type="pct"/>
                  <w:vMerge w:val="restart"/>
                  <w:tcBorders>
                    <w:tl2br w:val="nil"/>
                    <w:tr2bl w:val="nil"/>
                  </w:tcBorders>
                  <w:noWrap w:val="0"/>
                  <w:vAlign w:val="center"/>
                </w:tcPr>
                <w:p w14:paraId="48A1A4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auto"/>
                      <w:kern w:val="2"/>
                      <w:sz w:val="21"/>
                      <w:szCs w:val="21"/>
                      <w:highlight w:val="none"/>
                      <w:lang w:val="en-US" w:eastAsia="zh-CN" w:bidi="ar-SA"/>
                    </w:rPr>
                  </w:pPr>
                  <w:r>
                    <w:rPr>
                      <w:rFonts w:hint="eastAsia" w:eastAsia="宋体"/>
                      <w:b/>
                      <w:bCs/>
                      <w:color w:val="auto"/>
                      <w:kern w:val="2"/>
                      <w:sz w:val="21"/>
                      <w:szCs w:val="21"/>
                      <w:highlight w:val="none"/>
                      <w:lang w:val="en-US" w:eastAsia="zh-CN" w:bidi="ar-SA"/>
                    </w:rPr>
                    <w:t>建筑物插入损失</w:t>
                  </w:r>
                  <w:r>
                    <w:rPr>
                      <w:rFonts w:hint="eastAsia" w:ascii="Times New Roman" w:hAnsi="Times New Roman" w:eastAsia="宋体" w:cs="Times New Roman"/>
                      <w:b/>
                      <w:bCs/>
                      <w:color w:val="auto"/>
                      <w:sz w:val="21"/>
                      <w:szCs w:val="21"/>
                      <w:highlight w:val="none"/>
                      <w:lang w:val="en-US" w:eastAsia="zh-CN"/>
                    </w:rPr>
                    <w:t>dB(A)</w:t>
                  </w:r>
                </w:p>
              </w:tc>
              <w:tc>
                <w:tcPr>
                  <w:tcW w:w="726" w:type="pct"/>
                  <w:gridSpan w:val="2"/>
                  <w:tcBorders>
                    <w:tl2br w:val="nil"/>
                    <w:tr2bl w:val="nil"/>
                  </w:tcBorders>
                  <w:noWrap w:val="0"/>
                  <w:vAlign w:val="center"/>
                </w:tcPr>
                <w:p w14:paraId="5213C5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kern w:val="2"/>
                      <w:sz w:val="21"/>
                      <w:szCs w:val="21"/>
                      <w:highlight w:val="none"/>
                      <w:lang w:val="en-US" w:eastAsia="zh-CN" w:bidi="ar-SA"/>
                    </w:rPr>
                  </w:pPr>
                  <w:r>
                    <w:rPr>
                      <w:rFonts w:hint="eastAsia" w:eastAsia="宋体"/>
                      <w:b/>
                      <w:bCs/>
                      <w:color w:val="auto"/>
                      <w:kern w:val="2"/>
                      <w:sz w:val="21"/>
                      <w:szCs w:val="21"/>
                      <w:highlight w:val="none"/>
                      <w:lang w:val="en-US" w:eastAsia="zh-CN" w:bidi="ar-SA"/>
                    </w:rPr>
                    <w:t>建筑物外噪声</w:t>
                  </w:r>
                </w:p>
              </w:tc>
            </w:tr>
            <w:tr w14:paraId="2F8F7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 w:type="pct"/>
                  <w:vMerge w:val="continue"/>
                  <w:tcBorders>
                    <w:tl2br w:val="nil"/>
                    <w:tr2bl w:val="nil"/>
                  </w:tcBorders>
                  <w:noWrap w:val="0"/>
                  <w:vAlign w:val="center"/>
                </w:tcPr>
                <w:p w14:paraId="15E931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p>
              </w:tc>
              <w:tc>
                <w:tcPr>
                  <w:tcW w:w="337" w:type="pct"/>
                  <w:vMerge w:val="continue"/>
                  <w:tcBorders>
                    <w:tl2br w:val="nil"/>
                    <w:tr2bl w:val="nil"/>
                  </w:tcBorders>
                  <w:noWrap w:val="0"/>
                  <w:vAlign w:val="center"/>
                </w:tcPr>
                <w:p w14:paraId="68F7BA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445" w:type="pct"/>
                  <w:vMerge w:val="continue"/>
                  <w:tcBorders>
                    <w:tl2br w:val="nil"/>
                    <w:tr2bl w:val="nil"/>
                  </w:tcBorders>
                  <w:noWrap w:val="0"/>
                  <w:vAlign w:val="center"/>
                </w:tcPr>
                <w:p w14:paraId="5F002B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217" w:type="pct"/>
                  <w:vMerge w:val="continue"/>
                  <w:tcBorders>
                    <w:tl2br w:val="nil"/>
                    <w:tr2bl w:val="nil"/>
                  </w:tcBorders>
                  <w:noWrap w:val="0"/>
                  <w:vAlign w:val="center"/>
                </w:tcPr>
                <w:p w14:paraId="68BCB3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359" w:type="pct"/>
                  <w:tcBorders>
                    <w:tl2br w:val="nil"/>
                    <w:tr2bl w:val="nil"/>
                  </w:tcBorders>
                  <w:noWrap w:val="0"/>
                  <w:vAlign w:val="center"/>
                </w:tcPr>
                <w:p w14:paraId="44254A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声功率级/dB（A）</w:t>
                  </w:r>
                </w:p>
              </w:tc>
              <w:tc>
                <w:tcPr>
                  <w:tcW w:w="269" w:type="pct"/>
                  <w:vMerge w:val="continue"/>
                  <w:tcBorders>
                    <w:tl2br w:val="nil"/>
                    <w:tr2bl w:val="nil"/>
                  </w:tcBorders>
                  <w:noWrap w:val="0"/>
                  <w:vAlign w:val="center"/>
                </w:tcPr>
                <w:p w14:paraId="357309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375" w:type="pct"/>
                  <w:tcBorders>
                    <w:tl2br w:val="nil"/>
                    <w:tr2bl w:val="nil"/>
                  </w:tcBorders>
                  <w:noWrap w:val="0"/>
                  <w:vAlign w:val="center"/>
                </w:tcPr>
                <w:p w14:paraId="37E21B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X</w:t>
                  </w:r>
                </w:p>
              </w:tc>
              <w:tc>
                <w:tcPr>
                  <w:tcW w:w="375" w:type="pct"/>
                  <w:tcBorders>
                    <w:tl2br w:val="nil"/>
                    <w:tr2bl w:val="nil"/>
                  </w:tcBorders>
                  <w:noWrap w:val="0"/>
                  <w:vAlign w:val="center"/>
                </w:tcPr>
                <w:p w14:paraId="460E16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Y</w:t>
                  </w:r>
                </w:p>
              </w:tc>
              <w:tc>
                <w:tcPr>
                  <w:tcW w:w="344" w:type="pct"/>
                  <w:tcBorders>
                    <w:tl2br w:val="nil"/>
                    <w:tr2bl w:val="nil"/>
                  </w:tcBorders>
                  <w:noWrap w:val="0"/>
                  <w:vAlign w:val="center"/>
                </w:tcPr>
                <w:p w14:paraId="25341A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Z</w:t>
                  </w:r>
                </w:p>
              </w:tc>
              <w:tc>
                <w:tcPr>
                  <w:tcW w:w="281" w:type="pct"/>
                  <w:vMerge w:val="continue"/>
                  <w:tcBorders>
                    <w:tl2br w:val="nil"/>
                    <w:tr2bl w:val="nil"/>
                  </w:tcBorders>
                  <w:noWrap w:val="0"/>
                  <w:vAlign w:val="center"/>
                </w:tcPr>
                <w:p w14:paraId="35B09B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403" w:type="pct"/>
                  <w:vMerge w:val="continue"/>
                  <w:tcBorders>
                    <w:tl2br w:val="nil"/>
                    <w:tr2bl w:val="nil"/>
                  </w:tcBorders>
                  <w:noWrap w:val="0"/>
                  <w:vAlign w:val="center"/>
                </w:tcPr>
                <w:p w14:paraId="4DA357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352" w:type="pct"/>
                  <w:vMerge w:val="continue"/>
                  <w:tcBorders>
                    <w:tl2br w:val="nil"/>
                    <w:tr2bl w:val="nil"/>
                  </w:tcBorders>
                  <w:noWrap w:val="0"/>
                  <w:vAlign w:val="center"/>
                </w:tcPr>
                <w:p w14:paraId="4EB628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304" w:type="pct"/>
                  <w:vMerge w:val="continue"/>
                  <w:tcBorders>
                    <w:tl2br w:val="nil"/>
                    <w:tr2bl w:val="nil"/>
                  </w:tcBorders>
                  <w:noWrap w:val="0"/>
                  <w:vAlign w:val="center"/>
                </w:tcPr>
                <w:p w14:paraId="7B0870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391" w:type="pct"/>
                  <w:tcBorders>
                    <w:tl2br w:val="nil"/>
                    <w:tr2bl w:val="nil"/>
                  </w:tcBorders>
                  <w:noWrap w:val="0"/>
                  <w:vAlign w:val="center"/>
                </w:tcPr>
                <w:p w14:paraId="516C78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声压级dB(A)</w:t>
                  </w:r>
                </w:p>
              </w:tc>
              <w:tc>
                <w:tcPr>
                  <w:tcW w:w="335" w:type="pct"/>
                  <w:tcBorders>
                    <w:tl2br w:val="nil"/>
                    <w:tr2bl w:val="nil"/>
                  </w:tcBorders>
                  <w:noWrap w:val="0"/>
                  <w:vAlign w:val="center"/>
                </w:tcPr>
                <w:p w14:paraId="6A5E23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建筑物外距离/m</w:t>
                  </w:r>
                </w:p>
              </w:tc>
            </w:tr>
            <w:tr w14:paraId="4AAD9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 w:type="pct"/>
                  <w:tcBorders>
                    <w:tl2br w:val="nil"/>
                    <w:tr2bl w:val="nil"/>
                  </w:tcBorders>
                  <w:noWrap w:val="0"/>
                  <w:vAlign w:val="center"/>
                </w:tcPr>
                <w:p w14:paraId="405E9F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w:t>
                  </w:r>
                </w:p>
              </w:tc>
              <w:tc>
                <w:tcPr>
                  <w:tcW w:w="337" w:type="pct"/>
                  <w:vMerge w:val="restart"/>
                  <w:tcBorders>
                    <w:tl2br w:val="nil"/>
                    <w:tr2bl w:val="nil"/>
                  </w:tcBorders>
                  <w:noWrap w:val="0"/>
                  <w:vAlign w:val="center"/>
                </w:tcPr>
                <w:p w14:paraId="29518A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生产厂房</w:t>
                  </w:r>
                </w:p>
              </w:tc>
              <w:tc>
                <w:tcPr>
                  <w:tcW w:w="445" w:type="pct"/>
                  <w:tcBorders>
                    <w:tl2br w:val="nil"/>
                    <w:tr2bl w:val="nil"/>
                  </w:tcBorders>
                  <w:noWrap w:val="0"/>
                  <w:vAlign w:val="center"/>
                </w:tcPr>
                <w:p w14:paraId="3383C6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注塑机</w:t>
                  </w:r>
                  <w:r>
                    <w:rPr>
                      <w:rFonts w:hint="eastAsia" w:cs="Times New Roman"/>
                      <w:b w:val="0"/>
                      <w:bCs w:val="0"/>
                      <w:color w:val="auto"/>
                      <w:sz w:val="21"/>
                      <w:szCs w:val="21"/>
                      <w:highlight w:val="none"/>
                      <w:lang w:val="en-US" w:eastAsia="zh-CN"/>
                    </w:rPr>
                    <w:t>点声源组</w:t>
                  </w:r>
                </w:p>
              </w:tc>
              <w:tc>
                <w:tcPr>
                  <w:tcW w:w="217" w:type="pct"/>
                  <w:tcBorders>
                    <w:tl2br w:val="nil"/>
                    <w:tr2bl w:val="nil"/>
                  </w:tcBorders>
                  <w:noWrap w:val="0"/>
                  <w:vAlign w:val="center"/>
                </w:tcPr>
                <w:p w14:paraId="3A8D96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30</w:t>
                  </w:r>
                </w:p>
              </w:tc>
              <w:tc>
                <w:tcPr>
                  <w:tcW w:w="359" w:type="pct"/>
                  <w:tcBorders>
                    <w:tl2br w:val="nil"/>
                    <w:tr2bl w:val="nil"/>
                  </w:tcBorders>
                  <w:noWrap w:val="0"/>
                  <w:vAlign w:val="center"/>
                </w:tcPr>
                <w:p w14:paraId="4BF805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94.77</w:t>
                  </w:r>
                </w:p>
              </w:tc>
              <w:tc>
                <w:tcPr>
                  <w:tcW w:w="269" w:type="pct"/>
                  <w:vMerge w:val="restart"/>
                  <w:tcBorders>
                    <w:tl2br w:val="nil"/>
                    <w:tr2bl w:val="nil"/>
                  </w:tcBorders>
                  <w:noWrap w:val="0"/>
                  <w:vAlign w:val="center"/>
                </w:tcPr>
                <w:p w14:paraId="019FD7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减振垫、厂房隔声</w:t>
                  </w:r>
                </w:p>
              </w:tc>
              <w:tc>
                <w:tcPr>
                  <w:tcW w:w="375" w:type="pct"/>
                  <w:tcBorders>
                    <w:tl2br w:val="nil"/>
                    <w:tr2bl w:val="nil"/>
                  </w:tcBorders>
                  <w:noWrap w:val="0"/>
                  <w:vAlign w:val="center"/>
                </w:tcPr>
                <w:p w14:paraId="6000A8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16.8</w:t>
                  </w:r>
                </w:p>
              </w:tc>
              <w:tc>
                <w:tcPr>
                  <w:tcW w:w="375" w:type="pct"/>
                  <w:tcBorders>
                    <w:tl2br w:val="nil"/>
                    <w:tr2bl w:val="nil"/>
                  </w:tcBorders>
                  <w:noWrap w:val="0"/>
                  <w:vAlign w:val="center"/>
                </w:tcPr>
                <w:p w14:paraId="165CCA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29.4</w:t>
                  </w:r>
                </w:p>
              </w:tc>
              <w:tc>
                <w:tcPr>
                  <w:tcW w:w="344" w:type="pct"/>
                  <w:tcBorders>
                    <w:tl2br w:val="nil"/>
                    <w:tr2bl w:val="nil"/>
                  </w:tcBorders>
                  <w:noWrap w:val="0"/>
                  <w:vAlign w:val="center"/>
                </w:tcPr>
                <w:p w14:paraId="73A2D6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0.5</w:t>
                  </w:r>
                </w:p>
              </w:tc>
              <w:tc>
                <w:tcPr>
                  <w:tcW w:w="281" w:type="pct"/>
                  <w:tcBorders>
                    <w:tl2br w:val="nil"/>
                    <w:tr2bl w:val="nil"/>
                  </w:tcBorders>
                  <w:noWrap w:val="0"/>
                  <w:vAlign w:val="center"/>
                </w:tcPr>
                <w:p w14:paraId="2A963B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8.4</w:t>
                  </w:r>
                </w:p>
              </w:tc>
              <w:tc>
                <w:tcPr>
                  <w:tcW w:w="403" w:type="pct"/>
                  <w:tcBorders>
                    <w:tl2br w:val="nil"/>
                    <w:tr2bl w:val="nil"/>
                  </w:tcBorders>
                  <w:noWrap w:val="0"/>
                  <w:vAlign w:val="center"/>
                </w:tcPr>
                <w:p w14:paraId="7245A8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81.8</w:t>
                  </w:r>
                </w:p>
              </w:tc>
              <w:tc>
                <w:tcPr>
                  <w:tcW w:w="352" w:type="pct"/>
                  <w:vMerge w:val="restart"/>
                  <w:tcBorders>
                    <w:tl2br w:val="nil"/>
                    <w:tr2bl w:val="nil"/>
                  </w:tcBorders>
                  <w:noWrap w:val="0"/>
                  <w:vAlign w:val="center"/>
                </w:tcPr>
                <w:p w14:paraId="22C74F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昼间</w:t>
                  </w:r>
                </w:p>
              </w:tc>
              <w:tc>
                <w:tcPr>
                  <w:tcW w:w="304" w:type="pct"/>
                  <w:tcBorders>
                    <w:tl2br w:val="nil"/>
                    <w:tr2bl w:val="nil"/>
                  </w:tcBorders>
                  <w:noWrap w:val="0"/>
                  <w:vAlign w:val="center"/>
                </w:tcPr>
                <w:p w14:paraId="741013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w:t>
                  </w:r>
                </w:p>
              </w:tc>
              <w:tc>
                <w:tcPr>
                  <w:tcW w:w="391" w:type="pct"/>
                  <w:tcBorders>
                    <w:tl2br w:val="nil"/>
                    <w:tr2bl w:val="nil"/>
                  </w:tcBorders>
                  <w:noWrap w:val="0"/>
                  <w:vAlign w:val="center"/>
                </w:tcPr>
                <w:p w14:paraId="5596BA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55.56</w:t>
                  </w:r>
                </w:p>
              </w:tc>
              <w:tc>
                <w:tcPr>
                  <w:tcW w:w="335" w:type="pct"/>
                  <w:tcBorders>
                    <w:tl2br w:val="nil"/>
                    <w:tr2bl w:val="nil"/>
                  </w:tcBorders>
                  <w:noWrap w:val="0"/>
                  <w:vAlign w:val="center"/>
                </w:tcPr>
                <w:p w14:paraId="0D5511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r>
            <w:tr w14:paraId="42FDC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 w:type="pct"/>
                  <w:tcBorders>
                    <w:tl2br w:val="nil"/>
                    <w:tr2bl w:val="nil"/>
                  </w:tcBorders>
                  <w:noWrap w:val="0"/>
                  <w:vAlign w:val="center"/>
                </w:tcPr>
                <w:p w14:paraId="0CD210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w:t>
                  </w:r>
                </w:p>
              </w:tc>
              <w:tc>
                <w:tcPr>
                  <w:tcW w:w="337" w:type="pct"/>
                  <w:vMerge w:val="continue"/>
                  <w:tcBorders>
                    <w:tl2br w:val="nil"/>
                    <w:tr2bl w:val="nil"/>
                  </w:tcBorders>
                  <w:noWrap w:val="0"/>
                  <w:vAlign w:val="center"/>
                </w:tcPr>
                <w:p w14:paraId="13A40B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sz w:val="21"/>
                      <w:szCs w:val="21"/>
                      <w:highlight w:val="none"/>
                      <w:lang w:val="en-US" w:eastAsia="zh-CN"/>
                    </w:rPr>
                  </w:pPr>
                </w:p>
              </w:tc>
              <w:tc>
                <w:tcPr>
                  <w:tcW w:w="445" w:type="pct"/>
                  <w:tcBorders>
                    <w:tl2br w:val="nil"/>
                    <w:tr2bl w:val="nil"/>
                  </w:tcBorders>
                  <w:noWrap w:val="0"/>
                  <w:vAlign w:val="center"/>
                </w:tcPr>
                <w:p w14:paraId="37A873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拌料机</w:t>
                  </w:r>
                  <w:r>
                    <w:rPr>
                      <w:rFonts w:hint="eastAsia" w:cs="Times New Roman"/>
                      <w:b w:val="0"/>
                      <w:bCs w:val="0"/>
                      <w:color w:val="auto"/>
                      <w:sz w:val="21"/>
                      <w:szCs w:val="21"/>
                      <w:highlight w:val="none"/>
                      <w:lang w:val="en-US" w:eastAsia="zh-CN"/>
                    </w:rPr>
                    <w:t>点声源组</w:t>
                  </w:r>
                </w:p>
              </w:tc>
              <w:tc>
                <w:tcPr>
                  <w:tcW w:w="217" w:type="pct"/>
                  <w:tcBorders>
                    <w:tl2br w:val="nil"/>
                    <w:tr2bl w:val="nil"/>
                  </w:tcBorders>
                  <w:noWrap w:val="0"/>
                  <w:vAlign w:val="center"/>
                </w:tcPr>
                <w:p w14:paraId="2BE40C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c>
                <w:tcPr>
                  <w:tcW w:w="359" w:type="pct"/>
                  <w:tcBorders>
                    <w:tl2br w:val="nil"/>
                    <w:tr2bl w:val="nil"/>
                  </w:tcBorders>
                  <w:noWrap w:val="0"/>
                  <w:vAlign w:val="center"/>
                </w:tcPr>
                <w:p w14:paraId="666EEA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w:t>
                  </w:r>
                  <w:r>
                    <w:rPr>
                      <w:rFonts w:hint="eastAsia" w:cs="Times New Roman"/>
                      <w:b w:val="0"/>
                      <w:bCs w:val="0"/>
                      <w:color w:val="auto"/>
                      <w:sz w:val="21"/>
                      <w:szCs w:val="21"/>
                      <w:highlight w:val="none"/>
                      <w:lang w:val="en-US" w:eastAsia="zh-CN"/>
                    </w:rPr>
                    <w:t>8.01</w:t>
                  </w:r>
                </w:p>
              </w:tc>
              <w:tc>
                <w:tcPr>
                  <w:tcW w:w="269" w:type="pct"/>
                  <w:vMerge w:val="continue"/>
                  <w:tcBorders>
                    <w:tl2br w:val="nil"/>
                    <w:tr2bl w:val="nil"/>
                  </w:tcBorders>
                  <w:noWrap w:val="0"/>
                  <w:vAlign w:val="center"/>
                </w:tcPr>
                <w:p w14:paraId="6C4400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75" w:type="pct"/>
                  <w:tcBorders>
                    <w:tl2br w:val="nil"/>
                    <w:tr2bl w:val="nil"/>
                  </w:tcBorders>
                  <w:noWrap w:val="0"/>
                  <w:vAlign w:val="center"/>
                </w:tcPr>
                <w:p w14:paraId="2223A5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6.0</w:t>
                  </w:r>
                </w:p>
              </w:tc>
              <w:tc>
                <w:tcPr>
                  <w:tcW w:w="375" w:type="pct"/>
                  <w:tcBorders>
                    <w:tl2br w:val="nil"/>
                    <w:tr2bl w:val="nil"/>
                  </w:tcBorders>
                  <w:noWrap w:val="0"/>
                  <w:vAlign w:val="center"/>
                </w:tcPr>
                <w:p w14:paraId="542104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12.6</w:t>
                  </w:r>
                </w:p>
              </w:tc>
              <w:tc>
                <w:tcPr>
                  <w:tcW w:w="344" w:type="pct"/>
                  <w:tcBorders>
                    <w:tl2br w:val="nil"/>
                    <w:tr2bl w:val="nil"/>
                  </w:tcBorders>
                  <w:noWrap w:val="0"/>
                  <w:vAlign w:val="center"/>
                </w:tcPr>
                <w:p w14:paraId="54B5C6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0.5</w:t>
                  </w:r>
                </w:p>
              </w:tc>
              <w:tc>
                <w:tcPr>
                  <w:tcW w:w="281" w:type="pct"/>
                  <w:tcBorders>
                    <w:tl2br w:val="nil"/>
                    <w:tr2bl w:val="nil"/>
                  </w:tcBorders>
                  <w:noWrap w:val="0"/>
                  <w:vAlign w:val="center"/>
                </w:tcPr>
                <w:p w14:paraId="4B533E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6.0</w:t>
                  </w:r>
                </w:p>
              </w:tc>
              <w:tc>
                <w:tcPr>
                  <w:tcW w:w="403" w:type="pct"/>
                  <w:tcBorders>
                    <w:tl2br w:val="nil"/>
                    <w:tr2bl w:val="nil"/>
                  </w:tcBorders>
                  <w:noWrap w:val="0"/>
                  <w:vAlign w:val="center"/>
                </w:tcPr>
                <w:p w14:paraId="5D2B5F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74.80</w:t>
                  </w:r>
                </w:p>
              </w:tc>
              <w:tc>
                <w:tcPr>
                  <w:tcW w:w="352" w:type="pct"/>
                  <w:vMerge w:val="continue"/>
                  <w:tcBorders>
                    <w:tl2br w:val="nil"/>
                    <w:tr2bl w:val="nil"/>
                  </w:tcBorders>
                  <w:noWrap w:val="0"/>
                  <w:vAlign w:val="center"/>
                </w:tcPr>
                <w:p w14:paraId="0E3CDF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04" w:type="pct"/>
                  <w:tcBorders>
                    <w:tl2br w:val="nil"/>
                    <w:tr2bl w:val="nil"/>
                  </w:tcBorders>
                  <w:noWrap w:val="0"/>
                  <w:vAlign w:val="center"/>
                </w:tcPr>
                <w:p w14:paraId="105DB8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w:t>
                  </w:r>
                </w:p>
              </w:tc>
              <w:tc>
                <w:tcPr>
                  <w:tcW w:w="391" w:type="pct"/>
                  <w:tcBorders>
                    <w:tl2br w:val="nil"/>
                    <w:tr2bl w:val="nil"/>
                  </w:tcBorders>
                  <w:noWrap w:val="0"/>
                  <w:vAlign w:val="center"/>
                </w:tcPr>
                <w:p w14:paraId="54C58E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48.80</w:t>
                  </w:r>
                </w:p>
              </w:tc>
              <w:tc>
                <w:tcPr>
                  <w:tcW w:w="335" w:type="pct"/>
                  <w:tcBorders>
                    <w:tl2br w:val="nil"/>
                    <w:tr2bl w:val="nil"/>
                  </w:tcBorders>
                  <w:noWrap w:val="0"/>
                  <w:vAlign w:val="center"/>
                </w:tcPr>
                <w:p w14:paraId="0D0DCB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r>
            <w:tr w14:paraId="77C11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 w:type="pct"/>
                  <w:tcBorders>
                    <w:tl2br w:val="nil"/>
                    <w:tr2bl w:val="nil"/>
                  </w:tcBorders>
                  <w:noWrap w:val="0"/>
                  <w:vAlign w:val="center"/>
                </w:tcPr>
                <w:p w14:paraId="566D8C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3</w:t>
                  </w:r>
                </w:p>
              </w:tc>
              <w:tc>
                <w:tcPr>
                  <w:tcW w:w="337" w:type="pct"/>
                  <w:vMerge w:val="continue"/>
                  <w:tcBorders>
                    <w:tl2br w:val="nil"/>
                    <w:tr2bl w:val="nil"/>
                  </w:tcBorders>
                  <w:noWrap w:val="0"/>
                  <w:vAlign w:val="center"/>
                </w:tcPr>
                <w:p w14:paraId="30924B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sz w:val="21"/>
                      <w:szCs w:val="21"/>
                      <w:highlight w:val="none"/>
                      <w:lang w:val="en-US" w:eastAsia="zh-CN"/>
                    </w:rPr>
                  </w:pPr>
                </w:p>
              </w:tc>
              <w:tc>
                <w:tcPr>
                  <w:tcW w:w="445" w:type="pct"/>
                  <w:tcBorders>
                    <w:tl2br w:val="nil"/>
                    <w:tr2bl w:val="nil"/>
                  </w:tcBorders>
                  <w:noWrap w:val="0"/>
                  <w:vAlign w:val="center"/>
                </w:tcPr>
                <w:p w14:paraId="1FAF38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粉碎机</w:t>
                  </w:r>
                  <w:r>
                    <w:rPr>
                      <w:rFonts w:hint="eastAsia" w:cs="Times New Roman"/>
                      <w:b w:val="0"/>
                      <w:bCs w:val="0"/>
                      <w:color w:val="auto"/>
                      <w:sz w:val="21"/>
                      <w:szCs w:val="21"/>
                      <w:highlight w:val="none"/>
                      <w:lang w:val="en-US" w:eastAsia="zh-CN"/>
                    </w:rPr>
                    <w:t>点声源组</w:t>
                  </w:r>
                </w:p>
              </w:tc>
              <w:tc>
                <w:tcPr>
                  <w:tcW w:w="217" w:type="pct"/>
                  <w:tcBorders>
                    <w:tl2br w:val="nil"/>
                    <w:tr2bl w:val="nil"/>
                  </w:tcBorders>
                  <w:noWrap w:val="0"/>
                  <w:vAlign w:val="center"/>
                </w:tcPr>
                <w:p w14:paraId="140456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359" w:type="pct"/>
                  <w:tcBorders>
                    <w:tl2br w:val="nil"/>
                    <w:tr2bl w:val="nil"/>
                  </w:tcBorders>
                  <w:noWrap w:val="0"/>
                  <w:vAlign w:val="center"/>
                </w:tcPr>
                <w:p w14:paraId="7A4AEF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88.01</w:t>
                  </w:r>
                </w:p>
              </w:tc>
              <w:tc>
                <w:tcPr>
                  <w:tcW w:w="269" w:type="pct"/>
                  <w:vMerge w:val="continue"/>
                  <w:tcBorders>
                    <w:tl2br w:val="nil"/>
                    <w:tr2bl w:val="nil"/>
                  </w:tcBorders>
                  <w:noWrap w:val="0"/>
                  <w:vAlign w:val="center"/>
                </w:tcPr>
                <w:p w14:paraId="1418F0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75" w:type="pct"/>
                  <w:tcBorders>
                    <w:tl2br w:val="nil"/>
                    <w:tr2bl w:val="nil"/>
                  </w:tcBorders>
                  <w:noWrap w:val="0"/>
                  <w:vAlign w:val="center"/>
                </w:tcPr>
                <w:p w14:paraId="1E2553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2.0</w:t>
                  </w:r>
                </w:p>
              </w:tc>
              <w:tc>
                <w:tcPr>
                  <w:tcW w:w="375" w:type="pct"/>
                  <w:tcBorders>
                    <w:tl2br w:val="nil"/>
                    <w:tr2bl w:val="nil"/>
                  </w:tcBorders>
                  <w:noWrap w:val="0"/>
                  <w:vAlign w:val="center"/>
                </w:tcPr>
                <w:p w14:paraId="5978F3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12.6</w:t>
                  </w:r>
                </w:p>
              </w:tc>
              <w:tc>
                <w:tcPr>
                  <w:tcW w:w="344" w:type="pct"/>
                  <w:tcBorders>
                    <w:tl2br w:val="nil"/>
                    <w:tr2bl w:val="nil"/>
                  </w:tcBorders>
                  <w:noWrap w:val="0"/>
                  <w:vAlign w:val="center"/>
                </w:tcPr>
                <w:p w14:paraId="1C90A3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0.5</w:t>
                  </w:r>
                </w:p>
              </w:tc>
              <w:tc>
                <w:tcPr>
                  <w:tcW w:w="281" w:type="pct"/>
                  <w:tcBorders>
                    <w:tl2br w:val="nil"/>
                    <w:tr2bl w:val="nil"/>
                  </w:tcBorders>
                  <w:noWrap w:val="0"/>
                  <w:vAlign w:val="center"/>
                </w:tcPr>
                <w:p w14:paraId="1237A7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w:t>
                  </w:r>
                </w:p>
              </w:tc>
              <w:tc>
                <w:tcPr>
                  <w:tcW w:w="403" w:type="pct"/>
                  <w:tcBorders>
                    <w:tl2br w:val="nil"/>
                    <w:tr2bl w:val="nil"/>
                  </w:tcBorders>
                  <w:noWrap w:val="0"/>
                  <w:vAlign w:val="center"/>
                </w:tcPr>
                <w:p w14:paraId="7BE425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74.89</w:t>
                  </w:r>
                </w:p>
              </w:tc>
              <w:tc>
                <w:tcPr>
                  <w:tcW w:w="352" w:type="pct"/>
                  <w:vMerge w:val="continue"/>
                  <w:tcBorders>
                    <w:tl2br w:val="nil"/>
                    <w:tr2bl w:val="nil"/>
                  </w:tcBorders>
                  <w:noWrap w:val="0"/>
                  <w:vAlign w:val="center"/>
                </w:tcPr>
                <w:p w14:paraId="7AF231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04" w:type="pct"/>
                  <w:tcBorders>
                    <w:tl2br w:val="nil"/>
                    <w:tr2bl w:val="nil"/>
                  </w:tcBorders>
                  <w:noWrap w:val="0"/>
                  <w:vAlign w:val="center"/>
                </w:tcPr>
                <w:p w14:paraId="0F1A52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w:t>
                  </w:r>
                </w:p>
              </w:tc>
              <w:tc>
                <w:tcPr>
                  <w:tcW w:w="391" w:type="pct"/>
                  <w:tcBorders>
                    <w:tl2br w:val="nil"/>
                    <w:tr2bl w:val="nil"/>
                  </w:tcBorders>
                  <w:noWrap w:val="0"/>
                  <w:vAlign w:val="center"/>
                </w:tcPr>
                <w:p w14:paraId="5B1563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48.89</w:t>
                  </w:r>
                </w:p>
              </w:tc>
              <w:tc>
                <w:tcPr>
                  <w:tcW w:w="335" w:type="pct"/>
                  <w:tcBorders>
                    <w:tl2br w:val="nil"/>
                    <w:tr2bl w:val="nil"/>
                  </w:tcBorders>
                  <w:noWrap w:val="0"/>
                  <w:vAlign w:val="center"/>
                </w:tcPr>
                <w:p w14:paraId="10C3A9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r>
            <w:tr w14:paraId="792605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15"/>
                  <w:noWrap w:val="0"/>
                  <w:vAlign w:val="center"/>
                </w:tcPr>
                <w:p w14:paraId="56EBB7D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注：表中坐标以</w:t>
                  </w:r>
                  <w:r>
                    <w:rPr>
                      <w:rFonts w:hint="eastAsia" w:cs="Times New Roman"/>
                      <w:color w:val="auto"/>
                      <w:sz w:val="21"/>
                      <w:szCs w:val="21"/>
                      <w:highlight w:val="none"/>
                      <w:lang w:val="en-US" w:eastAsia="zh-CN"/>
                    </w:rPr>
                    <w:t>厂房</w:t>
                  </w:r>
                  <w:r>
                    <w:rPr>
                      <w:rFonts w:hint="eastAsia" w:ascii="Times New Roman" w:hAnsi="Times New Roman" w:eastAsia="宋体" w:cs="Times New Roman"/>
                      <w:color w:val="auto"/>
                      <w:sz w:val="21"/>
                      <w:szCs w:val="21"/>
                      <w:highlight w:val="none"/>
                      <w:lang w:val="en-US" w:eastAsia="zh-CN"/>
                    </w:rPr>
                    <w:t>西南角为坐标原点，正东向为X轴正方向，正北向为Y轴正方向。</w:t>
                  </w:r>
                </w:p>
              </w:tc>
            </w:tr>
          </w:tbl>
          <w:p w14:paraId="3A3276EE">
            <w:pPr>
              <w:pStyle w:val="57"/>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表</w:t>
            </w:r>
            <w:r>
              <w:rPr>
                <w:rFonts w:hint="eastAsia"/>
                <w:color w:val="000000" w:themeColor="text1"/>
                <w:sz w:val="21"/>
                <w:szCs w:val="21"/>
                <w:highlight w:val="none"/>
                <w:lang w:val="en-US" w:eastAsia="zh-CN"/>
                <w14:textFill>
                  <w14:solidFill>
                    <w14:schemeClr w14:val="tx1"/>
                  </w14:solidFill>
                </w14:textFill>
              </w:rPr>
              <w:t xml:space="preserve">4-12 </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 xml:space="preserve"> </w:t>
            </w:r>
            <w:r>
              <w:rPr>
                <w:rFonts w:ascii="Times New Roman" w:hAnsi="Times New Roman" w:eastAsia="宋体" w:cs="宋体"/>
                <w:color w:val="000000" w:themeColor="text1"/>
                <w:sz w:val="21"/>
                <w:szCs w:val="21"/>
                <w:highlight w:val="none"/>
                <w14:textFill>
                  <w14:solidFill>
                    <w14:schemeClr w14:val="tx1"/>
                  </w14:solidFill>
                </w14:textFill>
              </w:rPr>
              <w:t>项目主要室外设备噪声源源强 单位：dB（A）</w:t>
            </w:r>
          </w:p>
          <w:tbl>
            <w:tblPr>
              <w:tblStyle w:val="29"/>
              <w:tblW w:w="4994"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901"/>
              <w:gridCol w:w="1097"/>
              <w:gridCol w:w="1079"/>
              <w:gridCol w:w="1004"/>
              <w:gridCol w:w="1681"/>
              <w:gridCol w:w="2402"/>
              <w:gridCol w:w="1812"/>
              <w:gridCol w:w="1094"/>
            </w:tblGrid>
            <w:tr w14:paraId="798BD9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8" w:type="pct"/>
                  <w:vMerge w:val="restart"/>
                  <w:noWrap w:val="0"/>
                  <w:vAlign w:val="center"/>
                </w:tcPr>
                <w:p w14:paraId="3F5405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739" w:type="pct"/>
                  <w:vMerge w:val="restart"/>
                  <w:noWrap w:val="0"/>
                  <w:vAlign w:val="center"/>
                </w:tcPr>
                <w:p w14:paraId="654956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声源名称</w:t>
                  </w:r>
                </w:p>
              </w:tc>
              <w:tc>
                <w:tcPr>
                  <w:tcW w:w="1235" w:type="pct"/>
                  <w:gridSpan w:val="3"/>
                  <w:noWrap w:val="0"/>
                  <w:vAlign w:val="center"/>
                </w:tcPr>
                <w:p w14:paraId="7AA56D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空间相对位置/m</w:t>
                  </w:r>
                  <w:r>
                    <w:rPr>
                      <w:rFonts w:hint="eastAsia"/>
                      <w:b/>
                      <w:bCs/>
                      <w:color w:val="000000" w:themeColor="text1"/>
                      <w:sz w:val="21"/>
                      <w:szCs w:val="21"/>
                      <w:highlight w:val="none"/>
                      <w14:textFill>
                        <w14:solidFill>
                          <w14:schemeClr w14:val="tx1"/>
                        </w14:solidFill>
                      </w14:textFill>
                    </w:rPr>
                    <w:t>坐标</w:t>
                  </w:r>
                </w:p>
              </w:tc>
              <w:tc>
                <w:tcPr>
                  <w:tcW w:w="653" w:type="pct"/>
                  <w:noWrap w:val="0"/>
                  <w:vAlign w:val="center"/>
                </w:tcPr>
                <w:p w14:paraId="64ED90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声源源强</w:t>
                  </w:r>
                </w:p>
              </w:tc>
              <w:tc>
                <w:tcPr>
                  <w:tcW w:w="933" w:type="pct"/>
                  <w:vMerge w:val="restart"/>
                  <w:noWrap w:val="0"/>
                  <w:vAlign w:val="center"/>
                </w:tcPr>
                <w:p w14:paraId="28213B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声源控制措施</w:t>
                  </w:r>
                </w:p>
              </w:tc>
              <w:tc>
                <w:tcPr>
                  <w:tcW w:w="704" w:type="pct"/>
                  <w:vMerge w:val="restart"/>
                  <w:noWrap w:val="0"/>
                  <w:vAlign w:val="center"/>
                </w:tcPr>
                <w:p w14:paraId="1CFBBF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建筑外噪声贡献值</w:t>
                  </w:r>
                </w:p>
              </w:tc>
              <w:tc>
                <w:tcPr>
                  <w:tcW w:w="425" w:type="pct"/>
                  <w:vMerge w:val="restart"/>
                  <w:noWrap w:val="0"/>
                  <w:vAlign w:val="center"/>
                </w:tcPr>
                <w:p w14:paraId="2F964A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运行时段</w:t>
                  </w:r>
                </w:p>
              </w:tc>
            </w:tr>
            <w:tr w14:paraId="03D008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8" w:type="pct"/>
                  <w:vMerge w:val="continue"/>
                  <w:noWrap w:val="0"/>
                  <w:vAlign w:val="center"/>
                </w:tcPr>
                <w:p w14:paraId="6B6C90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739" w:type="pct"/>
                  <w:vMerge w:val="continue"/>
                  <w:noWrap w:val="0"/>
                  <w:vAlign w:val="center"/>
                </w:tcPr>
                <w:p w14:paraId="64ADAA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426" w:type="pct"/>
                  <w:noWrap w:val="0"/>
                  <w:vAlign w:val="center"/>
                </w:tcPr>
                <w:p w14:paraId="61FCA6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X</w:t>
                  </w:r>
                </w:p>
              </w:tc>
              <w:tc>
                <w:tcPr>
                  <w:tcW w:w="419" w:type="pct"/>
                  <w:noWrap w:val="0"/>
                  <w:vAlign w:val="center"/>
                </w:tcPr>
                <w:p w14:paraId="445182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Y</w:t>
                  </w:r>
                </w:p>
              </w:tc>
              <w:tc>
                <w:tcPr>
                  <w:tcW w:w="389" w:type="pct"/>
                  <w:noWrap w:val="0"/>
                  <w:vAlign w:val="center"/>
                </w:tcPr>
                <w:p w14:paraId="25738C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Z</w:t>
                  </w:r>
                </w:p>
              </w:tc>
              <w:tc>
                <w:tcPr>
                  <w:tcW w:w="653" w:type="pct"/>
                  <w:noWrap w:val="0"/>
                  <w:vAlign w:val="center"/>
                </w:tcPr>
                <w:p w14:paraId="5FACB3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声功率级/dB(A)</w:t>
                  </w:r>
                </w:p>
              </w:tc>
              <w:tc>
                <w:tcPr>
                  <w:tcW w:w="933" w:type="pct"/>
                  <w:vMerge w:val="continue"/>
                  <w:noWrap w:val="0"/>
                  <w:vAlign w:val="center"/>
                </w:tcPr>
                <w:p w14:paraId="1A8B9C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704" w:type="pct"/>
                  <w:vMerge w:val="continue"/>
                  <w:noWrap w:val="0"/>
                  <w:vAlign w:val="center"/>
                </w:tcPr>
                <w:p w14:paraId="698289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425" w:type="pct"/>
                  <w:vMerge w:val="continue"/>
                  <w:noWrap w:val="0"/>
                  <w:vAlign w:val="center"/>
                </w:tcPr>
                <w:p w14:paraId="03971D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r>
            <w:tr w14:paraId="3FFDD5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8" w:type="pct"/>
                  <w:noWrap w:val="0"/>
                  <w:vAlign w:val="center"/>
                </w:tcPr>
                <w:p w14:paraId="6A5D7C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c>
                <w:tcPr>
                  <w:tcW w:w="739" w:type="pct"/>
                  <w:noWrap w:val="0"/>
                  <w:vAlign w:val="center"/>
                </w:tcPr>
                <w:p w14:paraId="5CC259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DA001风机</w:t>
                  </w:r>
                </w:p>
              </w:tc>
              <w:tc>
                <w:tcPr>
                  <w:tcW w:w="426" w:type="pct"/>
                  <w:noWrap w:val="0"/>
                  <w:vAlign w:val="center"/>
                </w:tcPr>
                <w:p w14:paraId="1FAB1A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26.2</w:t>
                  </w:r>
                </w:p>
              </w:tc>
              <w:tc>
                <w:tcPr>
                  <w:tcW w:w="419" w:type="pct"/>
                  <w:noWrap w:val="0"/>
                  <w:vAlign w:val="center"/>
                </w:tcPr>
                <w:p w14:paraId="36E1AC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25.2</w:t>
                  </w:r>
                </w:p>
              </w:tc>
              <w:tc>
                <w:tcPr>
                  <w:tcW w:w="389" w:type="pct"/>
                  <w:noWrap w:val="0"/>
                  <w:vAlign w:val="center"/>
                </w:tcPr>
                <w:p w14:paraId="67E4AE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0.5</w:t>
                  </w:r>
                </w:p>
              </w:tc>
              <w:tc>
                <w:tcPr>
                  <w:tcW w:w="653" w:type="pct"/>
                  <w:noWrap w:val="0"/>
                  <w:vAlign w:val="center"/>
                </w:tcPr>
                <w:p w14:paraId="2FD528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85</w:t>
                  </w:r>
                </w:p>
              </w:tc>
              <w:tc>
                <w:tcPr>
                  <w:tcW w:w="933" w:type="pct"/>
                  <w:vMerge w:val="restart"/>
                  <w:noWrap w:val="0"/>
                  <w:vAlign w:val="center"/>
                </w:tcPr>
                <w:p w14:paraId="4AD930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空气进出口采用软连接，以减少风管振动；风机出口安装消声器</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设置隔声罩</w:t>
                  </w:r>
                </w:p>
              </w:tc>
              <w:tc>
                <w:tcPr>
                  <w:tcW w:w="704" w:type="pct"/>
                  <w:noWrap w:val="0"/>
                  <w:vAlign w:val="center"/>
                </w:tcPr>
                <w:p w14:paraId="43317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w:t>
                  </w:r>
                </w:p>
              </w:tc>
              <w:tc>
                <w:tcPr>
                  <w:tcW w:w="425" w:type="pct"/>
                  <w:vMerge w:val="restart"/>
                  <w:noWrap w:val="0"/>
                  <w:vAlign w:val="center"/>
                </w:tcPr>
                <w:p w14:paraId="64BD3E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昼间</w:t>
                  </w:r>
                </w:p>
              </w:tc>
            </w:tr>
            <w:tr w14:paraId="4092BC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8" w:type="pct"/>
                  <w:noWrap w:val="0"/>
                  <w:vAlign w:val="center"/>
                </w:tcPr>
                <w:p w14:paraId="25BCDC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c>
                <w:tcPr>
                  <w:tcW w:w="739" w:type="pct"/>
                  <w:noWrap w:val="0"/>
                  <w:vAlign w:val="center"/>
                </w:tcPr>
                <w:p w14:paraId="6905DE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DA002风机</w:t>
                  </w:r>
                </w:p>
              </w:tc>
              <w:tc>
                <w:tcPr>
                  <w:tcW w:w="426" w:type="pct"/>
                  <w:noWrap w:val="0"/>
                  <w:vAlign w:val="center"/>
                </w:tcPr>
                <w:p w14:paraId="73E3BB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-1</w:t>
                  </w:r>
                </w:p>
              </w:tc>
              <w:tc>
                <w:tcPr>
                  <w:tcW w:w="419" w:type="pct"/>
                  <w:noWrap w:val="0"/>
                  <w:vAlign w:val="center"/>
                </w:tcPr>
                <w:p w14:paraId="202941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10.0</w:t>
                  </w:r>
                </w:p>
              </w:tc>
              <w:tc>
                <w:tcPr>
                  <w:tcW w:w="389" w:type="pct"/>
                  <w:noWrap w:val="0"/>
                  <w:vAlign w:val="center"/>
                </w:tcPr>
                <w:p w14:paraId="509ECA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0.5</w:t>
                  </w:r>
                </w:p>
              </w:tc>
              <w:tc>
                <w:tcPr>
                  <w:tcW w:w="653" w:type="pct"/>
                  <w:noWrap w:val="0"/>
                  <w:vAlign w:val="center"/>
                </w:tcPr>
                <w:p w14:paraId="723F17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85</w:t>
                  </w:r>
                </w:p>
              </w:tc>
              <w:tc>
                <w:tcPr>
                  <w:tcW w:w="933" w:type="pct"/>
                  <w:vMerge w:val="continue"/>
                  <w:noWrap w:val="0"/>
                  <w:vAlign w:val="center"/>
                </w:tcPr>
                <w:p w14:paraId="756C10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704" w:type="pct"/>
                  <w:noWrap w:val="0"/>
                  <w:vAlign w:val="center"/>
                </w:tcPr>
                <w:p w14:paraId="4BF142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w:t>
                  </w:r>
                </w:p>
              </w:tc>
              <w:tc>
                <w:tcPr>
                  <w:tcW w:w="425" w:type="pct"/>
                  <w:vMerge w:val="continue"/>
                  <w:noWrap w:val="0"/>
                  <w:vAlign w:val="center"/>
                </w:tcPr>
                <w:p w14:paraId="1E9283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p>
              </w:tc>
            </w:tr>
            <w:tr w14:paraId="67902D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8" w:type="pct"/>
                  <w:noWrap w:val="0"/>
                  <w:vAlign w:val="center"/>
                </w:tcPr>
                <w:p w14:paraId="527F43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p>
              </w:tc>
              <w:tc>
                <w:tcPr>
                  <w:tcW w:w="739" w:type="pct"/>
                  <w:noWrap w:val="0"/>
                  <w:vAlign w:val="center"/>
                </w:tcPr>
                <w:p w14:paraId="4AC782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冷却塔（含水泵）</w:t>
                  </w:r>
                </w:p>
              </w:tc>
              <w:tc>
                <w:tcPr>
                  <w:tcW w:w="426" w:type="pct"/>
                  <w:noWrap w:val="0"/>
                  <w:vAlign w:val="center"/>
                </w:tcPr>
                <w:p w14:paraId="5C4310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28</w:t>
                  </w:r>
                </w:p>
              </w:tc>
              <w:tc>
                <w:tcPr>
                  <w:tcW w:w="419" w:type="pct"/>
                  <w:noWrap w:val="0"/>
                  <w:vAlign w:val="center"/>
                </w:tcPr>
                <w:p w14:paraId="5667B9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25.2</w:t>
                  </w:r>
                </w:p>
              </w:tc>
              <w:tc>
                <w:tcPr>
                  <w:tcW w:w="389" w:type="pct"/>
                  <w:noWrap w:val="0"/>
                  <w:vAlign w:val="center"/>
                </w:tcPr>
                <w:p w14:paraId="158504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0.5</w:t>
                  </w:r>
                </w:p>
              </w:tc>
              <w:tc>
                <w:tcPr>
                  <w:tcW w:w="653" w:type="pct"/>
                  <w:noWrap w:val="0"/>
                  <w:vAlign w:val="center"/>
                </w:tcPr>
                <w:p w14:paraId="68FACC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85</w:t>
                  </w:r>
                </w:p>
              </w:tc>
              <w:tc>
                <w:tcPr>
                  <w:tcW w:w="933" w:type="pct"/>
                  <w:vMerge w:val="continue"/>
                  <w:noWrap w:val="0"/>
                  <w:vAlign w:val="center"/>
                </w:tcPr>
                <w:p w14:paraId="1AB6B5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704" w:type="pct"/>
                  <w:noWrap w:val="0"/>
                  <w:vAlign w:val="center"/>
                </w:tcPr>
                <w:p w14:paraId="481426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w:t>
                  </w:r>
                </w:p>
              </w:tc>
              <w:tc>
                <w:tcPr>
                  <w:tcW w:w="425" w:type="pct"/>
                  <w:vMerge w:val="continue"/>
                  <w:noWrap w:val="0"/>
                  <w:vAlign w:val="center"/>
                </w:tcPr>
                <w:p w14:paraId="7B3329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p>
              </w:tc>
            </w:tr>
            <w:tr w14:paraId="5209EF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8" w:type="pct"/>
                  <w:noWrap w:val="0"/>
                  <w:vAlign w:val="center"/>
                </w:tcPr>
                <w:p w14:paraId="74E519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p>
              </w:tc>
              <w:tc>
                <w:tcPr>
                  <w:tcW w:w="739" w:type="pct"/>
                  <w:noWrap w:val="0"/>
                  <w:vAlign w:val="center"/>
                </w:tcPr>
                <w:p w14:paraId="390FE7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空压机1</w:t>
                  </w:r>
                </w:p>
              </w:tc>
              <w:tc>
                <w:tcPr>
                  <w:tcW w:w="426" w:type="pct"/>
                  <w:noWrap w:val="0"/>
                  <w:vAlign w:val="center"/>
                </w:tcPr>
                <w:p w14:paraId="546E6C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43</w:t>
                  </w:r>
                </w:p>
              </w:tc>
              <w:tc>
                <w:tcPr>
                  <w:tcW w:w="419" w:type="pct"/>
                  <w:noWrap w:val="0"/>
                  <w:vAlign w:val="center"/>
                </w:tcPr>
                <w:p w14:paraId="12BB90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25.2</w:t>
                  </w:r>
                </w:p>
              </w:tc>
              <w:tc>
                <w:tcPr>
                  <w:tcW w:w="389" w:type="pct"/>
                  <w:noWrap w:val="0"/>
                  <w:vAlign w:val="center"/>
                </w:tcPr>
                <w:p w14:paraId="3334C2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w:t>
                  </w:r>
                </w:p>
              </w:tc>
              <w:tc>
                <w:tcPr>
                  <w:tcW w:w="653" w:type="pct"/>
                  <w:noWrap w:val="0"/>
                  <w:vAlign w:val="center"/>
                </w:tcPr>
                <w:p w14:paraId="7DF006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85</w:t>
                  </w:r>
                </w:p>
              </w:tc>
              <w:tc>
                <w:tcPr>
                  <w:tcW w:w="933" w:type="pct"/>
                  <w:vMerge w:val="continue"/>
                  <w:noWrap w:val="0"/>
                  <w:vAlign w:val="center"/>
                </w:tcPr>
                <w:p w14:paraId="419BEC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704" w:type="pct"/>
                  <w:noWrap w:val="0"/>
                  <w:vAlign w:val="center"/>
                </w:tcPr>
                <w:p w14:paraId="3678B9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w:t>
                  </w:r>
                </w:p>
              </w:tc>
              <w:tc>
                <w:tcPr>
                  <w:tcW w:w="425" w:type="pct"/>
                  <w:vMerge w:val="continue"/>
                  <w:noWrap w:val="0"/>
                  <w:vAlign w:val="center"/>
                </w:tcPr>
                <w:p w14:paraId="63BF8A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p>
              </w:tc>
            </w:tr>
            <w:tr w14:paraId="3890DF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8" w:type="pct"/>
                  <w:noWrap w:val="0"/>
                  <w:vAlign w:val="center"/>
                </w:tcPr>
                <w:p w14:paraId="178177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c>
                <w:tcPr>
                  <w:tcW w:w="739" w:type="pct"/>
                  <w:noWrap w:val="0"/>
                  <w:vAlign w:val="center"/>
                </w:tcPr>
                <w:p w14:paraId="4E4A37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空压机2</w:t>
                  </w:r>
                </w:p>
              </w:tc>
              <w:tc>
                <w:tcPr>
                  <w:tcW w:w="426" w:type="pct"/>
                  <w:noWrap w:val="0"/>
                  <w:vAlign w:val="center"/>
                </w:tcPr>
                <w:p w14:paraId="18D470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44</w:t>
                  </w:r>
                </w:p>
              </w:tc>
              <w:tc>
                <w:tcPr>
                  <w:tcW w:w="419" w:type="pct"/>
                  <w:noWrap w:val="0"/>
                  <w:vAlign w:val="center"/>
                </w:tcPr>
                <w:p w14:paraId="597AAD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25.2</w:t>
                  </w:r>
                </w:p>
              </w:tc>
              <w:tc>
                <w:tcPr>
                  <w:tcW w:w="389" w:type="pct"/>
                  <w:noWrap w:val="0"/>
                  <w:vAlign w:val="center"/>
                </w:tcPr>
                <w:p w14:paraId="4E04C9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w:t>
                  </w:r>
                </w:p>
              </w:tc>
              <w:tc>
                <w:tcPr>
                  <w:tcW w:w="653" w:type="pct"/>
                  <w:noWrap w:val="0"/>
                  <w:vAlign w:val="center"/>
                </w:tcPr>
                <w:p w14:paraId="2DF7D7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85</w:t>
                  </w:r>
                </w:p>
              </w:tc>
              <w:tc>
                <w:tcPr>
                  <w:tcW w:w="933" w:type="pct"/>
                  <w:vMerge w:val="continue"/>
                  <w:noWrap w:val="0"/>
                  <w:vAlign w:val="center"/>
                </w:tcPr>
                <w:p w14:paraId="5936D3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704" w:type="pct"/>
                  <w:noWrap w:val="0"/>
                  <w:vAlign w:val="center"/>
                </w:tcPr>
                <w:p w14:paraId="762EF2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w:t>
                  </w:r>
                </w:p>
              </w:tc>
              <w:tc>
                <w:tcPr>
                  <w:tcW w:w="425" w:type="pct"/>
                  <w:vMerge w:val="continue"/>
                  <w:noWrap w:val="0"/>
                  <w:vAlign w:val="center"/>
                </w:tcPr>
                <w:p w14:paraId="0C0255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p>
              </w:tc>
            </w:tr>
          </w:tbl>
          <w:p w14:paraId="550A86D8">
            <w:pPr>
              <w:pStyle w:val="2"/>
              <w:spacing w:line="240" w:lineRule="auto"/>
              <w:rPr>
                <w:rFonts w:hint="eastAsia"/>
                <w:color w:val="000000"/>
                <w:vertAlign w:val="baseline"/>
              </w:rPr>
            </w:pPr>
          </w:p>
        </w:tc>
      </w:tr>
    </w:tbl>
    <w:p w14:paraId="79C63AD3">
      <w:pPr>
        <w:pStyle w:val="2"/>
        <w:spacing w:line="240" w:lineRule="auto"/>
        <w:rPr>
          <w:rFonts w:hint="eastAsia"/>
          <w:color w:val="000000"/>
        </w:rPr>
        <w:sectPr>
          <w:pgSz w:w="16838" w:h="11906" w:orient="landscape"/>
          <w:pgMar w:top="1531" w:right="1531" w:bottom="1531" w:left="1531" w:header="851" w:footer="851" w:gutter="0"/>
          <w:pgBorders>
            <w:top w:val="none" w:sz="0" w:space="0"/>
            <w:left w:val="none" w:sz="0" w:space="0"/>
            <w:bottom w:val="none" w:sz="0" w:space="0"/>
            <w:right w:val="none" w:sz="0" w:space="0"/>
          </w:pgBorders>
          <w:cols w:space="720" w:num="1"/>
          <w:docGrid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8347"/>
      </w:tblGrid>
      <w:tr w14:paraId="5CCF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8" w:hRule="atLeast"/>
        </w:trPr>
        <w:tc>
          <w:tcPr>
            <w:tcW w:w="713" w:type="dxa"/>
            <w:vAlign w:val="center"/>
          </w:tcPr>
          <w:p w14:paraId="5656D33B">
            <w:pPr>
              <w:pStyle w:val="61"/>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运营</w:t>
            </w:r>
          </w:p>
          <w:p w14:paraId="4C706868">
            <w:pPr>
              <w:pStyle w:val="61"/>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期环</w:t>
            </w:r>
          </w:p>
          <w:p w14:paraId="5100F9C7">
            <w:pPr>
              <w:pStyle w:val="61"/>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境影</w:t>
            </w:r>
          </w:p>
          <w:p w14:paraId="505C692D">
            <w:pPr>
              <w:pStyle w:val="61"/>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响和</w:t>
            </w:r>
          </w:p>
          <w:p w14:paraId="3A300DFD">
            <w:pPr>
              <w:pStyle w:val="61"/>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保护</w:t>
            </w:r>
          </w:p>
          <w:p w14:paraId="5DA23374">
            <w:pPr>
              <w:jc w:val="center"/>
              <w:rPr>
                <w:rFonts w:hint="eastAsia"/>
                <w:vertAlign w:val="baseline"/>
              </w:rPr>
            </w:pPr>
            <w:r>
              <w:rPr>
                <w:rFonts w:hint="eastAsia"/>
                <w:b w:val="0"/>
                <w:bCs/>
                <w:color w:val="000000" w:themeColor="text1"/>
                <w:sz w:val="24"/>
                <w:szCs w:val="24"/>
                <w14:textFill>
                  <w14:solidFill>
                    <w14:schemeClr w14:val="tx1"/>
                  </w14:solidFill>
                </w14:textFill>
              </w:rPr>
              <w:t>措</w:t>
            </w:r>
          </w:p>
        </w:tc>
        <w:tc>
          <w:tcPr>
            <w:tcW w:w="8347" w:type="dxa"/>
          </w:tcPr>
          <w:p w14:paraId="189A8D3B">
            <w:pPr>
              <w:pStyle w:val="11"/>
              <w:spacing w:before="120" w:beforeLines="5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厂界及环境保护目标达标情况</w:t>
            </w:r>
          </w:p>
          <w:p w14:paraId="59A28F67">
            <w:pPr>
              <w:adjustRightInd w:val="0"/>
              <w:snapToGrid w:val="0"/>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根据《环境影响评价技术导则声环境》（HJ2.4-2021）的技术要求，本次评价采用《环境影响评价技术导则—声环境》（</w:t>
            </w:r>
            <w:r>
              <w:rPr>
                <w:color w:val="000000" w:themeColor="text1"/>
                <w:lang w:val="en-GB"/>
                <w14:textFill>
                  <w14:solidFill>
                    <w14:schemeClr w14:val="tx1"/>
                  </w14:solidFill>
                </w14:textFill>
              </w:rPr>
              <w:t>HJ2.4-</w:t>
            </w:r>
            <w:r>
              <w:rPr>
                <w:color w:val="000000" w:themeColor="text1"/>
                <w14:textFill>
                  <w14:solidFill>
                    <w14:schemeClr w14:val="tx1"/>
                  </w14:solidFill>
                </w14:textFill>
              </w:rPr>
              <w:t>2021</w:t>
            </w:r>
            <w:r>
              <w:rPr>
                <w:color w:val="000000" w:themeColor="text1"/>
                <w:lang w:val="en-GB"/>
                <w14:textFill>
                  <w14:solidFill>
                    <w14:schemeClr w14:val="tx1"/>
                  </w14:solidFill>
                </w14:textFill>
              </w:rPr>
              <w:t>）</w:t>
            </w:r>
            <w:r>
              <w:rPr>
                <w:color w:val="000000" w:themeColor="text1"/>
                <w14:textFill>
                  <w14:solidFill>
                    <w14:schemeClr w14:val="tx1"/>
                  </w14:solidFill>
                </w14:textFill>
              </w:rPr>
              <w:t>中的工业噪声预测模式。</w:t>
            </w:r>
          </w:p>
          <w:p w14:paraId="41A9011A">
            <w:pPr>
              <w:pStyle w:val="73"/>
              <w:rPr>
                <w:rFonts w:hint="eastAsia"/>
                <w:color w:val="000000" w:themeColor="text1"/>
                <w14:textFill>
                  <w14:solidFill>
                    <w14:schemeClr w14:val="tx1"/>
                  </w14:solidFill>
                </w14:textFill>
              </w:rPr>
            </w:pPr>
            <w:r>
              <w:rPr>
                <w:color w:val="000000" w:themeColor="text1"/>
                <w14:textFill>
                  <w14:solidFill>
                    <w14:schemeClr w14:val="tx1"/>
                  </w14:solidFill>
                </w14:textFill>
              </w:rPr>
              <w:t>①</w:t>
            </w:r>
            <w:r>
              <w:rPr>
                <w:rFonts w:hint="eastAsia"/>
                <w:color w:val="000000" w:themeColor="text1"/>
                <w14:textFill>
                  <w14:solidFill>
                    <w14:schemeClr w14:val="tx1"/>
                  </w14:solidFill>
                </w14:textFill>
              </w:rPr>
              <w:t xml:space="preserve"> 室外声源</w:t>
            </w:r>
          </w:p>
          <w:p w14:paraId="62ECE9CB">
            <w:pPr>
              <w:pStyle w:val="7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户外声传播衰减包括几何发散（Adiv）、大气吸收（Aatm）、地面效应（Agr）、 障碍物屏蔽（Abar）、其他多方面效应（Amisc）引起的衰减。 </w:t>
            </w:r>
          </w:p>
          <w:p w14:paraId="304B4090">
            <w:pPr>
              <w:pStyle w:val="7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a 在环境影响评价中，应根据声源声功率级或参考位置处的声压级、户外声传播衰减，计算预测点的声级，分别按式（A.1）或式（A.2）计算。</w:t>
            </w:r>
          </w:p>
          <w:p w14:paraId="33683DB6">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Lp(r)＝Lw+DC－(Adiv＋Aatm＋Agr＋Abar＋Amisc) （A.1）</w:t>
            </w:r>
          </w:p>
          <w:p w14:paraId="27DBDA36">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式中：Lp(r)——预测点处声压级，dB；</w:t>
            </w:r>
          </w:p>
          <w:p w14:paraId="00B4B4CC">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Lw——由点声源产生的声功率级（A计权或倍频带），dB；</w:t>
            </w:r>
          </w:p>
          <w:p w14:paraId="135E7BBE">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DC——指向性校正，它描述点声源的等效连续声压级与产生声功率级Lw的全向点声源在规定方向的声级的偏差程度，dB；</w:t>
            </w:r>
          </w:p>
          <w:p w14:paraId="3E7CB94E">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Adiv——几何发散引起的衰减，dB；</w:t>
            </w:r>
          </w:p>
          <w:p w14:paraId="6030212A">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Aatm——大气吸收引起的衰减，dB；</w:t>
            </w:r>
          </w:p>
          <w:p w14:paraId="65987B66">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Agr——地面效应引起的衰减，dB；</w:t>
            </w:r>
          </w:p>
          <w:p w14:paraId="2BAF265A">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Abar——障碍物屏蔽引起的衰减，dB；</w:t>
            </w:r>
          </w:p>
          <w:p w14:paraId="530B93BD">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Amisc——其他多方面效应引起的衰减，dB。</w:t>
            </w:r>
          </w:p>
          <w:p w14:paraId="76E0BD65">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Lp(r)＝Lp(r0)+DC－(Adiv＋Aatm＋Agr＋Abar＋Amisc)（A.2）</w:t>
            </w:r>
          </w:p>
          <w:p w14:paraId="6EAB1BF0">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式中：Lp(r)——预测点处声压级，dB；</w:t>
            </w:r>
          </w:p>
          <w:p w14:paraId="311C19BA">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Lp(r0)——参考位置r0处的声压级，dB；</w:t>
            </w:r>
          </w:p>
          <w:p w14:paraId="454BA49C">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DC——指向性校正，它描述点声源的等效连续声压级与产生声功率级Lw的全向点声源在规定方向的声级的偏差程度，dB；</w:t>
            </w:r>
          </w:p>
          <w:p w14:paraId="08B64425">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Adiv——几何发散引起的衰减，dB；</w:t>
            </w:r>
          </w:p>
          <w:p w14:paraId="0E3BD266">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Aatm——大气吸收引起的衰减，dB；</w:t>
            </w:r>
          </w:p>
          <w:p w14:paraId="1F28F0E9">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Agr——地面效应引起的衰减，dB；</w:t>
            </w:r>
          </w:p>
          <w:p w14:paraId="1082D6B3">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Abar——障碍物屏蔽引起的衰减，dB；</w:t>
            </w:r>
          </w:p>
          <w:p w14:paraId="243F5614">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Amisc——其他多方面效应引起的衰减，dB。</w:t>
            </w:r>
          </w:p>
          <w:p w14:paraId="4E03BA5D">
            <w:pPr>
              <w:pStyle w:val="7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b 预测点的A声级 LA</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r）可按式（A.3）计算，即将8个倍频带声压级合成，计算出预测点的A声级LA(r)</w:t>
            </w:r>
          </w:p>
          <w:p w14:paraId="247625E0">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式中：LA(r)——距声源r处的A声级，dB(A</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w:t>
            </w:r>
          </w:p>
          <w:p w14:paraId="6F80F228">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Lpi(r)——预测点（r）处，第i倍频带声压级，dB；</w:t>
            </w:r>
          </w:p>
          <w:p w14:paraId="0F0450F0">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ΔLi——第i倍频带的A计权网络修正值，dB。</w:t>
            </w:r>
          </w:p>
          <w:p w14:paraId="3E1B17EA">
            <w:pPr>
              <w:pStyle w:val="7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c在只考虑几何发散衰减时，可按式（A.4）计算。</w:t>
            </w:r>
          </w:p>
          <w:p w14:paraId="71DB1451">
            <w:pPr>
              <w:pStyle w:val="73"/>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181350" cy="314325"/>
                  <wp:effectExtent l="0" t="0" r="0" b="9525"/>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pic:cNvPicPr>
                            <a:picLocks noChangeAspect="1"/>
                          </pic:cNvPicPr>
                        </pic:nvPicPr>
                        <pic:blipFill>
                          <a:blip r:embed="rId19"/>
                          <a:stretch>
                            <a:fillRect/>
                          </a:stretch>
                        </pic:blipFill>
                        <pic:spPr>
                          <a:xfrm>
                            <a:off x="0" y="0"/>
                            <a:ext cx="3181350" cy="314325"/>
                          </a:xfrm>
                          <a:prstGeom prst="rect">
                            <a:avLst/>
                          </a:prstGeom>
                          <a:noFill/>
                          <a:ln>
                            <a:noFill/>
                          </a:ln>
                        </pic:spPr>
                      </pic:pic>
                    </a:graphicData>
                  </a:graphic>
                </wp:inline>
              </w:drawing>
            </w:r>
          </w:p>
          <w:p w14:paraId="4B5CDFD9">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式中：LA(r) ——距声源 r 处的A声级，dB(A</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w:t>
            </w:r>
          </w:p>
          <w:p w14:paraId="166E8BC6">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LA(r0)——参考位置r0处的A声级，dB(A</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w:t>
            </w:r>
          </w:p>
          <w:p w14:paraId="39CBCCB1">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Adiv——几何发散引起的衰减，dB。</w:t>
            </w:r>
          </w:p>
          <w:p w14:paraId="6D312780">
            <w:pPr>
              <w:pStyle w:val="73"/>
              <w:ind w:left="720"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② 室内声源 </w:t>
            </w:r>
          </w:p>
          <w:p w14:paraId="2AABFD6E">
            <w:pPr>
              <w:pStyle w:val="7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如图4-3所示，声源位于室内，室内声源可采用等效室外声源声功率级法进行计算。设靠近开口处（或窗户）室内、室外某倍频带的声压级或A声级分别为Lp1和Lp2。若声源所在室内声场为近似扩散声场，则室外的倍频带声压级可按式（B.1）近似求出：</w:t>
            </w:r>
          </w:p>
          <w:p w14:paraId="402014C7">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式中：Lp1——靠近开口处（或窗户）室内某倍频带的声压级或A声级，dB；</w:t>
            </w:r>
          </w:p>
          <w:p w14:paraId="5F43F417">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Lp2——靠近开口处（或窗户）室外某倍频带的声压级或A声级，dB；</w:t>
            </w:r>
          </w:p>
          <w:p w14:paraId="749C1FA5">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TL——隔墙（或窗户）倍频带或A声级的隔声量，dB。</w:t>
            </w:r>
          </w:p>
          <w:p w14:paraId="4E272E60">
            <w:pPr>
              <w:pStyle w:val="73"/>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038350" cy="1181100"/>
                  <wp:effectExtent l="0" t="0" r="0" b="0"/>
                  <wp:docPr id="1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pic:cNvPicPr>
                            <a:picLocks noChangeAspect="1"/>
                          </pic:cNvPicPr>
                        </pic:nvPicPr>
                        <pic:blipFill>
                          <a:blip r:embed="rId20"/>
                          <a:stretch>
                            <a:fillRect/>
                          </a:stretch>
                        </pic:blipFill>
                        <pic:spPr>
                          <a:xfrm>
                            <a:off x="0" y="0"/>
                            <a:ext cx="2038350" cy="1181100"/>
                          </a:xfrm>
                          <a:prstGeom prst="rect">
                            <a:avLst/>
                          </a:prstGeom>
                          <a:noFill/>
                          <a:ln>
                            <a:noFill/>
                          </a:ln>
                        </pic:spPr>
                      </pic:pic>
                    </a:graphicData>
                  </a:graphic>
                </wp:inline>
              </w:drawing>
            </w:r>
          </w:p>
          <w:p w14:paraId="151B2DD7">
            <w:pPr>
              <w:pStyle w:val="7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也可按式（B.2）计算某一室内声源靠近围护结构处产生的倍频带声压级或A声级：</w:t>
            </w:r>
          </w:p>
          <w:p w14:paraId="4157A08C">
            <w:pPr>
              <w:pStyle w:val="73"/>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752850" cy="485775"/>
                  <wp:effectExtent l="0" t="0" r="0" b="9525"/>
                  <wp:docPr id="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pic:cNvPicPr>
                            <a:picLocks noChangeAspect="1"/>
                          </pic:cNvPicPr>
                        </pic:nvPicPr>
                        <pic:blipFill>
                          <a:blip r:embed="rId21"/>
                          <a:stretch>
                            <a:fillRect/>
                          </a:stretch>
                        </pic:blipFill>
                        <pic:spPr>
                          <a:xfrm>
                            <a:off x="0" y="0"/>
                            <a:ext cx="3752850" cy="485775"/>
                          </a:xfrm>
                          <a:prstGeom prst="rect">
                            <a:avLst/>
                          </a:prstGeom>
                          <a:noFill/>
                          <a:ln>
                            <a:noFill/>
                          </a:ln>
                        </pic:spPr>
                      </pic:pic>
                    </a:graphicData>
                  </a:graphic>
                </wp:inline>
              </w:drawing>
            </w:r>
          </w:p>
          <w:p w14:paraId="098E6174">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式中：Lp1——靠近开口处（或窗户）室内某倍频带的声压级或A声级，dB；</w:t>
            </w:r>
          </w:p>
          <w:p w14:paraId="05CEF165">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Lw——点声源声功率级（A 计权或倍频带），dB；</w:t>
            </w:r>
          </w:p>
          <w:p w14:paraId="631D737D">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Q——指向性因数；通常对无指向性声源，当声源放在房间中心时， Q=1；当放在一面墙的中心时，Q=2；当放在两面墙夹角处时，Q=4；当放在三面墙夹角处时，Q=8；</w:t>
            </w:r>
          </w:p>
          <w:p w14:paraId="2F247AED">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R——房间常数；R= Sα/(1-α</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，S为房间内表面面积，m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；α为平均吸声系数；</w:t>
            </w:r>
          </w:p>
          <w:p w14:paraId="4DC410BA">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r ——声源到靠近围护结构某点处的距离，m。</w:t>
            </w:r>
          </w:p>
          <w:p w14:paraId="58608380">
            <w:pPr>
              <w:pStyle w:val="73"/>
              <w:rPr>
                <w:color w:val="000000" w:themeColor="text1"/>
                <w14:textFill>
                  <w14:solidFill>
                    <w14:schemeClr w14:val="tx1"/>
                  </w14:solidFill>
                </w14:textFill>
              </w:rPr>
            </w:pPr>
            <w:r>
              <w:rPr>
                <w:rFonts w:hint="eastAsia"/>
                <w:color w:val="000000" w:themeColor="text1"/>
                <w14:textFill>
                  <w14:solidFill>
                    <w14:schemeClr w14:val="tx1"/>
                  </w14:solidFill>
                </w14:textFill>
              </w:rPr>
              <w:t>然后按式（B.3）计算出所有室内声源在围护结构处产生的i倍频带叠加声压级；</w:t>
            </w:r>
          </w:p>
          <w:p w14:paraId="17178E03">
            <w:pPr>
              <w:pStyle w:val="73"/>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648075" cy="476250"/>
                  <wp:effectExtent l="0" t="0" r="9525" b="0"/>
                  <wp:docPr id="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pic:cNvPicPr>
                            <a:picLocks noChangeAspect="1"/>
                          </pic:cNvPicPr>
                        </pic:nvPicPr>
                        <pic:blipFill>
                          <a:blip r:embed="rId22"/>
                          <a:stretch>
                            <a:fillRect/>
                          </a:stretch>
                        </pic:blipFill>
                        <pic:spPr>
                          <a:xfrm>
                            <a:off x="0" y="0"/>
                            <a:ext cx="3648075" cy="476250"/>
                          </a:xfrm>
                          <a:prstGeom prst="rect">
                            <a:avLst/>
                          </a:prstGeom>
                          <a:noFill/>
                          <a:ln>
                            <a:noFill/>
                          </a:ln>
                        </pic:spPr>
                      </pic:pic>
                    </a:graphicData>
                  </a:graphic>
                </wp:inline>
              </w:drawing>
            </w:r>
          </w:p>
          <w:p w14:paraId="396517E1">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式中：Lp1（i T） ——靠近围护结构处室内N个声源i倍频带的叠加声压级， dB；</w:t>
            </w:r>
          </w:p>
          <w:p w14:paraId="7FFB1742">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Lp1 ij——室内j声源i倍频带的声压级，dB；</w:t>
            </w:r>
          </w:p>
          <w:p w14:paraId="50B46B89">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N——室内声源总数。</w:t>
            </w:r>
          </w:p>
          <w:p w14:paraId="124B3AC9">
            <w:pPr>
              <w:pStyle w:val="7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在室内近似为扩散声场时，按式（B.4）计算出靠近室外围护结构处的声压级：</w:t>
            </w:r>
          </w:p>
          <w:p w14:paraId="68B92F17">
            <w:pPr>
              <w:pStyle w:val="73"/>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657600" cy="361950"/>
                  <wp:effectExtent l="0" t="0" r="0" b="0"/>
                  <wp:docPr id="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pic:cNvPicPr>
                            <a:picLocks noChangeAspect="1"/>
                          </pic:cNvPicPr>
                        </pic:nvPicPr>
                        <pic:blipFill>
                          <a:blip r:embed="rId23"/>
                          <a:stretch>
                            <a:fillRect/>
                          </a:stretch>
                        </pic:blipFill>
                        <pic:spPr>
                          <a:xfrm>
                            <a:off x="0" y="0"/>
                            <a:ext cx="3657600" cy="361950"/>
                          </a:xfrm>
                          <a:prstGeom prst="rect">
                            <a:avLst/>
                          </a:prstGeom>
                          <a:noFill/>
                          <a:ln>
                            <a:noFill/>
                          </a:ln>
                        </pic:spPr>
                      </pic:pic>
                    </a:graphicData>
                  </a:graphic>
                </wp:inline>
              </w:drawing>
            </w:r>
          </w:p>
          <w:p w14:paraId="27633E86">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式中：Lw——中心位置位于透声面积（S）处的等效声源的倍频带声功率级， dB；</w:t>
            </w:r>
          </w:p>
          <w:p w14:paraId="2A9E3C91">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Lp2(T)——靠近围护结构处室外声源的声压级，dB；</w:t>
            </w:r>
          </w:p>
          <w:p w14:paraId="0B982843">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S——透声面积，m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68A84A77">
            <w:pPr>
              <w:pStyle w:val="7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然后按室外声源预测方法计算预测点处的 A 声级。</w:t>
            </w:r>
          </w:p>
          <w:p w14:paraId="6686F807">
            <w:pPr>
              <w:pStyle w:val="73"/>
              <w:ind w:left="720"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③ 工业企业噪声计算（贡献值）</w:t>
            </w:r>
          </w:p>
          <w:p w14:paraId="6843B017">
            <w:pPr>
              <w:pStyle w:val="7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设第i个室外声源在预测点产生的A声级为LAi，在T时间内该声源工作时间为ti；第j个等效室外声源在预测点产生的A声级为LAj，在T时间内该声源工作时间为tj，则拟建工程声源对预测点产生的贡献值（Leqg）为：</w:t>
            </w:r>
          </w:p>
          <w:p w14:paraId="73A3EDEB">
            <w:pPr>
              <w:pStyle w:val="73"/>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829050" cy="485775"/>
                  <wp:effectExtent l="0" t="0" r="0" b="9525"/>
                  <wp:docPr id="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pic:cNvPicPr>
                            <a:picLocks noChangeAspect="1"/>
                          </pic:cNvPicPr>
                        </pic:nvPicPr>
                        <pic:blipFill>
                          <a:blip r:embed="rId24"/>
                          <a:stretch>
                            <a:fillRect/>
                          </a:stretch>
                        </pic:blipFill>
                        <pic:spPr>
                          <a:xfrm>
                            <a:off x="0" y="0"/>
                            <a:ext cx="3829050" cy="485775"/>
                          </a:xfrm>
                          <a:prstGeom prst="rect">
                            <a:avLst/>
                          </a:prstGeom>
                          <a:noFill/>
                          <a:ln>
                            <a:noFill/>
                          </a:ln>
                        </pic:spPr>
                      </pic:pic>
                    </a:graphicData>
                  </a:graphic>
                </wp:inline>
              </w:drawing>
            </w:r>
          </w:p>
          <w:p w14:paraId="73C06197">
            <w:pPr>
              <w:pStyle w:val="7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式中：Leqg——建设项目声源在预测点产生的噪声贡献值，dB；</w:t>
            </w:r>
          </w:p>
          <w:p w14:paraId="65EB06D2">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T——用于计算等效声级的时间，s；</w:t>
            </w:r>
          </w:p>
          <w:p w14:paraId="21E1E472">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N——室外声源个数；</w:t>
            </w:r>
          </w:p>
          <w:p w14:paraId="7DB6F2BE">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ti——在T时间内i声源工作时间，s；</w:t>
            </w:r>
          </w:p>
          <w:p w14:paraId="32B4EDAC">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M——等效室外声源个数；</w:t>
            </w:r>
          </w:p>
          <w:p w14:paraId="7D8537A9">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t j——在T时间内j声源工作时间，s。</w:t>
            </w:r>
          </w:p>
          <w:p w14:paraId="2BB77C43">
            <w:pPr>
              <w:pStyle w:val="73"/>
              <w:ind w:left="720"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④ 预测值计算</w:t>
            </w:r>
          </w:p>
          <w:p w14:paraId="063C657B">
            <w:pPr>
              <w:pStyle w:val="7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按本标准正文式（3）计算。预测点的贡献值和背景值按能量叠加方法计算得到的声级。噪声预测值（Leq）计算公式为：</w:t>
            </w:r>
          </w:p>
          <w:p w14:paraId="44B78FC2">
            <w:pPr>
              <w:pStyle w:val="73"/>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619500" cy="428625"/>
                  <wp:effectExtent l="0" t="0" r="0" b="9525"/>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pic:cNvPicPr>
                            <a:picLocks noChangeAspect="1"/>
                          </pic:cNvPicPr>
                        </pic:nvPicPr>
                        <pic:blipFill>
                          <a:blip r:embed="rId25"/>
                          <a:stretch>
                            <a:fillRect/>
                          </a:stretch>
                        </pic:blipFill>
                        <pic:spPr>
                          <a:xfrm>
                            <a:off x="0" y="0"/>
                            <a:ext cx="3619500" cy="428625"/>
                          </a:xfrm>
                          <a:prstGeom prst="rect">
                            <a:avLst/>
                          </a:prstGeom>
                          <a:noFill/>
                          <a:ln>
                            <a:noFill/>
                          </a:ln>
                        </pic:spPr>
                      </pic:pic>
                    </a:graphicData>
                  </a:graphic>
                </wp:inline>
              </w:drawing>
            </w:r>
          </w:p>
          <w:p w14:paraId="48494DD3">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式中： Leq——预测点的噪声预测值，dB；</w:t>
            </w:r>
          </w:p>
          <w:p w14:paraId="1F6E101B">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Leqg——建设项目声源在预测点产生的噪声贡献值，dB；</w:t>
            </w:r>
          </w:p>
          <w:p w14:paraId="584A4FEC">
            <w:pPr>
              <w:pStyle w:val="73"/>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Leqb——预测点的背景噪声值，dB。</w:t>
            </w:r>
          </w:p>
          <w:p w14:paraId="33CF0978">
            <w:pPr>
              <w:pStyle w:val="73"/>
              <w:ind w:left="720"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⑤ 预测假设条件及预测参数 </w:t>
            </w:r>
          </w:p>
          <w:p w14:paraId="1F10FCCC">
            <w:pPr>
              <w:pStyle w:val="7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在预测计算时，为留有余地，以对环境最不利为前提，同时也考虑到计算方便，现作如下假设：</w:t>
            </w:r>
          </w:p>
          <w:p w14:paraId="5A507DFD">
            <w:pPr>
              <w:pStyle w:val="7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a 预测计算的安全系数</w:t>
            </w:r>
          </w:p>
          <w:p w14:paraId="2BBF2B22">
            <w:pPr>
              <w:pStyle w:val="7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声波在传播过程中能量衰减的因素较多。在预测时，为留有较大余地，以对环境最不利的情况为前提，只考虑屏障衰减、距离衰减，其他因素的衰减，如空气吸收、地面吸收、温度梯度、雨、雾等均作为预测计算的安全系数而不计。各衰减量的计算均按通用的公式进行估算。</w:t>
            </w:r>
          </w:p>
          <w:p w14:paraId="0341CE91">
            <w:pPr>
              <w:pStyle w:val="7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b 声源分类。</w:t>
            </w:r>
          </w:p>
          <w:p w14:paraId="39345F80">
            <w:pPr>
              <w:pStyle w:val="7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确定本项目生产车间为一个整体声源，环保设备风机为点声源。</w:t>
            </w:r>
          </w:p>
          <w:p w14:paraId="3BB10239">
            <w:pPr>
              <w:pStyle w:val="7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⑥ 预测参数</w:t>
            </w:r>
          </w:p>
          <w:p w14:paraId="5E7677A5">
            <w:pPr>
              <w:pStyle w:val="7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声波在传播过程中能量衰减的因素较多。在预测时，为留有较大余地，以对环境最不利的情况为前提，只考虑屏障衰减、距离衰减，其他因素的衰减，如空气吸收、地面吸收、温度梯度、雨、雾等均作为预测计算的安全系数而不计。各衰减量的计算均按通用的公式进行估算。</w:t>
            </w:r>
          </w:p>
          <w:p w14:paraId="275A8665">
            <w:pPr>
              <w:pStyle w:val="63"/>
              <w:spacing w:line="240" w:lineRule="auto"/>
              <w:rPr>
                <w:rFonts w:hint="eastAsia"/>
                <w:color w:val="000000" w:themeColor="text1"/>
                <w:highlight w:val="none"/>
                <w14:textFill>
                  <w14:solidFill>
                    <w14:schemeClr w14:val="tx1"/>
                  </w14:solidFill>
                </w14:textFill>
              </w:rPr>
            </w:pPr>
          </w:p>
          <w:p w14:paraId="77F532DA">
            <w:pPr>
              <w:pStyle w:val="63"/>
              <w:spacing w:line="240" w:lineRule="auto"/>
              <w:rPr>
                <w:rFonts w:hint="eastAsia"/>
                <w:color w:val="000000" w:themeColor="text1"/>
                <w:highlight w:val="none"/>
                <w14:textFill>
                  <w14:solidFill>
                    <w14:schemeClr w14:val="tx1"/>
                  </w14:solidFill>
                </w14:textFill>
              </w:rPr>
            </w:pPr>
          </w:p>
          <w:p w14:paraId="48F550A9">
            <w:pPr>
              <w:pStyle w:val="63"/>
              <w:spacing w:line="240" w:lineRule="auto"/>
              <w:rPr>
                <w:rFonts w:hint="eastAsia"/>
                <w:color w:val="000000" w:themeColor="text1"/>
                <w:highlight w:val="none"/>
                <w14:textFill>
                  <w14:solidFill>
                    <w14:schemeClr w14:val="tx1"/>
                  </w14:solidFill>
                </w14:textFill>
              </w:rPr>
            </w:pPr>
          </w:p>
          <w:p w14:paraId="66F00AAB">
            <w:pPr>
              <w:pStyle w:val="63"/>
              <w:spacing w:line="240" w:lineRule="auto"/>
              <w:rPr>
                <w:rFonts w:hint="default"/>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表4-</w:t>
            </w:r>
            <w:r>
              <w:rPr>
                <w:rFonts w:hint="eastAsia"/>
                <w:color w:val="000000" w:themeColor="text1"/>
                <w:highlight w:val="none"/>
                <w:lang w:val="en-US" w:eastAsia="zh-CN"/>
                <w14:textFill>
                  <w14:solidFill>
                    <w14:schemeClr w14:val="tx1"/>
                  </w14:solidFill>
                </w14:textFill>
              </w:rPr>
              <w:t xml:space="preserve">13 </w:t>
            </w:r>
            <w:r>
              <w:rPr>
                <w:rFonts w:hint="eastAsia"/>
                <w:color w:val="000000" w:themeColor="text1"/>
                <w:highlight w:val="none"/>
                <w14:textFill>
                  <w14:solidFill>
                    <w14:schemeClr w14:val="tx1"/>
                  </w14:solidFill>
                </w14:textFill>
              </w:rPr>
              <w:t xml:space="preserve"> 项目</w:t>
            </w:r>
            <w:r>
              <w:rPr>
                <w:rFonts w:hint="eastAsia"/>
                <w:color w:val="000000" w:themeColor="text1"/>
                <w:highlight w:val="none"/>
                <w:lang w:val="en-US" w:eastAsia="zh-CN"/>
                <w14:textFill>
                  <w14:solidFill>
                    <w14:schemeClr w14:val="tx1"/>
                  </w14:solidFill>
                </w14:textFill>
              </w:rPr>
              <w:t xml:space="preserve">厂界最大噪声贡献值计算结果 </w:t>
            </w:r>
            <w:r>
              <w:rPr>
                <w:rFonts w:hint="eastAsia"/>
                <w:color w:val="000000" w:themeColor="text1"/>
                <w:highlight w:val="none"/>
                <w14:textFill>
                  <w14:solidFill>
                    <w14:schemeClr w14:val="tx1"/>
                  </w14:solidFill>
                </w14:textFill>
              </w:rPr>
              <w:t>单位：dB（A）</w:t>
            </w:r>
          </w:p>
          <w:tbl>
            <w:tblPr>
              <w:tblStyle w:val="29"/>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273"/>
              <w:gridCol w:w="1278"/>
              <w:gridCol w:w="1631"/>
              <w:gridCol w:w="10"/>
              <w:gridCol w:w="1290"/>
              <w:gridCol w:w="2636"/>
              <w:gridCol w:w="10"/>
            </w:tblGrid>
            <w:tr w14:paraId="6E8544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5" w:type="pct"/>
                <w:cantSplit/>
                <w:trHeight w:val="340" w:hRule="atLeast"/>
                <w:jc w:val="center"/>
              </w:trPr>
              <w:tc>
                <w:tcPr>
                  <w:tcW w:w="783" w:type="pct"/>
                  <w:vMerge w:val="restart"/>
                  <w:noWrap w:val="0"/>
                  <w:vAlign w:val="center"/>
                </w:tcPr>
                <w:p w14:paraId="4BF7526A">
                  <w:pPr>
                    <w:adjustRightInd w:val="0"/>
                    <w:snapToGrid w:val="0"/>
                    <w:spacing w:line="240" w:lineRule="auto"/>
                    <w:jc w:val="center"/>
                    <w:rPr>
                      <w:b/>
                      <w:bCs/>
                      <w:color w:val="auto"/>
                      <w:sz w:val="21"/>
                      <w:szCs w:val="21"/>
                      <w:highlight w:val="none"/>
                    </w:rPr>
                  </w:pPr>
                  <w:r>
                    <w:rPr>
                      <w:b/>
                      <w:bCs/>
                      <w:color w:val="auto"/>
                      <w:sz w:val="21"/>
                      <w:szCs w:val="21"/>
                      <w:highlight w:val="none"/>
                    </w:rPr>
                    <w:t>预测点</w:t>
                  </w:r>
                </w:p>
              </w:tc>
              <w:tc>
                <w:tcPr>
                  <w:tcW w:w="786" w:type="pct"/>
                  <w:vMerge w:val="restart"/>
                  <w:noWrap w:val="0"/>
                  <w:vAlign w:val="center"/>
                </w:tcPr>
                <w:p w14:paraId="21DA50D3">
                  <w:pPr>
                    <w:adjustRightInd w:val="0"/>
                    <w:snapToGrid w:val="0"/>
                    <w:spacing w:line="240" w:lineRule="auto"/>
                    <w:jc w:val="center"/>
                    <w:rPr>
                      <w:b/>
                      <w:bCs/>
                      <w:color w:val="auto"/>
                      <w:sz w:val="21"/>
                      <w:szCs w:val="21"/>
                      <w:highlight w:val="none"/>
                    </w:rPr>
                  </w:pPr>
                  <w:r>
                    <w:rPr>
                      <w:b/>
                      <w:bCs/>
                      <w:color w:val="auto"/>
                      <w:sz w:val="21"/>
                      <w:szCs w:val="21"/>
                      <w:highlight w:val="none"/>
                    </w:rPr>
                    <w:t>相对厂界距离m</w:t>
                  </w:r>
                </w:p>
              </w:tc>
              <w:tc>
                <w:tcPr>
                  <w:tcW w:w="1003" w:type="pct"/>
                  <w:noWrap w:val="0"/>
                  <w:vAlign w:val="center"/>
                </w:tcPr>
                <w:p w14:paraId="6B561AB9">
                  <w:pPr>
                    <w:adjustRightInd w:val="0"/>
                    <w:snapToGrid w:val="0"/>
                    <w:spacing w:line="240" w:lineRule="auto"/>
                    <w:jc w:val="center"/>
                    <w:rPr>
                      <w:rFonts w:hint="eastAsia"/>
                      <w:b/>
                      <w:bCs/>
                      <w:color w:val="auto"/>
                      <w:sz w:val="21"/>
                      <w:szCs w:val="21"/>
                      <w:highlight w:val="none"/>
                    </w:rPr>
                  </w:pPr>
                  <w:r>
                    <w:rPr>
                      <w:b/>
                      <w:bCs/>
                      <w:color w:val="auto"/>
                      <w:sz w:val="21"/>
                      <w:szCs w:val="21"/>
                      <w:highlight w:val="none"/>
                    </w:rPr>
                    <w:t>贡献值dB（A）</w:t>
                  </w:r>
                </w:p>
              </w:tc>
              <w:tc>
                <w:tcPr>
                  <w:tcW w:w="2420" w:type="pct"/>
                  <w:gridSpan w:val="3"/>
                  <w:noWrap w:val="0"/>
                  <w:vAlign w:val="center"/>
                </w:tcPr>
                <w:p w14:paraId="1AF6C016">
                  <w:pPr>
                    <w:adjustRightInd w:val="0"/>
                    <w:snapToGrid w:val="0"/>
                    <w:spacing w:line="240" w:lineRule="auto"/>
                    <w:jc w:val="center"/>
                    <w:rPr>
                      <w:b/>
                      <w:bCs/>
                      <w:color w:val="auto"/>
                      <w:sz w:val="21"/>
                      <w:szCs w:val="21"/>
                      <w:highlight w:val="none"/>
                    </w:rPr>
                  </w:pPr>
                  <w:r>
                    <w:rPr>
                      <w:b/>
                      <w:bCs/>
                      <w:color w:val="auto"/>
                      <w:sz w:val="21"/>
                      <w:szCs w:val="21"/>
                      <w:highlight w:val="none"/>
                    </w:rPr>
                    <w:t>评价标准</w:t>
                  </w:r>
                </w:p>
              </w:tc>
            </w:tr>
            <w:tr w14:paraId="52BA43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83" w:type="pct"/>
                  <w:vMerge w:val="continue"/>
                  <w:noWrap w:val="0"/>
                  <w:vAlign w:val="center"/>
                </w:tcPr>
                <w:p w14:paraId="1F2C3597">
                  <w:pPr>
                    <w:adjustRightInd w:val="0"/>
                    <w:snapToGrid w:val="0"/>
                    <w:spacing w:line="240" w:lineRule="auto"/>
                    <w:jc w:val="center"/>
                    <w:rPr>
                      <w:b/>
                      <w:bCs/>
                      <w:color w:val="auto"/>
                      <w:sz w:val="21"/>
                      <w:szCs w:val="21"/>
                      <w:highlight w:val="none"/>
                    </w:rPr>
                  </w:pPr>
                </w:p>
              </w:tc>
              <w:tc>
                <w:tcPr>
                  <w:tcW w:w="786" w:type="pct"/>
                  <w:vMerge w:val="continue"/>
                  <w:noWrap w:val="0"/>
                  <w:vAlign w:val="center"/>
                </w:tcPr>
                <w:p w14:paraId="1D158DDE">
                  <w:pPr>
                    <w:adjustRightInd w:val="0"/>
                    <w:snapToGrid w:val="0"/>
                    <w:spacing w:line="240" w:lineRule="auto"/>
                    <w:jc w:val="center"/>
                    <w:rPr>
                      <w:b/>
                      <w:bCs/>
                      <w:color w:val="auto"/>
                      <w:sz w:val="21"/>
                      <w:szCs w:val="21"/>
                      <w:highlight w:val="none"/>
                    </w:rPr>
                  </w:pPr>
                </w:p>
              </w:tc>
              <w:tc>
                <w:tcPr>
                  <w:tcW w:w="1009" w:type="pct"/>
                  <w:gridSpan w:val="2"/>
                  <w:noWrap w:val="0"/>
                  <w:vAlign w:val="center"/>
                </w:tcPr>
                <w:p w14:paraId="265929DE">
                  <w:pPr>
                    <w:adjustRightInd w:val="0"/>
                    <w:snapToGrid w:val="0"/>
                    <w:spacing w:line="240" w:lineRule="auto"/>
                    <w:jc w:val="center"/>
                    <w:rPr>
                      <w:b/>
                      <w:bCs/>
                      <w:color w:val="auto"/>
                      <w:sz w:val="21"/>
                      <w:szCs w:val="21"/>
                      <w:highlight w:val="none"/>
                    </w:rPr>
                  </w:pPr>
                  <w:r>
                    <w:rPr>
                      <w:b/>
                      <w:bCs/>
                      <w:color w:val="auto"/>
                      <w:sz w:val="21"/>
                      <w:szCs w:val="21"/>
                      <w:highlight w:val="none"/>
                    </w:rPr>
                    <w:t>昼间</w:t>
                  </w:r>
                </w:p>
              </w:tc>
              <w:tc>
                <w:tcPr>
                  <w:tcW w:w="793" w:type="pct"/>
                  <w:noWrap w:val="0"/>
                  <w:vAlign w:val="center"/>
                </w:tcPr>
                <w:p w14:paraId="703E2980">
                  <w:pPr>
                    <w:adjustRightInd w:val="0"/>
                    <w:snapToGrid w:val="0"/>
                    <w:spacing w:line="240" w:lineRule="auto"/>
                    <w:jc w:val="center"/>
                    <w:rPr>
                      <w:b/>
                      <w:bCs/>
                      <w:color w:val="auto"/>
                      <w:sz w:val="21"/>
                      <w:szCs w:val="21"/>
                      <w:highlight w:val="none"/>
                    </w:rPr>
                  </w:pPr>
                  <w:r>
                    <w:rPr>
                      <w:b/>
                      <w:bCs/>
                      <w:color w:val="auto"/>
                      <w:sz w:val="21"/>
                      <w:szCs w:val="21"/>
                      <w:highlight w:val="none"/>
                    </w:rPr>
                    <w:t>标准值dB（A）</w:t>
                  </w:r>
                </w:p>
              </w:tc>
              <w:tc>
                <w:tcPr>
                  <w:tcW w:w="1627" w:type="pct"/>
                  <w:gridSpan w:val="2"/>
                  <w:noWrap w:val="0"/>
                  <w:vAlign w:val="center"/>
                </w:tcPr>
                <w:p w14:paraId="016FDF8F">
                  <w:pPr>
                    <w:adjustRightInd w:val="0"/>
                    <w:snapToGrid w:val="0"/>
                    <w:spacing w:line="240" w:lineRule="auto"/>
                    <w:jc w:val="center"/>
                    <w:rPr>
                      <w:b/>
                      <w:bCs/>
                      <w:color w:val="auto"/>
                      <w:sz w:val="21"/>
                      <w:szCs w:val="21"/>
                      <w:highlight w:val="none"/>
                    </w:rPr>
                  </w:pPr>
                  <w:r>
                    <w:rPr>
                      <w:b/>
                      <w:bCs/>
                      <w:color w:val="auto"/>
                      <w:sz w:val="21"/>
                      <w:szCs w:val="21"/>
                      <w:highlight w:val="none"/>
                    </w:rPr>
                    <w:t>标准来源</w:t>
                  </w:r>
                </w:p>
              </w:tc>
            </w:tr>
            <w:tr w14:paraId="045A13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83" w:type="pct"/>
                  <w:noWrap w:val="0"/>
                  <w:vAlign w:val="center"/>
                </w:tcPr>
                <w:p w14:paraId="20A3057A">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r>
                    <w:rPr>
                      <w:rFonts w:hint="eastAsia"/>
                      <w:color w:val="auto"/>
                      <w:sz w:val="21"/>
                      <w:szCs w:val="21"/>
                      <w:highlight w:val="none"/>
                      <w:lang w:val="en-US" w:eastAsia="zh-CN"/>
                    </w:rPr>
                    <w:t>厂界</w:t>
                  </w:r>
                </w:p>
              </w:tc>
              <w:tc>
                <w:tcPr>
                  <w:tcW w:w="786" w:type="pct"/>
                  <w:noWrap w:val="0"/>
                  <w:vAlign w:val="center"/>
                </w:tcPr>
                <w:p w14:paraId="300AD20D">
                  <w:pPr>
                    <w:adjustRightInd w:val="0"/>
                    <w:snapToGrid w:val="0"/>
                    <w:spacing w:line="240" w:lineRule="auto"/>
                    <w:jc w:val="center"/>
                    <w:rPr>
                      <w:rFonts w:hint="eastAsia" w:eastAsia="宋体"/>
                      <w:color w:val="auto"/>
                      <w:sz w:val="21"/>
                      <w:szCs w:val="21"/>
                      <w:highlight w:val="none"/>
                      <w:lang w:eastAsia="zh-CN"/>
                    </w:rPr>
                  </w:pPr>
                  <w:r>
                    <w:rPr>
                      <w:rFonts w:hint="eastAsia"/>
                      <w:color w:val="auto"/>
                      <w:sz w:val="21"/>
                      <w:szCs w:val="21"/>
                      <w:highlight w:val="none"/>
                      <w:lang w:val="en-US" w:eastAsia="zh-CN"/>
                    </w:rPr>
                    <w:t>1</w:t>
                  </w:r>
                </w:p>
              </w:tc>
              <w:tc>
                <w:tcPr>
                  <w:tcW w:w="1009" w:type="pct"/>
                  <w:gridSpan w:val="2"/>
                  <w:noWrap w:val="0"/>
                  <w:vAlign w:val="center"/>
                </w:tcPr>
                <w:p w14:paraId="08CE0C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59.1</w:t>
                  </w:r>
                </w:p>
              </w:tc>
              <w:tc>
                <w:tcPr>
                  <w:tcW w:w="793" w:type="pct"/>
                  <w:vMerge w:val="restart"/>
                  <w:noWrap w:val="0"/>
                  <w:vAlign w:val="center"/>
                </w:tcPr>
                <w:p w14:paraId="6A98AA6E">
                  <w:pPr>
                    <w:adjustRightInd w:val="0"/>
                    <w:snapToGrid w:val="0"/>
                    <w:spacing w:line="240" w:lineRule="auto"/>
                    <w:jc w:val="center"/>
                    <w:rPr>
                      <w:rFonts w:hint="eastAsia"/>
                      <w:color w:val="auto"/>
                      <w:sz w:val="21"/>
                      <w:szCs w:val="21"/>
                      <w:highlight w:val="none"/>
                    </w:rPr>
                  </w:pPr>
                  <w:r>
                    <w:rPr>
                      <w:color w:val="auto"/>
                      <w:sz w:val="21"/>
                      <w:szCs w:val="21"/>
                      <w:highlight w:val="none"/>
                    </w:rPr>
                    <w:t>昼间6</w:t>
                  </w:r>
                  <w:r>
                    <w:rPr>
                      <w:rFonts w:hint="eastAsia"/>
                      <w:color w:val="auto"/>
                      <w:sz w:val="21"/>
                      <w:szCs w:val="21"/>
                      <w:highlight w:val="none"/>
                    </w:rPr>
                    <w:t>5</w:t>
                  </w:r>
                </w:p>
              </w:tc>
              <w:tc>
                <w:tcPr>
                  <w:tcW w:w="1627" w:type="pct"/>
                  <w:gridSpan w:val="2"/>
                  <w:vMerge w:val="restart"/>
                  <w:noWrap w:val="0"/>
                  <w:vAlign w:val="center"/>
                </w:tcPr>
                <w:p w14:paraId="4B486F4B">
                  <w:pPr>
                    <w:adjustRightInd w:val="0"/>
                    <w:snapToGrid w:val="0"/>
                    <w:spacing w:line="240" w:lineRule="auto"/>
                    <w:jc w:val="center"/>
                    <w:rPr>
                      <w:color w:val="auto"/>
                      <w:sz w:val="21"/>
                      <w:szCs w:val="21"/>
                      <w:highlight w:val="none"/>
                    </w:rPr>
                  </w:pPr>
                  <w:r>
                    <w:rPr>
                      <w:color w:val="auto"/>
                      <w:sz w:val="21"/>
                      <w:szCs w:val="21"/>
                      <w:highlight w:val="none"/>
                    </w:rPr>
                    <w:t>(GB12348-2008)</w:t>
                  </w:r>
                </w:p>
                <w:p w14:paraId="11ABAFC4">
                  <w:pPr>
                    <w:adjustRightInd w:val="0"/>
                    <w:snapToGrid w:val="0"/>
                    <w:spacing w:line="240" w:lineRule="auto"/>
                    <w:jc w:val="center"/>
                    <w:rPr>
                      <w:color w:val="auto"/>
                      <w:sz w:val="21"/>
                      <w:szCs w:val="21"/>
                      <w:highlight w:val="none"/>
                    </w:rPr>
                  </w:pPr>
                  <w:r>
                    <w:rPr>
                      <w:rFonts w:hint="eastAsia"/>
                      <w:color w:val="auto"/>
                      <w:sz w:val="21"/>
                      <w:szCs w:val="21"/>
                      <w:highlight w:val="none"/>
                    </w:rPr>
                    <w:t>3</w:t>
                  </w:r>
                  <w:r>
                    <w:rPr>
                      <w:color w:val="auto"/>
                      <w:sz w:val="21"/>
                      <w:szCs w:val="21"/>
                      <w:highlight w:val="none"/>
                    </w:rPr>
                    <w:t>类标准</w:t>
                  </w:r>
                </w:p>
              </w:tc>
            </w:tr>
            <w:tr w14:paraId="16AEAF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83" w:type="pct"/>
                  <w:noWrap w:val="0"/>
                  <w:vAlign w:val="center"/>
                </w:tcPr>
                <w:p w14:paraId="48FB09C6">
                  <w:pPr>
                    <w:adjustRightInd w:val="0"/>
                    <w:snapToGrid w:val="0"/>
                    <w:spacing w:line="240" w:lineRule="auto"/>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r>
                    <w:rPr>
                      <w:rFonts w:hint="eastAsia"/>
                      <w:color w:val="auto"/>
                      <w:sz w:val="21"/>
                      <w:szCs w:val="21"/>
                      <w:highlight w:val="none"/>
                      <w:lang w:val="en-US" w:eastAsia="zh-CN"/>
                    </w:rPr>
                    <w:t>厂界</w:t>
                  </w:r>
                </w:p>
              </w:tc>
              <w:tc>
                <w:tcPr>
                  <w:tcW w:w="786" w:type="pct"/>
                  <w:noWrap w:val="0"/>
                  <w:vAlign w:val="center"/>
                </w:tcPr>
                <w:p w14:paraId="4E9B6162">
                  <w:pPr>
                    <w:adjustRightInd w:val="0"/>
                    <w:snapToGrid w:val="0"/>
                    <w:spacing w:line="240" w:lineRule="auto"/>
                    <w:jc w:val="center"/>
                    <w:rPr>
                      <w:rFonts w:hint="eastAsia"/>
                      <w:color w:val="auto"/>
                      <w:sz w:val="21"/>
                      <w:szCs w:val="21"/>
                      <w:highlight w:val="none"/>
                    </w:rPr>
                  </w:pPr>
                  <w:r>
                    <w:rPr>
                      <w:rFonts w:hint="eastAsia"/>
                      <w:color w:val="auto"/>
                      <w:sz w:val="21"/>
                      <w:szCs w:val="21"/>
                      <w:highlight w:val="none"/>
                      <w:lang w:val="en-US" w:eastAsia="zh-CN"/>
                    </w:rPr>
                    <w:t>1</w:t>
                  </w:r>
                </w:p>
              </w:tc>
              <w:tc>
                <w:tcPr>
                  <w:tcW w:w="1009" w:type="pct"/>
                  <w:gridSpan w:val="2"/>
                  <w:noWrap w:val="0"/>
                  <w:vAlign w:val="center"/>
                </w:tcPr>
                <w:p w14:paraId="1A5830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47.1</w:t>
                  </w:r>
                </w:p>
              </w:tc>
              <w:tc>
                <w:tcPr>
                  <w:tcW w:w="793" w:type="pct"/>
                  <w:vMerge w:val="continue"/>
                  <w:noWrap w:val="0"/>
                  <w:vAlign w:val="center"/>
                </w:tcPr>
                <w:p w14:paraId="6BECDB27">
                  <w:pPr>
                    <w:adjustRightInd w:val="0"/>
                    <w:snapToGrid w:val="0"/>
                    <w:spacing w:line="240" w:lineRule="auto"/>
                    <w:jc w:val="center"/>
                    <w:rPr>
                      <w:color w:val="auto"/>
                      <w:sz w:val="21"/>
                      <w:szCs w:val="21"/>
                      <w:highlight w:val="none"/>
                    </w:rPr>
                  </w:pPr>
                </w:p>
              </w:tc>
              <w:tc>
                <w:tcPr>
                  <w:tcW w:w="1627" w:type="pct"/>
                  <w:gridSpan w:val="2"/>
                  <w:vMerge w:val="continue"/>
                  <w:noWrap w:val="0"/>
                  <w:vAlign w:val="center"/>
                </w:tcPr>
                <w:p w14:paraId="38566961">
                  <w:pPr>
                    <w:adjustRightInd w:val="0"/>
                    <w:snapToGrid w:val="0"/>
                    <w:spacing w:line="240" w:lineRule="auto"/>
                    <w:jc w:val="center"/>
                    <w:rPr>
                      <w:color w:val="auto"/>
                      <w:sz w:val="21"/>
                      <w:szCs w:val="21"/>
                      <w:highlight w:val="none"/>
                    </w:rPr>
                  </w:pPr>
                </w:p>
              </w:tc>
            </w:tr>
            <w:tr w14:paraId="53A9C9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83" w:type="pct"/>
                  <w:noWrap w:val="0"/>
                  <w:vAlign w:val="center"/>
                </w:tcPr>
                <w:p w14:paraId="49EFA92E">
                  <w:pPr>
                    <w:adjustRightInd w:val="0"/>
                    <w:snapToGrid w:val="0"/>
                    <w:spacing w:line="240" w:lineRule="auto"/>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r>
                    <w:rPr>
                      <w:rFonts w:hint="eastAsia"/>
                      <w:color w:val="auto"/>
                      <w:sz w:val="21"/>
                      <w:szCs w:val="21"/>
                      <w:highlight w:val="none"/>
                      <w:lang w:val="en-US" w:eastAsia="zh-CN"/>
                    </w:rPr>
                    <w:t>厂界</w:t>
                  </w:r>
                </w:p>
              </w:tc>
              <w:tc>
                <w:tcPr>
                  <w:tcW w:w="786" w:type="pct"/>
                  <w:noWrap w:val="0"/>
                  <w:vAlign w:val="center"/>
                </w:tcPr>
                <w:p w14:paraId="2E0F382A">
                  <w:pPr>
                    <w:adjustRightInd w:val="0"/>
                    <w:snapToGrid w:val="0"/>
                    <w:spacing w:line="240" w:lineRule="auto"/>
                    <w:jc w:val="center"/>
                    <w:rPr>
                      <w:rFonts w:hint="eastAsia"/>
                      <w:color w:val="auto"/>
                      <w:sz w:val="21"/>
                      <w:szCs w:val="21"/>
                      <w:highlight w:val="none"/>
                    </w:rPr>
                  </w:pPr>
                  <w:r>
                    <w:rPr>
                      <w:rFonts w:hint="eastAsia"/>
                      <w:color w:val="auto"/>
                      <w:sz w:val="21"/>
                      <w:szCs w:val="21"/>
                      <w:highlight w:val="none"/>
                      <w:lang w:val="en-US" w:eastAsia="zh-CN"/>
                    </w:rPr>
                    <w:t>1</w:t>
                  </w:r>
                </w:p>
              </w:tc>
              <w:tc>
                <w:tcPr>
                  <w:tcW w:w="1009" w:type="pct"/>
                  <w:gridSpan w:val="2"/>
                  <w:noWrap w:val="0"/>
                  <w:vAlign w:val="center"/>
                </w:tcPr>
                <w:p w14:paraId="398743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56.7</w:t>
                  </w:r>
                </w:p>
              </w:tc>
              <w:tc>
                <w:tcPr>
                  <w:tcW w:w="793" w:type="pct"/>
                  <w:vMerge w:val="continue"/>
                  <w:noWrap w:val="0"/>
                  <w:vAlign w:val="center"/>
                </w:tcPr>
                <w:p w14:paraId="7A863617">
                  <w:pPr>
                    <w:adjustRightInd w:val="0"/>
                    <w:snapToGrid w:val="0"/>
                    <w:spacing w:line="240" w:lineRule="auto"/>
                    <w:jc w:val="center"/>
                    <w:rPr>
                      <w:color w:val="auto"/>
                      <w:sz w:val="21"/>
                      <w:szCs w:val="21"/>
                      <w:highlight w:val="none"/>
                    </w:rPr>
                  </w:pPr>
                </w:p>
              </w:tc>
              <w:tc>
                <w:tcPr>
                  <w:tcW w:w="1627" w:type="pct"/>
                  <w:gridSpan w:val="2"/>
                  <w:vMerge w:val="continue"/>
                  <w:noWrap w:val="0"/>
                  <w:vAlign w:val="center"/>
                </w:tcPr>
                <w:p w14:paraId="462F66D6">
                  <w:pPr>
                    <w:adjustRightInd w:val="0"/>
                    <w:snapToGrid w:val="0"/>
                    <w:spacing w:line="240" w:lineRule="auto"/>
                    <w:jc w:val="center"/>
                    <w:rPr>
                      <w:color w:val="auto"/>
                      <w:sz w:val="21"/>
                      <w:szCs w:val="21"/>
                      <w:highlight w:val="none"/>
                    </w:rPr>
                  </w:pPr>
                </w:p>
              </w:tc>
            </w:tr>
            <w:tr w14:paraId="071DB0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83" w:type="pct"/>
                  <w:noWrap w:val="0"/>
                  <w:vAlign w:val="center"/>
                </w:tcPr>
                <w:p w14:paraId="739B3785">
                  <w:pPr>
                    <w:adjustRightInd w:val="0"/>
                    <w:snapToGrid w:val="0"/>
                    <w:spacing w:line="240" w:lineRule="auto"/>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r>
                    <w:rPr>
                      <w:rFonts w:hint="eastAsia"/>
                      <w:color w:val="auto"/>
                      <w:sz w:val="21"/>
                      <w:szCs w:val="21"/>
                      <w:highlight w:val="none"/>
                      <w:lang w:val="en-US" w:eastAsia="zh-CN"/>
                    </w:rPr>
                    <w:t>厂界</w:t>
                  </w:r>
                </w:p>
              </w:tc>
              <w:tc>
                <w:tcPr>
                  <w:tcW w:w="786" w:type="pct"/>
                  <w:noWrap w:val="0"/>
                  <w:vAlign w:val="center"/>
                </w:tcPr>
                <w:p w14:paraId="75D4FB9F">
                  <w:pPr>
                    <w:adjustRightInd w:val="0"/>
                    <w:snapToGrid w:val="0"/>
                    <w:spacing w:line="240" w:lineRule="auto"/>
                    <w:jc w:val="center"/>
                    <w:rPr>
                      <w:rFonts w:hint="eastAsia"/>
                      <w:color w:val="auto"/>
                      <w:sz w:val="21"/>
                      <w:szCs w:val="21"/>
                      <w:highlight w:val="none"/>
                    </w:rPr>
                  </w:pPr>
                  <w:r>
                    <w:rPr>
                      <w:rFonts w:hint="eastAsia"/>
                      <w:color w:val="auto"/>
                      <w:sz w:val="21"/>
                      <w:szCs w:val="21"/>
                      <w:highlight w:val="none"/>
                      <w:lang w:val="en-US" w:eastAsia="zh-CN"/>
                    </w:rPr>
                    <w:t>1</w:t>
                  </w:r>
                </w:p>
              </w:tc>
              <w:tc>
                <w:tcPr>
                  <w:tcW w:w="1009" w:type="pct"/>
                  <w:gridSpan w:val="2"/>
                  <w:noWrap w:val="0"/>
                  <w:vAlign w:val="center"/>
                </w:tcPr>
                <w:p w14:paraId="50D8A1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48.4</w:t>
                  </w:r>
                </w:p>
              </w:tc>
              <w:tc>
                <w:tcPr>
                  <w:tcW w:w="793" w:type="pct"/>
                  <w:vMerge w:val="continue"/>
                  <w:noWrap w:val="0"/>
                  <w:vAlign w:val="center"/>
                </w:tcPr>
                <w:p w14:paraId="411B4719">
                  <w:pPr>
                    <w:adjustRightInd w:val="0"/>
                    <w:snapToGrid w:val="0"/>
                    <w:spacing w:line="240" w:lineRule="auto"/>
                    <w:jc w:val="center"/>
                    <w:rPr>
                      <w:color w:val="auto"/>
                      <w:sz w:val="21"/>
                      <w:szCs w:val="21"/>
                      <w:highlight w:val="none"/>
                    </w:rPr>
                  </w:pPr>
                </w:p>
              </w:tc>
              <w:tc>
                <w:tcPr>
                  <w:tcW w:w="1627" w:type="pct"/>
                  <w:gridSpan w:val="2"/>
                  <w:vMerge w:val="continue"/>
                  <w:noWrap w:val="0"/>
                  <w:vAlign w:val="center"/>
                </w:tcPr>
                <w:p w14:paraId="14FD59CF">
                  <w:pPr>
                    <w:adjustRightInd w:val="0"/>
                    <w:snapToGrid w:val="0"/>
                    <w:spacing w:line="240" w:lineRule="auto"/>
                    <w:jc w:val="center"/>
                    <w:rPr>
                      <w:color w:val="auto"/>
                      <w:sz w:val="21"/>
                      <w:szCs w:val="21"/>
                      <w:highlight w:val="none"/>
                    </w:rPr>
                  </w:pPr>
                </w:p>
              </w:tc>
            </w:tr>
          </w:tbl>
          <w:p w14:paraId="293E6E4C">
            <w:pPr>
              <w:adjustRightInd w:val="0"/>
              <w:snapToGrid w:val="0"/>
              <w:spacing w:before="120" w:beforeLines="5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根据上表可知：本项目四至边界噪声贡献值均满足《工业企业厂界环境噪声排放标准》（GB12348-2008）中的3类标准。</w:t>
            </w:r>
          </w:p>
          <w:p w14:paraId="15AFD876">
            <w:pPr>
              <w:widowControl/>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（3）降噪防噪措施</w:t>
            </w:r>
          </w:p>
          <w:p w14:paraId="4DCAEDD9">
            <w:pPr>
              <w:pStyle w:val="11"/>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本项目噪声主要是在生产设备和环保设备风机运行时产生。采取以下措施来降低噪声对外环境影响。</w:t>
            </w:r>
          </w:p>
          <w:p w14:paraId="59942480">
            <w:pPr>
              <w:pStyle w:val="11"/>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①合理布局：项目将高噪声设备尽量布置在厂区中部，通过距离衰减减轻噪声对外环境的影响。</w:t>
            </w:r>
          </w:p>
          <w:p w14:paraId="6490AF18">
            <w:pPr>
              <w:pStyle w:val="11"/>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②隔声、减振或加消声器：对高噪声设备安装减振垫。在风机出口安装</w:t>
            </w:r>
            <w:r>
              <w:rPr>
                <w:rFonts w:hint="eastAsia"/>
                <w:color w:val="000000" w:themeColor="text1"/>
                <w:lang w:eastAsia="zh-CN"/>
                <w14:textFill>
                  <w14:solidFill>
                    <w14:schemeClr w14:val="tx1"/>
                  </w14:solidFill>
                </w14:textFill>
              </w:rPr>
              <w:t>消声器</w:t>
            </w:r>
            <w:r>
              <w:rPr>
                <w:rFonts w:hint="eastAsia"/>
                <w:color w:val="000000" w:themeColor="text1"/>
                <w14:textFill>
                  <w14:solidFill>
                    <w14:schemeClr w14:val="tx1"/>
                  </w14:solidFill>
                </w14:textFill>
              </w:rPr>
              <w:t>。</w:t>
            </w:r>
          </w:p>
          <w:p w14:paraId="7BA71076">
            <w:pPr>
              <w:pStyle w:val="11"/>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③强化生产管理：确保降噪设施的有效运行，并加强对生产设备的保养、检修，保证设备处于良好的运转</w:t>
            </w:r>
            <w:r>
              <w:rPr>
                <w:rFonts w:hint="eastAsia"/>
                <w:color w:val="000000" w:themeColor="text1"/>
                <w:lang w:eastAsia="zh-CN"/>
                <w14:textFill>
                  <w14:solidFill>
                    <w14:schemeClr w14:val="tx1"/>
                  </w14:solidFill>
                </w14:textFill>
              </w:rPr>
              <w:t>状态</w:t>
            </w:r>
            <w:r>
              <w:rPr>
                <w:rFonts w:hint="eastAsia"/>
                <w:color w:val="000000" w:themeColor="text1"/>
                <w14:textFill>
                  <w14:solidFill>
                    <w14:schemeClr w14:val="tx1"/>
                  </w14:solidFill>
                </w14:textFill>
              </w:rPr>
              <w:t>。</w:t>
            </w:r>
          </w:p>
          <w:p w14:paraId="258485D0">
            <w:pPr>
              <w:pStyle w:val="11"/>
              <w:ind w:left="480" w:left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（4）噪声监测计划</w:t>
            </w:r>
          </w:p>
          <w:p w14:paraId="6A4C9B43">
            <w:pPr>
              <w:pStyle w:val="12"/>
              <w:snapToGrid/>
              <w:spacing w:before="0" w:after="0" w:line="360" w:lineRule="auto"/>
              <w:ind w:right="0" w:firstLine="480" w:firstLineChars="200"/>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w:t>
            </w:r>
            <w:r>
              <w:rPr>
                <w:rFonts w:hint="eastAsia"/>
                <w:color w:val="000000" w:themeColor="text1"/>
                <w:sz w:val="24"/>
                <w:szCs w:val="24"/>
                <w:lang w:bidi="ar"/>
                <w14:textFill>
                  <w14:solidFill>
                    <w14:schemeClr w14:val="tx1"/>
                  </w14:solidFill>
                </w14:textFill>
              </w:rPr>
              <w:t>《排污单位自行监测技术指南 总则》（HJ819-2017）中</w:t>
            </w:r>
            <w:r>
              <w:rPr>
                <w:rFonts w:hint="eastAsia"/>
                <w:color w:val="000000" w:themeColor="text1"/>
                <w:sz w:val="24"/>
                <w:szCs w:val="24"/>
                <w14:textFill>
                  <w14:solidFill>
                    <w14:schemeClr w14:val="tx1"/>
                  </w14:solidFill>
                </w14:textFill>
              </w:rPr>
              <w:t>相关要求</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开展噪声监测计划。</w:t>
            </w:r>
          </w:p>
          <w:p w14:paraId="135C10B4">
            <w:pPr>
              <w:pStyle w:val="63"/>
              <w:spacing w:line="240" w:lineRule="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表4-</w:t>
            </w:r>
            <w:r>
              <w:rPr>
                <w:rFonts w:hint="eastAsia"/>
                <w:color w:val="000000" w:themeColor="text1"/>
                <w:highlight w:val="none"/>
                <w:lang w:val="en-US" w:eastAsia="zh-CN"/>
                <w14:textFill>
                  <w14:solidFill>
                    <w14:schemeClr w14:val="tx1"/>
                  </w14:solidFill>
                </w14:textFill>
              </w:rPr>
              <w:t xml:space="preserve">14 </w:t>
            </w:r>
            <w:r>
              <w:rPr>
                <w:rFonts w:hint="eastAsia"/>
                <w:color w:val="000000" w:themeColor="text1"/>
                <w:highlight w:val="none"/>
                <w14:textFill>
                  <w14:solidFill>
                    <w14:schemeClr w14:val="tx1"/>
                  </w14:solidFill>
                </w14:textFill>
              </w:rPr>
              <w:t xml:space="preserve"> 厂区噪声监测计划一览表</w:t>
            </w:r>
          </w:p>
          <w:tbl>
            <w:tblPr>
              <w:tblStyle w:val="2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695"/>
              <w:gridCol w:w="1860"/>
              <w:gridCol w:w="1104"/>
              <w:gridCol w:w="2769"/>
            </w:tblGrid>
            <w:tr w14:paraId="26BFBF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noWrap w:val="0"/>
                  <w:vAlign w:val="center"/>
                </w:tcPr>
                <w:p w14:paraId="06C451EC">
                  <w:pPr>
                    <w:adjustRightInd w:val="0"/>
                    <w:snapToGrid w:val="0"/>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类别</w:t>
                  </w:r>
                </w:p>
              </w:tc>
              <w:tc>
                <w:tcPr>
                  <w:tcW w:w="1042" w:type="pct"/>
                  <w:noWrap w:val="0"/>
                  <w:vAlign w:val="center"/>
                </w:tcPr>
                <w:p w14:paraId="1E97B6CC">
                  <w:pPr>
                    <w:adjustRightInd w:val="0"/>
                    <w:snapToGrid w:val="0"/>
                    <w:spacing w:line="240" w:lineRule="auto"/>
                    <w:jc w:val="center"/>
                    <w:rPr>
                      <w:rFonts w:hint="eastAsia"/>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监测</w:t>
                  </w:r>
                  <w:r>
                    <w:rPr>
                      <w:rFonts w:hint="eastAsia"/>
                      <w:b/>
                      <w:bCs/>
                      <w:color w:val="000000" w:themeColor="text1"/>
                      <w:sz w:val="21"/>
                      <w:szCs w:val="21"/>
                      <w14:textFill>
                        <w14:solidFill>
                          <w14:schemeClr w14:val="tx1"/>
                        </w14:solidFill>
                      </w14:textFill>
                    </w:rPr>
                    <w:t>指标</w:t>
                  </w:r>
                </w:p>
              </w:tc>
              <w:tc>
                <w:tcPr>
                  <w:tcW w:w="1144" w:type="pct"/>
                  <w:noWrap w:val="0"/>
                  <w:vAlign w:val="center"/>
                </w:tcPr>
                <w:p w14:paraId="45E53624">
                  <w:pPr>
                    <w:adjustRightInd w:val="0"/>
                    <w:snapToGrid w:val="0"/>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监测点位</w:t>
                  </w:r>
                </w:p>
              </w:tc>
              <w:tc>
                <w:tcPr>
                  <w:tcW w:w="679" w:type="pct"/>
                  <w:noWrap w:val="0"/>
                  <w:vAlign w:val="center"/>
                </w:tcPr>
                <w:p w14:paraId="4141D31C">
                  <w:pPr>
                    <w:adjustRightInd w:val="0"/>
                    <w:snapToGrid w:val="0"/>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监测频率</w:t>
                  </w:r>
                </w:p>
              </w:tc>
              <w:tc>
                <w:tcPr>
                  <w:tcW w:w="1703" w:type="pct"/>
                  <w:noWrap w:val="0"/>
                  <w:vAlign w:val="center"/>
                </w:tcPr>
                <w:p w14:paraId="022FD60D">
                  <w:pPr>
                    <w:adjustRightInd w:val="0"/>
                    <w:snapToGrid w:val="0"/>
                    <w:spacing w:line="240" w:lineRule="auto"/>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执行标准</w:t>
                  </w:r>
                </w:p>
              </w:tc>
            </w:tr>
            <w:tr w14:paraId="6F4384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noWrap w:val="0"/>
                  <w:vAlign w:val="center"/>
                </w:tcPr>
                <w:p w14:paraId="22F43C8F">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1042" w:type="pct"/>
                  <w:noWrap w:val="0"/>
                  <w:vAlign w:val="center"/>
                </w:tcPr>
                <w:p w14:paraId="0C763BFD">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Leq</w:t>
                  </w:r>
                </w:p>
              </w:tc>
              <w:tc>
                <w:tcPr>
                  <w:tcW w:w="1144" w:type="pct"/>
                  <w:noWrap w:val="0"/>
                  <w:vAlign w:val="center"/>
                </w:tcPr>
                <w:p w14:paraId="49CC9297">
                  <w:pPr>
                    <w:adjustRightInd w:val="0"/>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厂界</w:t>
                  </w:r>
                </w:p>
              </w:tc>
              <w:tc>
                <w:tcPr>
                  <w:tcW w:w="679" w:type="pct"/>
                  <w:noWrap w:val="0"/>
                  <w:vAlign w:val="center"/>
                </w:tcPr>
                <w:p w14:paraId="23417F1F">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次/</w:t>
                  </w:r>
                  <w:r>
                    <w:rPr>
                      <w:rFonts w:hint="eastAsia"/>
                      <w:color w:val="000000" w:themeColor="text1"/>
                      <w:sz w:val="21"/>
                      <w:szCs w:val="21"/>
                      <w14:textFill>
                        <w14:solidFill>
                          <w14:schemeClr w14:val="tx1"/>
                        </w14:solidFill>
                      </w14:textFill>
                    </w:rPr>
                    <w:t>季度</w:t>
                  </w:r>
                </w:p>
              </w:tc>
              <w:tc>
                <w:tcPr>
                  <w:tcW w:w="1703" w:type="pct"/>
                  <w:noWrap w:val="0"/>
                  <w:vAlign w:val="center"/>
                </w:tcPr>
                <w:p w14:paraId="75393909">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GB12348-2008中3类标准</w:t>
                  </w:r>
                </w:p>
              </w:tc>
            </w:tr>
          </w:tbl>
          <w:p w14:paraId="3618D337">
            <w:pPr>
              <w:pStyle w:val="24"/>
              <w:spacing w:before="120" w:beforeLines="50" w:beforeAutospacing="0" w:after="0" w:afterAutospacing="0"/>
              <w:ind w:firstLine="482" w:firstLineChars="200"/>
              <w:jc w:val="both"/>
              <w:outlineLvl w:val="0"/>
              <w:rPr>
                <w:rFonts w:hint="eastAsia" w:ascii="Times New Roman" w:hAnsi="Times New Roman"/>
                <w:b/>
                <w:bCs/>
                <w:color w:val="000000" w:themeColor="text1"/>
                <w:kern w:val="2"/>
                <w:szCs w:val="24"/>
                <w14:textFill>
                  <w14:solidFill>
                    <w14:schemeClr w14:val="tx1"/>
                  </w14:solidFill>
                </w14:textFill>
              </w:rPr>
            </w:pPr>
            <w:r>
              <w:rPr>
                <w:rFonts w:hint="eastAsia" w:ascii="Times New Roman" w:hAnsi="Times New Roman"/>
                <w:b/>
                <w:bCs/>
                <w:color w:val="000000" w:themeColor="text1"/>
                <w:kern w:val="2"/>
                <w:szCs w:val="24"/>
                <w14:textFill>
                  <w14:solidFill>
                    <w14:schemeClr w14:val="tx1"/>
                  </w14:solidFill>
                </w14:textFill>
              </w:rPr>
              <w:t>4、固体废物</w:t>
            </w:r>
          </w:p>
          <w:p w14:paraId="693B5465">
            <w:pPr>
              <w:ind w:firstLine="480" w:firstLineChars="200"/>
              <w:rPr>
                <w:rFonts w:hint="eastAsia"/>
                <w:color w:val="000000" w:themeColor="text1"/>
                <w14:textFill>
                  <w14:solidFill>
                    <w14:schemeClr w14:val="tx1"/>
                  </w14:solidFill>
                </w14:textFill>
              </w:rPr>
            </w:pPr>
            <w:r>
              <w:rPr>
                <w:color w:val="000000" w:themeColor="text1"/>
                <w14:textFill>
                  <w14:solidFill>
                    <w14:schemeClr w14:val="tx1"/>
                  </w14:solidFill>
                </w14:textFill>
              </w:rPr>
              <w:t>（1）固体废物污染防治措施</w:t>
            </w:r>
          </w:p>
          <w:p w14:paraId="130F6A91">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本项目固废主要分为一般工业固废、危险废物和生活垃圾。具体产生情况如下：</w:t>
            </w:r>
          </w:p>
          <w:p w14:paraId="4D691881">
            <w:pPr>
              <w:pageBreakBefore w:val="0"/>
              <w:widowControl w:val="0"/>
              <w:kinsoku/>
              <w:wordWrap/>
              <w:overflowPunct/>
              <w:topLinePunct w:val="0"/>
              <w:autoSpaceDE/>
              <w:autoSpaceDN/>
              <w:bidi w:val="0"/>
              <w:ind w:left="0" w:leftChars="0" w:firstLine="480" w:firstLineChars="20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（1）一般固废</w:t>
            </w:r>
          </w:p>
          <w:p w14:paraId="31EC1EA6">
            <w:pPr>
              <w:pageBreakBefore w:val="0"/>
              <w:widowControl w:val="0"/>
              <w:kinsoku/>
              <w:wordWrap/>
              <w:overflowPunct/>
              <w:topLinePunct w:val="0"/>
              <w:autoSpaceDE/>
              <w:autoSpaceDN/>
              <w:bidi w:val="0"/>
              <w:ind w:left="0" w:leftChars="0"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①废包装袋：根据原辅材料消耗表可知，项目共产生5680个包装袋。一个袋子按0.1kg计，则废包装袋产生量为0.568t/a，外售给物资公司综合利用。</w:t>
            </w:r>
          </w:p>
          <w:p w14:paraId="28DE0AEA">
            <w:pPr>
              <w:pageBreakBefore w:val="0"/>
              <w:widowControl w:val="0"/>
              <w:kinsoku/>
              <w:wordWrap/>
              <w:overflowPunct/>
              <w:topLinePunct w:val="0"/>
              <w:autoSpaceDE/>
              <w:autoSpaceDN/>
              <w:bidi w:val="0"/>
              <w:ind w:left="0" w:leftChars="0"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②除尘器收集的粉尘</w:t>
            </w:r>
          </w:p>
          <w:p w14:paraId="01DA0092">
            <w:pPr>
              <w:pageBreakBefore w:val="0"/>
              <w:widowControl w:val="0"/>
              <w:kinsoku/>
              <w:wordWrap/>
              <w:overflowPunct/>
              <w:topLinePunct w:val="0"/>
              <w:autoSpaceDE/>
              <w:autoSpaceDN/>
              <w:bidi w:val="0"/>
              <w:ind w:left="0" w:leftChars="0" w:firstLine="480" w:firstLineChars="20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根据前文分析，除尘器收集的粉尘量约0.001t/a</w:t>
            </w:r>
            <w:r>
              <w:rPr>
                <w:rFonts w:hint="eastAsia"/>
                <w:color w:val="auto"/>
                <w:sz w:val="24"/>
                <w:szCs w:val="24"/>
                <w:highlight w:val="none"/>
                <w:lang w:val="en-US" w:eastAsia="zh-CN"/>
              </w:rPr>
              <w:t>，外售给物资公司综合利用。</w:t>
            </w:r>
          </w:p>
          <w:p w14:paraId="2C3C4521">
            <w:pPr>
              <w:pageBreakBefore w:val="0"/>
              <w:widowControl w:val="0"/>
              <w:kinsoku/>
              <w:wordWrap/>
              <w:overflowPunct/>
              <w:topLinePunct w:val="0"/>
              <w:autoSpaceDE/>
              <w:autoSpaceDN/>
              <w:bidi w:val="0"/>
              <w:ind w:left="0" w:leftChars="0"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③含尘布袋</w:t>
            </w:r>
          </w:p>
          <w:p w14:paraId="333EF1C4">
            <w:pPr>
              <w:pageBreakBefore w:val="0"/>
              <w:widowControl w:val="0"/>
              <w:kinsoku/>
              <w:wordWrap/>
              <w:overflowPunct/>
              <w:topLinePunct w:val="0"/>
              <w:autoSpaceDE/>
              <w:autoSpaceDN/>
              <w:bidi w:val="0"/>
              <w:ind w:left="0" w:leftChars="0" w:firstLine="480" w:firstLineChars="20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本项目设置一个布袋除尘器，</w:t>
            </w:r>
            <w:r>
              <w:rPr>
                <w:rFonts w:hint="eastAsia"/>
                <w:color w:val="auto"/>
                <w:highlight w:val="none"/>
                <w:lang w:val="en-US" w:eastAsia="zh-CN"/>
              </w:rPr>
              <w:t>含尘布袋产生量约0.15t/a</w:t>
            </w:r>
            <w:r>
              <w:rPr>
                <w:rFonts w:hint="eastAsia"/>
                <w:color w:val="auto"/>
                <w:sz w:val="24"/>
                <w:szCs w:val="24"/>
                <w:highlight w:val="none"/>
                <w:lang w:val="en-US" w:eastAsia="zh-CN"/>
              </w:rPr>
              <w:t>，外售给物资公司综合利用。</w:t>
            </w:r>
          </w:p>
          <w:p w14:paraId="73BED895">
            <w:pPr>
              <w:pageBreakBefore w:val="0"/>
              <w:widowControl w:val="0"/>
              <w:kinsoku/>
              <w:wordWrap/>
              <w:overflowPunct/>
              <w:topLinePunct w:val="0"/>
              <w:autoSpaceDE/>
              <w:autoSpaceDN/>
              <w:bidi w:val="0"/>
              <w:ind w:left="0" w:leftChars="0" w:firstLine="480" w:firstLineChars="20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（2）危险废物</w:t>
            </w:r>
          </w:p>
          <w:p w14:paraId="0783BBEC">
            <w:pPr>
              <w:pageBreakBefore w:val="0"/>
              <w:widowControl w:val="0"/>
              <w:kinsoku/>
              <w:wordWrap/>
              <w:overflowPunct/>
              <w:topLinePunct w:val="0"/>
              <w:autoSpaceDE/>
              <w:autoSpaceDN/>
              <w:bidi w:val="0"/>
              <w:ind w:left="0" w:leftChars="0" w:firstLine="480" w:firstLineChars="200"/>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eastAsia"/>
                <w:color w:val="000000" w:themeColor="text1"/>
                <w:highlight w:val="none"/>
                <w:lang w:eastAsia="zh-CN"/>
                <w14:textFill>
                  <w14:solidFill>
                    <w14:schemeClr w14:val="tx1"/>
                  </w14:solidFill>
                </w14:textFill>
              </w:rPr>
              <w:t>废液压油</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本项目注塑机液压油更换时会产生废液压油，废液压油产生量约1t/a</w:t>
            </w:r>
            <w:r>
              <w:rPr>
                <w:rFonts w:hint="eastAsia"/>
                <w:color w:val="000000" w:themeColor="text1"/>
                <w:highlight w:val="none"/>
                <w14:textFill>
                  <w14:solidFill>
                    <w14:schemeClr w14:val="tx1"/>
                  </w14:solidFill>
                </w14:textFill>
              </w:rPr>
              <w:t>。</w:t>
            </w:r>
          </w:p>
          <w:p w14:paraId="4AE3E08C">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②废油桶：根据原辅材料消耗表可知，项目共产生12个废机油桶，每个桶约重2kg计，产生废液压油桶5个，每个桶约重20kg，则废油桶产生量为0.124t/a，暂存于危废库中，委托有危废资质单位进行处置。</w:t>
            </w:r>
          </w:p>
          <w:p w14:paraId="2BDDE9E3">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③废活性炭：本项目废气治理会产生废活性炭，根据前文分析废活性炭产生量为</w:t>
            </w:r>
            <w:r>
              <w:rPr>
                <w:rFonts w:hint="eastAsia" w:cs="Times New Roman"/>
                <w:snapToGrid w:val="0"/>
                <w:color w:val="auto"/>
                <w:kern w:val="0"/>
                <w:szCs w:val="21"/>
                <w:u w:val="none" w:color="000000"/>
                <w:lang w:val="en-US" w:eastAsia="zh-CN"/>
              </w:rPr>
              <w:t>2.856t/a</w:t>
            </w:r>
            <w:r>
              <w:rPr>
                <w:rFonts w:hint="eastAsia"/>
                <w:color w:val="000000" w:themeColor="text1"/>
                <w:highlight w:val="none"/>
                <w:lang w:val="en-US" w:eastAsia="zh-CN"/>
                <w14:textFill>
                  <w14:solidFill>
                    <w14:schemeClr w14:val="tx1"/>
                  </w14:solidFill>
                </w14:textFill>
              </w:rPr>
              <w:t>，暂存于危废库中，委托有危废资质单位进行处置。</w:t>
            </w:r>
          </w:p>
          <w:p w14:paraId="1381BAEB">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④含油抹布：</w:t>
            </w:r>
            <w:r>
              <w:rPr>
                <w:rFonts w:hint="eastAsia" w:ascii="Times New Roman" w:hAnsi="Times New Roman" w:cs="Times New Roman"/>
                <w:lang w:val="en-US" w:eastAsia="zh-CN"/>
              </w:rPr>
              <w:t>各设备维护保养会产生废含油抹布，产生量约为0.05t/a，</w:t>
            </w:r>
            <w:r>
              <w:rPr>
                <w:rFonts w:hint="eastAsia"/>
                <w:color w:val="000000" w:themeColor="text1"/>
                <w:highlight w:val="none"/>
                <w:lang w:val="en-US" w:eastAsia="zh-CN"/>
                <w14:textFill>
                  <w14:solidFill>
                    <w14:schemeClr w14:val="tx1"/>
                  </w14:solidFill>
                </w14:textFill>
              </w:rPr>
              <w:t>暂存于危废库中，委托有危废资质单位进行处置。</w:t>
            </w:r>
          </w:p>
          <w:p w14:paraId="6EA1C91F">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生活垃圾</w:t>
            </w:r>
          </w:p>
          <w:p w14:paraId="1AAAD495">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color w:val="000000" w:themeColor="text1"/>
                <w:kern w:val="0"/>
                <w:highlight w:val="none"/>
                <w:lang w:bidi="ar"/>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项目劳动定员21人，</w:t>
            </w:r>
            <w:r>
              <w:rPr>
                <w:rFonts w:hint="eastAsia"/>
                <w:color w:val="000000" w:themeColor="text1"/>
                <w:highlight w:val="none"/>
                <w14:textFill>
                  <w14:solidFill>
                    <w14:schemeClr w14:val="tx1"/>
                  </w14:solidFill>
                </w14:textFill>
              </w:rPr>
              <w:t>按</w:t>
            </w:r>
            <w:r>
              <w:rPr>
                <w:color w:val="000000" w:themeColor="text1"/>
                <w:kern w:val="0"/>
                <w:highlight w:val="none"/>
                <w:lang w:bidi="ar"/>
                <w14:textFill>
                  <w14:solidFill>
                    <w14:schemeClr w14:val="tx1"/>
                  </w14:solidFill>
                </w14:textFill>
              </w:rPr>
              <w:t>0.5kg/（P•d）</w:t>
            </w:r>
            <w:r>
              <w:rPr>
                <w:rFonts w:hint="eastAsia"/>
                <w:color w:val="000000" w:themeColor="text1"/>
                <w:kern w:val="0"/>
                <w:highlight w:val="none"/>
                <w:lang w:bidi="ar"/>
                <w14:textFill>
                  <w14:solidFill>
                    <w14:schemeClr w14:val="tx1"/>
                  </w14:solidFill>
                </w14:textFill>
              </w:rPr>
              <w:t>计算，年工作300天，则</w:t>
            </w:r>
            <w:r>
              <w:rPr>
                <w:rFonts w:hint="eastAsia"/>
                <w:color w:val="000000" w:themeColor="text1"/>
                <w:kern w:val="0"/>
                <w:highlight w:val="none"/>
                <w:lang w:val="en-US" w:eastAsia="zh-CN" w:bidi="ar"/>
                <w14:textFill>
                  <w14:solidFill>
                    <w14:schemeClr w14:val="tx1"/>
                  </w14:solidFill>
                </w14:textFill>
              </w:rPr>
              <w:t>生活垃圾</w:t>
            </w:r>
            <w:r>
              <w:rPr>
                <w:rFonts w:hint="eastAsia"/>
                <w:color w:val="000000" w:themeColor="text1"/>
                <w:kern w:val="0"/>
                <w:highlight w:val="none"/>
                <w:lang w:bidi="ar"/>
                <w14:textFill>
                  <w14:solidFill>
                    <w14:schemeClr w14:val="tx1"/>
                  </w14:solidFill>
                </w14:textFill>
              </w:rPr>
              <w:t>产生量为</w:t>
            </w:r>
            <w:r>
              <w:rPr>
                <w:rFonts w:hint="eastAsia"/>
                <w:color w:val="000000" w:themeColor="text1"/>
                <w:kern w:val="0"/>
                <w:highlight w:val="none"/>
                <w:lang w:val="en-US" w:eastAsia="zh-CN" w:bidi="ar"/>
                <w14:textFill>
                  <w14:solidFill>
                    <w14:schemeClr w14:val="tx1"/>
                  </w14:solidFill>
                </w14:textFill>
              </w:rPr>
              <w:t>3.15</w:t>
            </w:r>
            <w:r>
              <w:rPr>
                <w:rFonts w:hint="eastAsia"/>
                <w:color w:val="000000" w:themeColor="text1"/>
                <w:kern w:val="0"/>
                <w:highlight w:val="none"/>
                <w:lang w:bidi="ar"/>
                <w14:textFill>
                  <w14:solidFill>
                    <w14:schemeClr w14:val="tx1"/>
                  </w14:solidFill>
                </w14:textFill>
              </w:rPr>
              <w:t>t/</w:t>
            </w:r>
            <w:r>
              <w:rPr>
                <w:rFonts w:hint="eastAsia"/>
                <w:color w:val="000000" w:themeColor="text1"/>
                <w:kern w:val="0"/>
                <w:highlight w:val="none"/>
                <w:lang w:val="en-US" w:eastAsia="zh-CN" w:bidi="ar"/>
                <w14:textFill>
                  <w14:solidFill>
                    <w14:schemeClr w14:val="tx1"/>
                  </w14:solidFill>
                </w14:textFill>
              </w:rPr>
              <w:t>a，</w:t>
            </w:r>
            <w:r>
              <w:rPr>
                <w:rFonts w:hint="eastAsia"/>
                <w:color w:val="000000" w:themeColor="text1"/>
                <w:kern w:val="0"/>
                <w:highlight w:val="none"/>
                <w:lang w:bidi="ar"/>
                <w14:textFill>
                  <w14:solidFill>
                    <w14:schemeClr w14:val="tx1"/>
                  </w14:solidFill>
                </w14:textFill>
              </w:rPr>
              <w:t>分类收集后由环卫部门统一清运。</w:t>
            </w:r>
          </w:p>
          <w:p w14:paraId="3191BA8E">
            <w:pPr>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项目固废产生情况如下：</w:t>
            </w:r>
          </w:p>
          <w:p w14:paraId="61CE55AE">
            <w:pPr>
              <w:pStyle w:val="6"/>
              <w:numPr>
                <w:ilvl w:val="0"/>
                <w:numId w:val="0"/>
              </w:numPr>
              <w:adjustRightInd w:val="0"/>
              <w:snapToGrid w:val="0"/>
              <w:spacing w:line="240" w:lineRule="auto"/>
              <w:rPr>
                <w:color w:val="000000" w:themeColor="text1"/>
                <w:sz w:val="21"/>
                <w14:textFill>
                  <w14:solidFill>
                    <w14:schemeClr w14:val="tx1"/>
                  </w14:solidFill>
                </w14:textFill>
              </w:rPr>
            </w:pPr>
            <w:r>
              <w:rPr>
                <w:color w:val="000000" w:themeColor="text1"/>
                <w:sz w:val="21"/>
                <w14:textFill>
                  <w14:solidFill>
                    <w14:schemeClr w14:val="tx1"/>
                  </w14:solidFill>
                </w14:textFill>
              </w:rPr>
              <w:t>表</w:t>
            </w:r>
            <w:r>
              <w:rPr>
                <w:rFonts w:hint="eastAsia"/>
                <w:color w:val="000000" w:themeColor="text1"/>
                <w:sz w:val="21"/>
                <w14:textFill>
                  <w14:solidFill>
                    <w14:schemeClr w14:val="tx1"/>
                  </w14:solidFill>
                </w14:textFill>
              </w:rPr>
              <w:t>4-</w:t>
            </w:r>
            <w:r>
              <w:rPr>
                <w:rFonts w:hint="eastAsia"/>
                <w:color w:val="000000" w:themeColor="text1"/>
                <w:sz w:val="21"/>
                <w:lang w:val="en-US" w:eastAsia="zh-CN"/>
                <w14:textFill>
                  <w14:solidFill>
                    <w14:schemeClr w14:val="tx1"/>
                  </w14:solidFill>
                </w14:textFill>
              </w:rPr>
              <w:t xml:space="preserve">15 </w:t>
            </w:r>
            <w:r>
              <w:rPr>
                <w:color w:val="000000" w:themeColor="text1"/>
                <w:sz w:val="21"/>
                <w14:textFill>
                  <w14:solidFill>
                    <w14:schemeClr w14:val="tx1"/>
                  </w14:solidFill>
                </w14:textFill>
              </w:rPr>
              <w:t xml:space="preserve"> 项目固废产生及处置方式一览表</w:t>
            </w:r>
          </w:p>
          <w:tbl>
            <w:tblPr>
              <w:tblStyle w:val="29"/>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34"/>
              <w:gridCol w:w="608"/>
              <w:gridCol w:w="512"/>
              <w:gridCol w:w="1511"/>
              <w:gridCol w:w="1200"/>
              <w:gridCol w:w="439"/>
              <w:gridCol w:w="621"/>
              <w:gridCol w:w="872"/>
              <w:gridCol w:w="676"/>
              <w:gridCol w:w="723"/>
            </w:tblGrid>
            <w:tr w14:paraId="3815A1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0" w:type="pct"/>
                  <w:noWrap w:val="0"/>
                  <w:vAlign w:val="center"/>
                </w:tcPr>
                <w:p w14:paraId="6A3606BD">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363" w:type="pct"/>
                  <w:noWrap w:val="0"/>
                  <w:vAlign w:val="center"/>
                </w:tcPr>
                <w:p w14:paraId="73B90408">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产生环节</w:t>
                  </w:r>
                </w:p>
              </w:tc>
              <w:tc>
                <w:tcPr>
                  <w:tcW w:w="400" w:type="pct"/>
                  <w:noWrap w:val="0"/>
                  <w:vAlign w:val="center"/>
                </w:tcPr>
                <w:p w14:paraId="10412C26">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名称</w:t>
                  </w:r>
                </w:p>
              </w:tc>
              <w:tc>
                <w:tcPr>
                  <w:tcW w:w="341" w:type="pct"/>
                  <w:noWrap w:val="0"/>
                  <w:vAlign w:val="center"/>
                </w:tcPr>
                <w:p w14:paraId="6CD10427">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属性</w:t>
                  </w:r>
                </w:p>
              </w:tc>
              <w:tc>
                <w:tcPr>
                  <w:tcW w:w="737" w:type="pct"/>
                  <w:noWrap w:val="0"/>
                  <w:vAlign w:val="center"/>
                </w:tcPr>
                <w:p w14:paraId="3164EC94">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废物代码</w:t>
                  </w:r>
                </w:p>
              </w:tc>
              <w:tc>
                <w:tcPr>
                  <w:tcW w:w="764" w:type="pct"/>
                  <w:noWrap w:val="0"/>
                  <w:vAlign w:val="center"/>
                </w:tcPr>
                <w:p w14:paraId="3165D14A">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主要有毒有害物质名称</w:t>
                  </w:r>
                </w:p>
              </w:tc>
              <w:tc>
                <w:tcPr>
                  <w:tcW w:w="296" w:type="pct"/>
                  <w:noWrap w:val="0"/>
                  <w:vAlign w:val="center"/>
                </w:tcPr>
                <w:p w14:paraId="2EEE46F1">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物理形状</w:t>
                  </w:r>
                </w:p>
              </w:tc>
              <w:tc>
                <w:tcPr>
                  <w:tcW w:w="407" w:type="pct"/>
                  <w:noWrap w:val="0"/>
                  <w:vAlign w:val="center"/>
                </w:tcPr>
                <w:p w14:paraId="6BC02976">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危险特性</w:t>
                  </w:r>
                </w:p>
              </w:tc>
              <w:tc>
                <w:tcPr>
                  <w:tcW w:w="498" w:type="pct"/>
                  <w:noWrap w:val="0"/>
                  <w:vAlign w:val="center"/>
                </w:tcPr>
                <w:p w14:paraId="6665F00D">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产生量（t/a</w:t>
                  </w:r>
                  <w:r>
                    <w:rPr>
                      <w:rFonts w:hint="eastAsia" w:cs="Times New Roman"/>
                      <w:b/>
                      <w:bCs/>
                      <w:color w:val="000000" w:themeColor="text1"/>
                      <w:sz w:val="21"/>
                      <w:szCs w:val="21"/>
                      <w:lang w:eastAsia="zh-CN"/>
                      <w14:textFill>
                        <w14:solidFill>
                          <w14:schemeClr w14:val="tx1"/>
                        </w14:solidFill>
                      </w14:textFill>
                    </w:rPr>
                    <w:t>）</w:t>
                  </w:r>
                </w:p>
                <w:p w14:paraId="40B7FBD1">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441" w:type="pct"/>
                  <w:noWrap w:val="0"/>
                  <w:vAlign w:val="center"/>
                </w:tcPr>
                <w:p w14:paraId="16CD9E4B">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贮存方式</w:t>
                  </w:r>
                </w:p>
              </w:tc>
              <w:tc>
                <w:tcPr>
                  <w:tcW w:w="470" w:type="pct"/>
                  <w:noWrap w:val="0"/>
                  <w:vAlign w:val="center"/>
                </w:tcPr>
                <w:p w14:paraId="43109709">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利用处置方式和去向</w:t>
                  </w:r>
                </w:p>
              </w:tc>
            </w:tr>
            <w:tr w14:paraId="3BAFC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noWrap w:val="0"/>
                  <w:vAlign w:val="center"/>
                </w:tcPr>
                <w:p w14:paraId="7F4B427B">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w:t>
                  </w:r>
                </w:p>
              </w:tc>
              <w:tc>
                <w:tcPr>
                  <w:tcW w:w="363" w:type="pct"/>
                  <w:noWrap w:val="0"/>
                  <w:vAlign w:val="center"/>
                </w:tcPr>
                <w:p w14:paraId="118784EF">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原料包装</w:t>
                  </w:r>
                </w:p>
              </w:tc>
              <w:tc>
                <w:tcPr>
                  <w:tcW w:w="400" w:type="pct"/>
                  <w:noWrap w:val="0"/>
                  <w:vAlign w:val="center"/>
                </w:tcPr>
                <w:p w14:paraId="5D386C57">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废包装袋</w:t>
                  </w:r>
                </w:p>
              </w:tc>
              <w:tc>
                <w:tcPr>
                  <w:tcW w:w="341" w:type="pct"/>
                  <w:vMerge w:val="restart"/>
                  <w:noWrap w:val="0"/>
                  <w:vAlign w:val="center"/>
                </w:tcPr>
                <w:p w14:paraId="2938FFE8">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一般工业固废</w:t>
                  </w:r>
                </w:p>
              </w:tc>
              <w:tc>
                <w:tcPr>
                  <w:tcW w:w="737" w:type="pct"/>
                  <w:noWrap w:val="0"/>
                  <w:vAlign w:val="center"/>
                </w:tcPr>
                <w:p w14:paraId="64773506">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900-003-SW17</w:t>
                  </w:r>
                </w:p>
              </w:tc>
              <w:tc>
                <w:tcPr>
                  <w:tcW w:w="764" w:type="pct"/>
                  <w:noWrap w:val="0"/>
                  <w:vAlign w:val="center"/>
                </w:tcPr>
                <w:p w14:paraId="00551C27">
                  <w:pPr>
                    <w:keepNext w:val="0"/>
                    <w:keepLines w:val="0"/>
                    <w:pageBreakBefore w:val="0"/>
                    <w:widowControl w:val="0"/>
                    <w:kinsoku/>
                    <w:wordWrap/>
                    <w:overflowPunct/>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296" w:type="pct"/>
                  <w:noWrap w:val="0"/>
                  <w:vAlign w:val="center"/>
                </w:tcPr>
                <w:p w14:paraId="4882A71E">
                  <w:pPr>
                    <w:keepNext w:val="0"/>
                    <w:keepLines w:val="0"/>
                    <w:pageBreakBefore w:val="0"/>
                    <w:widowControl w:val="0"/>
                    <w:kinsoku/>
                    <w:wordWrap/>
                    <w:overflowPunct/>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固态</w:t>
                  </w:r>
                </w:p>
              </w:tc>
              <w:tc>
                <w:tcPr>
                  <w:tcW w:w="407" w:type="pct"/>
                  <w:noWrap w:val="0"/>
                  <w:vAlign w:val="center"/>
                </w:tcPr>
                <w:p w14:paraId="3C81FA9D">
                  <w:pPr>
                    <w:keepNext w:val="0"/>
                    <w:keepLines w:val="0"/>
                    <w:widowControl/>
                    <w:suppressLineNumbers w:val="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498" w:type="pct"/>
                  <w:noWrap w:val="0"/>
                  <w:vAlign w:val="center"/>
                </w:tcPr>
                <w:p w14:paraId="1B794727">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0.568</w:t>
                  </w:r>
                </w:p>
              </w:tc>
              <w:tc>
                <w:tcPr>
                  <w:tcW w:w="441" w:type="pct"/>
                  <w:noWrap w:val="0"/>
                  <w:vAlign w:val="center"/>
                </w:tcPr>
                <w:p w14:paraId="475FA24B">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袋装</w:t>
                  </w:r>
                </w:p>
              </w:tc>
              <w:tc>
                <w:tcPr>
                  <w:tcW w:w="470" w:type="pct"/>
                  <w:vMerge w:val="restart"/>
                  <w:noWrap w:val="0"/>
                  <w:vAlign w:val="center"/>
                </w:tcPr>
                <w:p w14:paraId="67A0CBDC">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外售给物资公司综合利用</w:t>
                  </w:r>
                </w:p>
              </w:tc>
            </w:tr>
            <w:tr w14:paraId="72A0E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noWrap w:val="0"/>
                  <w:vAlign w:val="center"/>
                </w:tcPr>
                <w:p w14:paraId="743E77E3">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2</w:t>
                  </w:r>
                </w:p>
              </w:tc>
              <w:tc>
                <w:tcPr>
                  <w:tcW w:w="363" w:type="pct"/>
                  <w:noWrap w:val="0"/>
                  <w:vAlign w:val="center"/>
                </w:tcPr>
                <w:p w14:paraId="1543DF01">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废气处理</w:t>
                  </w:r>
                </w:p>
              </w:tc>
              <w:tc>
                <w:tcPr>
                  <w:tcW w:w="400" w:type="pct"/>
                  <w:noWrap w:val="0"/>
                  <w:vAlign w:val="center"/>
                </w:tcPr>
                <w:p w14:paraId="5E41F98D">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除尘器收集的粉尘</w:t>
                  </w:r>
                </w:p>
              </w:tc>
              <w:tc>
                <w:tcPr>
                  <w:tcW w:w="341" w:type="pct"/>
                  <w:vMerge w:val="continue"/>
                  <w:noWrap w:val="0"/>
                  <w:vAlign w:val="center"/>
                </w:tcPr>
                <w:p w14:paraId="77BCAAAC">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37" w:type="pct"/>
                  <w:noWrap w:val="0"/>
                  <w:vAlign w:val="center"/>
                </w:tcPr>
                <w:p w14:paraId="409EFD22">
                  <w:pPr>
                    <w:keepNext w:val="0"/>
                    <w:keepLines w:val="0"/>
                    <w:pageBreakBefore w:val="0"/>
                    <w:widowControl w:val="0"/>
                    <w:kinsoku/>
                    <w:wordWrap/>
                    <w:overflowPunct/>
                    <w:autoSpaceDE/>
                    <w:autoSpaceDN/>
                    <w:bidi w:val="0"/>
                    <w:spacing w:line="240" w:lineRule="auto"/>
                    <w:ind w:firstLine="0" w:firstLineChars="0"/>
                    <w:jc w:val="center"/>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900-003-SW17</w:t>
                  </w:r>
                </w:p>
              </w:tc>
              <w:tc>
                <w:tcPr>
                  <w:tcW w:w="764" w:type="pct"/>
                  <w:noWrap w:val="0"/>
                  <w:vAlign w:val="center"/>
                </w:tcPr>
                <w:p w14:paraId="0023C535">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w:t>
                  </w:r>
                </w:p>
              </w:tc>
              <w:tc>
                <w:tcPr>
                  <w:tcW w:w="296" w:type="pct"/>
                  <w:noWrap w:val="0"/>
                  <w:vAlign w:val="center"/>
                </w:tcPr>
                <w:p w14:paraId="56447C12">
                  <w:pPr>
                    <w:keepNext w:val="0"/>
                    <w:keepLines w:val="0"/>
                    <w:pageBreakBefore w:val="0"/>
                    <w:widowControl w:val="0"/>
                    <w:kinsoku/>
                    <w:wordWrap/>
                    <w:overflowPunct/>
                    <w:autoSpaceDE/>
                    <w:autoSpaceDN/>
                    <w:bidi w:val="0"/>
                    <w:spacing w:line="240" w:lineRule="auto"/>
                    <w:ind w:firstLine="0" w:firstLineChars="0"/>
                    <w:jc w:val="center"/>
                    <w:textAlignment w:val="auto"/>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固态</w:t>
                  </w:r>
                </w:p>
              </w:tc>
              <w:tc>
                <w:tcPr>
                  <w:tcW w:w="407" w:type="pct"/>
                  <w:noWrap w:val="0"/>
                  <w:vAlign w:val="center"/>
                </w:tcPr>
                <w:p w14:paraId="46520E00">
                  <w:pPr>
                    <w:keepNext w:val="0"/>
                    <w:keepLines w:val="0"/>
                    <w:widowControl/>
                    <w:suppressLineNumbers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w:t>
                  </w:r>
                </w:p>
              </w:tc>
              <w:tc>
                <w:tcPr>
                  <w:tcW w:w="498" w:type="pct"/>
                  <w:noWrap w:val="0"/>
                  <w:vAlign w:val="center"/>
                </w:tcPr>
                <w:p w14:paraId="3C1A2251">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0.001</w:t>
                  </w:r>
                </w:p>
              </w:tc>
              <w:tc>
                <w:tcPr>
                  <w:tcW w:w="441" w:type="pct"/>
                  <w:noWrap w:val="0"/>
                  <w:vAlign w:val="center"/>
                </w:tcPr>
                <w:p w14:paraId="534F59B2">
                  <w:pPr>
                    <w:keepNext w:val="0"/>
                    <w:keepLines w:val="0"/>
                    <w:pageBreakBefore w:val="0"/>
                    <w:widowControl w:val="0"/>
                    <w:kinsoku/>
                    <w:wordWrap/>
                    <w:overflowPunct/>
                    <w:autoSpaceDE/>
                    <w:autoSpaceDN/>
                    <w:bidi w:val="0"/>
                    <w:spacing w:line="240" w:lineRule="auto"/>
                    <w:ind w:firstLine="0" w:firstLineChars="0"/>
                    <w:jc w:val="center"/>
                    <w:textAlignment w:val="auto"/>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袋装</w:t>
                  </w:r>
                </w:p>
              </w:tc>
              <w:tc>
                <w:tcPr>
                  <w:tcW w:w="470" w:type="pct"/>
                  <w:vMerge w:val="continue"/>
                  <w:noWrap w:val="0"/>
                  <w:vAlign w:val="center"/>
                </w:tcPr>
                <w:p w14:paraId="22775871">
                  <w:pPr>
                    <w:keepNext w:val="0"/>
                    <w:keepLines w:val="0"/>
                    <w:pageBreakBefore w:val="0"/>
                    <w:widowControl w:val="0"/>
                    <w:kinsoku/>
                    <w:wordWrap/>
                    <w:overflowPunct/>
                    <w:autoSpaceDE/>
                    <w:autoSpaceDN/>
                    <w:bidi w:val="0"/>
                    <w:spacing w:line="240" w:lineRule="auto"/>
                    <w:ind w:firstLine="0" w:firstLineChars="0"/>
                    <w:jc w:val="center"/>
                    <w:textAlignment w:val="auto"/>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r>
            <w:tr w14:paraId="1338DF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noWrap w:val="0"/>
                  <w:vAlign w:val="center"/>
                </w:tcPr>
                <w:p w14:paraId="7ABD9391">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3</w:t>
                  </w:r>
                </w:p>
              </w:tc>
              <w:tc>
                <w:tcPr>
                  <w:tcW w:w="363" w:type="pct"/>
                  <w:noWrap w:val="0"/>
                  <w:vAlign w:val="center"/>
                </w:tcPr>
                <w:p w14:paraId="2A9CD573">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废气处理</w:t>
                  </w:r>
                </w:p>
              </w:tc>
              <w:tc>
                <w:tcPr>
                  <w:tcW w:w="400" w:type="pct"/>
                  <w:noWrap w:val="0"/>
                  <w:vAlign w:val="center"/>
                </w:tcPr>
                <w:p w14:paraId="465BBB1B">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含尘布袋</w:t>
                  </w:r>
                </w:p>
              </w:tc>
              <w:tc>
                <w:tcPr>
                  <w:tcW w:w="341" w:type="pct"/>
                  <w:vMerge w:val="continue"/>
                  <w:noWrap w:val="0"/>
                  <w:vAlign w:val="center"/>
                </w:tcPr>
                <w:p w14:paraId="1DE8E351">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37" w:type="pct"/>
                  <w:noWrap w:val="0"/>
                  <w:vAlign w:val="center"/>
                </w:tcPr>
                <w:p w14:paraId="27F70592">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900-099-SW59</w:t>
                  </w:r>
                </w:p>
              </w:tc>
              <w:tc>
                <w:tcPr>
                  <w:tcW w:w="764" w:type="pct"/>
                  <w:noWrap w:val="0"/>
                  <w:vAlign w:val="center"/>
                </w:tcPr>
                <w:p w14:paraId="5422B0F5">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w:t>
                  </w:r>
                </w:p>
              </w:tc>
              <w:tc>
                <w:tcPr>
                  <w:tcW w:w="296" w:type="pct"/>
                  <w:noWrap w:val="0"/>
                  <w:vAlign w:val="center"/>
                </w:tcPr>
                <w:p w14:paraId="5B52D778">
                  <w:pPr>
                    <w:keepNext w:val="0"/>
                    <w:keepLines w:val="0"/>
                    <w:pageBreakBefore w:val="0"/>
                    <w:widowControl w:val="0"/>
                    <w:kinsoku/>
                    <w:wordWrap/>
                    <w:overflowPunct/>
                    <w:autoSpaceDE/>
                    <w:autoSpaceDN/>
                    <w:bidi w:val="0"/>
                    <w:spacing w:line="240" w:lineRule="auto"/>
                    <w:ind w:firstLine="0" w:firstLineChars="0"/>
                    <w:jc w:val="center"/>
                    <w:textAlignment w:val="auto"/>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固态</w:t>
                  </w:r>
                </w:p>
              </w:tc>
              <w:tc>
                <w:tcPr>
                  <w:tcW w:w="407" w:type="pct"/>
                  <w:noWrap w:val="0"/>
                  <w:vAlign w:val="center"/>
                </w:tcPr>
                <w:p w14:paraId="25BC71EA">
                  <w:pPr>
                    <w:keepNext w:val="0"/>
                    <w:keepLines w:val="0"/>
                    <w:widowControl/>
                    <w:suppressLineNumbers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w:t>
                  </w:r>
                </w:p>
              </w:tc>
              <w:tc>
                <w:tcPr>
                  <w:tcW w:w="498" w:type="pct"/>
                  <w:noWrap w:val="0"/>
                  <w:vAlign w:val="center"/>
                </w:tcPr>
                <w:p w14:paraId="5FF405DA">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0.15</w:t>
                  </w:r>
                </w:p>
              </w:tc>
              <w:tc>
                <w:tcPr>
                  <w:tcW w:w="441" w:type="pct"/>
                  <w:noWrap w:val="0"/>
                  <w:vAlign w:val="center"/>
                </w:tcPr>
                <w:p w14:paraId="176E9F9F">
                  <w:pPr>
                    <w:keepNext w:val="0"/>
                    <w:keepLines w:val="0"/>
                    <w:pageBreakBefore w:val="0"/>
                    <w:widowControl w:val="0"/>
                    <w:kinsoku/>
                    <w:wordWrap/>
                    <w:overflowPunct/>
                    <w:autoSpaceDE/>
                    <w:autoSpaceDN/>
                    <w:bidi w:val="0"/>
                    <w:spacing w:line="240" w:lineRule="auto"/>
                    <w:ind w:firstLine="0" w:firstLineChars="0"/>
                    <w:jc w:val="center"/>
                    <w:textAlignment w:val="auto"/>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袋装</w:t>
                  </w:r>
                </w:p>
              </w:tc>
              <w:tc>
                <w:tcPr>
                  <w:tcW w:w="470" w:type="pct"/>
                  <w:vMerge w:val="continue"/>
                  <w:noWrap w:val="0"/>
                  <w:vAlign w:val="center"/>
                </w:tcPr>
                <w:p w14:paraId="371D0EE9">
                  <w:pPr>
                    <w:keepNext w:val="0"/>
                    <w:keepLines w:val="0"/>
                    <w:pageBreakBefore w:val="0"/>
                    <w:widowControl w:val="0"/>
                    <w:kinsoku/>
                    <w:wordWrap/>
                    <w:overflowPunct/>
                    <w:autoSpaceDE/>
                    <w:autoSpaceDN/>
                    <w:bidi w:val="0"/>
                    <w:spacing w:line="240" w:lineRule="auto"/>
                    <w:ind w:firstLine="0" w:firstLineChars="0"/>
                    <w:jc w:val="center"/>
                    <w:textAlignment w:val="auto"/>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r>
            <w:tr w14:paraId="03CFC9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noWrap w:val="0"/>
                  <w:vAlign w:val="center"/>
                </w:tcPr>
                <w:p w14:paraId="15AEB5FA">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4</w:t>
                  </w:r>
                </w:p>
              </w:tc>
              <w:tc>
                <w:tcPr>
                  <w:tcW w:w="363" w:type="pct"/>
                  <w:noWrap w:val="0"/>
                  <w:vAlign w:val="center"/>
                </w:tcPr>
                <w:p w14:paraId="282DB377">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注塑</w:t>
                  </w:r>
                </w:p>
              </w:tc>
              <w:tc>
                <w:tcPr>
                  <w:tcW w:w="400" w:type="pct"/>
                  <w:noWrap w:val="0"/>
                  <w:vAlign w:val="center"/>
                </w:tcPr>
                <w:p w14:paraId="24CC20F2">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废液压油</w:t>
                  </w:r>
                </w:p>
              </w:tc>
              <w:tc>
                <w:tcPr>
                  <w:tcW w:w="341" w:type="pct"/>
                  <w:vMerge w:val="restart"/>
                  <w:noWrap w:val="0"/>
                  <w:vAlign w:val="center"/>
                </w:tcPr>
                <w:p w14:paraId="1DF1047A">
                  <w:pPr>
                    <w:keepNext w:val="0"/>
                    <w:keepLines w:val="0"/>
                    <w:pageBreakBefore w:val="0"/>
                    <w:widowControl w:val="0"/>
                    <w:kinsoku/>
                    <w:wordWrap/>
                    <w:overflowPunct/>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危险废物</w:t>
                  </w:r>
                </w:p>
              </w:tc>
              <w:tc>
                <w:tcPr>
                  <w:tcW w:w="737" w:type="pct"/>
                  <w:noWrap w:val="0"/>
                  <w:vAlign w:val="center"/>
                </w:tcPr>
                <w:p w14:paraId="0A05D981">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HW08/</w:t>
                  </w:r>
                </w:p>
                <w:p w14:paraId="1CDA2926">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900-214-08</w:t>
                  </w:r>
                </w:p>
              </w:tc>
              <w:tc>
                <w:tcPr>
                  <w:tcW w:w="764" w:type="pct"/>
                  <w:noWrap w:val="0"/>
                  <w:vAlign w:val="center"/>
                </w:tcPr>
                <w:p w14:paraId="2C4D783D">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含油物质</w:t>
                  </w:r>
                </w:p>
              </w:tc>
              <w:tc>
                <w:tcPr>
                  <w:tcW w:w="296" w:type="pct"/>
                  <w:noWrap w:val="0"/>
                  <w:vAlign w:val="center"/>
                </w:tcPr>
                <w:p w14:paraId="01C50CE1">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液态</w:t>
                  </w:r>
                </w:p>
              </w:tc>
              <w:tc>
                <w:tcPr>
                  <w:tcW w:w="407" w:type="pct"/>
                  <w:noWrap w:val="0"/>
                  <w:vAlign w:val="center"/>
                </w:tcPr>
                <w:p w14:paraId="3510A73A">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T，I</w:t>
                  </w:r>
                </w:p>
              </w:tc>
              <w:tc>
                <w:tcPr>
                  <w:tcW w:w="498" w:type="pct"/>
                  <w:noWrap w:val="0"/>
                  <w:vAlign w:val="center"/>
                </w:tcPr>
                <w:p w14:paraId="73576123">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w:t>
                  </w:r>
                </w:p>
              </w:tc>
              <w:tc>
                <w:tcPr>
                  <w:tcW w:w="441" w:type="pct"/>
                  <w:noWrap w:val="0"/>
                  <w:vAlign w:val="center"/>
                </w:tcPr>
                <w:p w14:paraId="772146A0">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密封桶装</w:t>
                  </w:r>
                </w:p>
              </w:tc>
              <w:tc>
                <w:tcPr>
                  <w:tcW w:w="470" w:type="pct"/>
                  <w:vMerge w:val="restart"/>
                  <w:noWrap w:val="0"/>
                  <w:vAlign w:val="center"/>
                </w:tcPr>
                <w:p w14:paraId="6858ABA0">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暂存于危废库，委托有危废</w:t>
                  </w:r>
                  <w:r>
                    <w:rPr>
                      <w:rFonts w:hint="eastAsia"/>
                      <w:color w:val="000000" w:themeColor="text1"/>
                      <w:sz w:val="21"/>
                      <w:szCs w:val="21"/>
                      <w14:textFill>
                        <w14:solidFill>
                          <w14:schemeClr w14:val="tx1"/>
                        </w14:solidFill>
                      </w14:textFill>
                    </w:rPr>
                    <w:t>处置</w:t>
                  </w:r>
                  <w:r>
                    <w:rPr>
                      <w:color w:val="000000" w:themeColor="text1"/>
                      <w:sz w:val="21"/>
                      <w:szCs w:val="21"/>
                      <w14:textFill>
                        <w14:solidFill>
                          <w14:schemeClr w14:val="tx1"/>
                        </w14:solidFill>
                      </w14:textFill>
                    </w:rPr>
                    <w:t>资质的单位处置</w:t>
                  </w:r>
                </w:p>
              </w:tc>
            </w:tr>
            <w:tr w14:paraId="095FA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noWrap w:val="0"/>
                  <w:vAlign w:val="center"/>
                </w:tcPr>
                <w:p w14:paraId="60D57E78">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5</w:t>
                  </w:r>
                </w:p>
              </w:tc>
              <w:tc>
                <w:tcPr>
                  <w:tcW w:w="363" w:type="pct"/>
                  <w:noWrap w:val="0"/>
                  <w:vAlign w:val="center"/>
                </w:tcPr>
                <w:p w14:paraId="32C370F2">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原料包装</w:t>
                  </w:r>
                </w:p>
              </w:tc>
              <w:tc>
                <w:tcPr>
                  <w:tcW w:w="400" w:type="pct"/>
                  <w:noWrap w:val="0"/>
                  <w:vAlign w:val="center"/>
                </w:tcPr>
                <w:p w14:paraId="081D81C6">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废油桶</w:t>
                  </w:r>
                </w:p>
              </w:tc>
              <w:tc>
                <w:tcPr>
                  <w:tcW w:w="341" w:type="pct"/>
                  <w:vMerge w:val="continue"/>
                  <w:noWrap w:val="0"/>
                  <w:vAlign w:val="center"/>
                </w:tcPr>
                <w:p w14:paraId="0AAA04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p>
              </w:tc>
              <w:tc>
                <w:tcPr>
                  <w:tcW w:w="737" w:type="pct"/>
                  <w:noWrap w:val="0"/>
                  <w:vAlign w:val="center"/>
                </w:tcPr>
                <w:p w14:paraId="17EAD5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HW</w:t>
                  </w:r>
                  <w:r>
                    <w:rPr>
                      <w:rFonts w:hint="eastAsia" w:cs="Times New Roman"/>
                      <w:color w:val="000000" w:themeColor="text1"/>
                      <w:sz w:val="21"/>
                      <w:szCs w:val="21"/>
                      <w:highlight w:val="none"/>
                      <w:lang w:val="en-US" w:eastAsia="zh-CN"/>
                      <w14:textFill>
                        <w14:solidFill>
                          <w14:schemeClr w14:val="tx1"/>
                        </w14:solidFill>
                      </w14:textFill>
                    </w:rPr>
                    <w:t>08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p w14:paraId="66878E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900-</w:t>
                  </w:r>
                  <w:r>
                    <w:rPr>
                      <w:rFonts w:hint="eastAsia" w:cs="Times New Roman"/>
                      <w:color w:val="000000"/>
                      <w:kern w:val="0"/>
                      <w:sz w:val="21"/>
                      <w:szCs w:val="21"/>
                      <w:lang w:val="en-US" w:eastAsia="zh-CN" w:bidi="ar"/>
                    </w:rPr>
                    <w:t>249</w:t>
                  </w:r>
                  <w:r>
                    <w:rPr>
                      <w:rFonts w:hint="default" w:ascii="Times New Roman" w:hAnsi="Times New Roman" w:eastAsia="宋体" w:cs="Times New Roman"/>
                      <w:color w:val="000000"/>
                      <w:kern w:val="0"/>
                      <w:sz w:val="21"/>
                      <w:szCs w:val="21"/>
                      <w:lang w:val="en-US" w:eastAsia="zh-CN" w:bidi="ar"/>
                    </w:rPr>
                    <w:t>-</w:t>
                  </w:r>
                  <w:r>
                    <w:rPr>
                      <w:rFonts w:hint="eastAsia" w:cs="Times New Roman"/>
                      <w:color w:val="000000"/>
                      <w:kern w:val="0"/>
                      <w:sz w:val="21"/>
                      <w:szCs w:val="21"/>
                      <w:lang w:val="en-US" w:eastAsia="zh-CN" w:bidi="ar"/>
                    </w:rPr>
                    <w:t>08</w:t>
                  </w:r>
                </w:p>
              </w:tc>
              <w:tc>
                <w:tcPr>
                  <w:tcW w:w="764" w:type="pct"/>
                  <w:noWrap w:val="0"/>
                  <w:vAlign w:val="center"/>
                </w:tcPr>
                <w:p w14:paraId="2D4094C7">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含油物质</w:t>
                  </w:r>
                </w:p>
              </w:tc>
              <w:tc>
                <w:tcPr>
                  <w:tcW w:w="296" w:type="pct"/>
                  <w:noWrap w:val="0"/>
                  <w:vAlign w:val="center"/>
                </w:tcPr>
                <w:p w14:paraId="48BD33DC">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固态</w:t>
                  </w:r>
                </w:p>
              </w:tc>
              <w:tc>
                <w:tcPr>
                  <w:tcW w:w="407" w:type="pct"/>
                  <w:noWrap w:val="0"/>
                  <w:vAlign w:val="center"/>
                </w:tcPr>
                <w:p w14:paraId="2E9DCAF6">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T，I</w:t>
                  </w:r>
                </w:p>
              </w:tc>
              <w:tc>
                <w:tcPr>
                  <w:tcW w:w="498" w:type="pct"/>
                  <w:noWrap w:val="0"/>
                  <w:vAlign w:val="center"/>
                </w:tcPr>
                <w:p w14:paraId="1C84E674">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0.124</w:t>
                  </w:r>
                </w:p>
              </w:tc>
              <w:tc>
                <w:tcPr>
                  <w:tcW w:w="441" w:type="pct"/>
                  <w:noWrap w:val="0"/>
                  <w:vAlign w:val="center"/>
                </w:tcPr>
                <w:p w14:paraId="15BC45E3">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密封</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袋装</w:t>
                  </w:r>
                </w:p>
              </w:tc>
              <w:tc>
                <w:tcPr>
                  <w:tcW w:w="470" w:type="pct"/>
                  <w:vMerge w:val="continue"/>
                  <w:noWrap w:val="0"/>
                  <w:vAlign w:val="center"/>
                </w:tcPr>
                <w:p w14:paraId="040AAAF6">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p>
              </w:tc>
            </w:tr>
            <w:tr w14:paraId="6BEC1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noWrap w:val="0"/>
                  <w:vAlign w:val="center"/>
                </w:tcPr>
                <w:p w14:paraId="503F209D">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6</w:t>
                  </w:r>
                </w:p>
              </w:tc>
              <w:tc>
                <w:tcPr>
                  <w:tcW w:w="363" w:type="pct"/>
                  <w:noWrap w:val="0"/>
                  <w:vAlign w:val="center"/>
                </w:tcPr>
                <w:p w14:paraId="768B3D4B">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废气治理</w:t>
                  </w:r>
                </w:p>
              </w:tc>
              <w:tc>
                <w:tcPr>
                  <w:tcW w:w="400" w:type="pct"/>
                  <w:noWrap w:val="0"/>
                  <w:vAlign w:val="center"/>
                </w:tcPr>
                <w:p w14:paraId="606FE35B">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废活性炭</w:t>
                  </w:r>
                </w:p>
              </w:tc>
              <w:tc>
                <w:tcPr>
                  <w:tcW w:w="341" w:type="pct"/>
                  <w:vMerge w:val="continue"/>
                  <w:noWrap w:val="0"/>
                  <w:vAlign w:val="center"/>
                </w:tcPr>
                <w:p w14:paraId="479F5F05">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p>
              </w:tc>
              <w:tc>
                <w:tcPr>
                  <w:tcW w:w="737" w:type="pct"/>
                  <w:noWrap w:val="0"/>
                  <w:vAlign w:val="center"/>
                </w:tcPr>
                <w:p w14:paraId="5BEA13E2">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HW49/</w:t>
                  </w:r>
                </w:p>
                <w:p w14:paraId="44768D29">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900-0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39</w:t>
                  </w:r>
                  <w:r>
                    <w:rPr>
                      <w:rFonts w:hint="default" w:ascii="Times New Roman" w:hAnsi="Times New Roman" w:cs="Times New Roman"/>
                      <w:color w:val="000000" w:themeColor="text1"/>
                      <w:sz w:val="21"/>
                      <w:szCs w:val="21"/>
                      <w:highlight w:val="none"/>
                      <w14:textFill>
                        <w14:solidFill>
                          <w14:schemeClr w14:val="tx1"/>
                        </w14:solidFill>
                      </w14:textFill>
                    </w:rPr>
                    <w:t>-49</w:t>
                  </w:r>
                </w:p>
              </w:tc>
              <w:tc>
                <w:tcPr>
                  <w:tcW w:w="764" w:type="pct"/>
                  <w:noWrap w:val="0"/>
                  <w:vAlign w:val="center"/>
                </w:tcPr>
                <w:p w14:paraId="49598C06">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有机废气</w:t>
                  </w:r>
                </w:p>
              </w:tc>
              <w:tc>
                <w:tcPr>
                  <w:tcW w:w="296" w:type="pct"/>
                  <w:noWrap w:val="0"/>
                  <w:vAlign w:val="center"/>
                </w:tcPr>
                <w:p w14:paraId="18F6F1B7">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固态</w:t>
                  </w:r>
                </w:p>
              </w:tc>
              <w:tc>
                <w:tcPr>
                  <w:tcW w:w="407" w:type="pct"/>
                  <w:noWrap w:val="0"/>
                  <w:vAlign w:val="center"/>
                </w:tcPr>
                <w:p w14:paraId="05AC3EDF">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T/In</w:t>
                  </w:r>
                </w:p>
              </w:tc>
              <w:tc>
                <w:tcPr>
                  <w:tcW w:w="498" w:type="pct"/>
                  <w:noWrap w:val="0"/>
                  <w:vAlign w:val="center"/>
                </w:tcPr>
                <w:p w14:paraId="6021F499">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2.856</w:t>
                  </w:r>
                </w:p>
              </w:tc>
              <w:tc>
                <w:tcPr>
                  <w:tcW w:w="441" w:type="pct"/>
                  <w:noWrap w:val="0"/>
                  <w:vAlign w:val="center"/>
                </w:tcPr>
                <w:p w14:paraId="51F0FF26">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密封</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袋装</w:t>
                  </w:r>
                </w:p>
              </w:tc>
              <w:tc>
                <w:tcPr>
                  <w:tcW w:w="470" w:type="pct"/>
                  <w:vMerge w:val="continue"/>
                  <w:noWrap w:val="0"/>
                  <w:vAlign w:val="center"/>
                </w:tcPr>
                <w:p w14:paraId="32ED431C">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p>
              </w:tc>
            </w:tr>
            <w:tr w14:paraId="4F8382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noWrap w:val="0"/>
                  <w:vAlign w:val="center"/>
                </w:tcPr>
                <w:p w14:paraId="45FCE403">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7</w:t>
                  </w:r>
                </w:p>
              </w:tc>
              <w:tc>
                <w:tcPr>
                  <w:tcW w:w="363" w:type="pct"/>
                  <w:noWrap w:val="0"/>
                  <w:vAlign w:val="center"/>
                </w:tcPr>
                <w:p w14:paraId="59045034">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设备维护</w:t>
                  </w:r>
                </w:p>
              </w:tc>
              <w:tc>
                <w:tcPr>
                  <w:tcW w:w="400" w:type="pct"/>
                  <w:noWrap w:val="0"/>
                  <w:vAlign w:val="center"/>
                </w:tcPr>
                <w:p w14:paraId="118A5B12">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含油抹布</w:t>
                  </w:r>
                </w:p>
              </w:tc>
              <w:tc>
                <w:tcPr>
                  <w:tcW w:w="341" w:type="pct"/>
                  <w:vMerge w:val="continue"/>
                  <w:noWrap w:val="0"/>
                  <w:vAlign w:val="center"/>
                </w:tcPr>
                <w:p w14:paraId="36F13F27">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p>
              </w:tc>
              <w:tc>
                <w:tcPr>
                  <w:tcW w:w="737" w:type="pct"/>
                  <w:noWrap w:val="0"/>
                  <w:vAlign w:val="center"/>
                </w:tcPr>
                <w:p w14:paraId="28B069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HW</w:t>
                  </w:r>
                  <w:r>
                    <w:rPr>
                      <w:rFonts w:hint="eastAsia" w:cs="Times New Roman"/>
                      <w:color w:val="000000" w:themeColor="text1"/>
                      <w:sz w:val="21"/>
                      <w:szCs w:val="21"/>
                      <w:highlight w:val="none"/>
                      <w:lang w:val="en-US" w:eastAsia="zh-CN"/>
                      <w14:textFill>
                        <w14:solidFill>
                          <w14:schemeClr w14:val="tx1"/>
                        </w14:solidFill>
                      </w14:textFill>
                    </w:rPr>
                    <w:t>49</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p w14:paraId="499FB2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900-041-49</w:t>
                  </w:r>
                </w:p>
              </w:tc>
              <w:tc>
                <w:tcPr>
                  <w:tcW w:w="764" w:type="pct"/>
                  <w:noWrap w:val="0"/>
                  <w:vAlign w:val="center"/>
                </w:tcPr>
                <w:p w14:paraId="418D50C1">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含油物质</w:t>
                  </w:r>
                </w:p>
              </w:tc>
              <w:tc>
                <w:tcPr>
                  <w:tcW w:w="296" w:type="pct"/>
                  <w:noWrap w:val="0"/>
                  <w:vAlign w:val="center"/>
                </w:tcPr>
                <w:p w14:paraId="79B6AA45">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固态</w:t>
                  </w:r>
                </w:p>
              </w:tc>
              <w:tc>
                <w:tcPr>
                  <w:tcW w:w="407" w:type="pct"/>
                  <w:noWrap w:val="0"/>
                  <w:vAlign w:val="center"/>
                </w:tcPr>
                <w:p w14:paraId="7E05E941">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T，I</w:t>
                  </w:r>
                </w:p>
              </w:tc>
              <w:tc>
                <w:tcPr>
                  <w:tcW w:w="498" w:type="pct"/>
                  <w:noWrap w:val="0"/>
                  <w:vAlign w:val="center"/>
                </w:tcPr>
                <w:p w14:paraId="7BB5AB8A">
                  <w:pPr>
                    <w:keepNext w:val="0"/>
                    <w:keepLines w:val="0"/>
                    <w:pageBreakBefore w:val="0"/>
                    <w:widowControl w:val="0"/>
                    <w:kinsoku/>
                    <w:wordWrap/>
                    <w:overflowPunct/>
                    <w:autoSpaceDE/>
                    <w:autoSpaceDN/>
                    <w:bidi w:val="0"/>
                    <w:spacing w:line="240" w:lineRule="auto"/>
                    <w:ind w:firstLine="0" w:firstLineChars="0"/>
                    <w:jc w:val="center"/>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0.0</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5</w:t>
                  </w:r>
                </w:p>
              </w:tc>
              <w:tc>
                <w:tcPr>
                  <w:tcW w:w="441" w:type="pct"/>
                  <w:noWrap w:val="0"/>
                  <w:vAlign w:val="center"/>
                </w:tcPr>
                <w:p w14:paraId="567B45C3">
                  <w:pPr>
                    <w:keepNext w:val="0"/>
                    <w:keepLines w:val="0"/>
                    <w:pageBreakBefore w:val="0"/>
                    <w:widowControl w:val="0"/>
                    <w:kinsoku/>
                    <w:wordWrap/>
                    <w:overflowPunct/>
                    <w:autoSpaceDE/>
                    <w:autoSpaceDN/>
                    <w:bidi w:val="0"/>
                    <w:spacing w:line="240" w:lineRule="auto"/>
                    <w:ind w:firstLine="0" w:firstLineChars="0"/>
                    <w:jc w:val="center"/>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密封</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袋装</w:t>
                  </w:r>
                </w:p>
              </w:tc>
              <w:tc>
                <w:tcPr>
                  <w:tcW w:w="470" w:type="pct"/>
                  <w:vMerge w:val="continue"/>
                  <w:noWrap w:val="0"/>
                  <w:vAlign w:val="center"/>
                </w:tcPr>
                <w:p w14:paraId="525E83C4">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p>
              </w:tc>
            </w:tr>
            <w:tr w14:paraId="76D7C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noWrap w:val="0"/>
                  <w:vAlign w:val="center"/>
                </w:tcPr>
                <w:p w14:paraId="1C8890F7">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8</w:t>
                  </w:r>
                </w:p>
              </w:tc>
              <w:tc>
                <w:tcPr>
                  <w:tcW w:w="363" w:type="pct"/>
                  <w:noWrap w:val="0"/>
                  <w:vAlign w:val="center"/>
                </w:tcPr>
                <w:p w14:paraId="6598E19F">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办公</w:t>
                  </w:r>
                </w:p>
              </w:tc>
              <w:tc>
                <w:tcPr>
                  <w:tcW w:w="400" w:type="pct"/>
                  <w:noWrap w:val="0"/>
                  <w:vAlign w:val="center"/>
                </w:tcPr>
                <w:p w14:paraId="17C19179">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生活垃圾</w:t>
                  </w:r>
                </w:p>
              </w:tc>
              <w:tc>
                <w:tcPr>
                  <w:tcW w:w="341" w:type="pct"/>
                  <w:noWrap w:val="0"/>
                  <w:vAlign w:val="center"/>
                </w:tcPr>
                <w:p w14:paraId="0D59E245">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737" w:type="pct"/>
                  <w:noWrap w:val="0"/>
                  <w:vAlign w:val="center"/>
                </w:tcPr>
                <w:p w14:paraId="7DA0C06F">
                  <w:pPr>
                    <w:keepNext w:val="0"/>
                    <w:keepLines w:val="0"/>
                    <w:pageBreakBefore w:val="0"/>
                    <w:widowControl w:val="0"/>
                    <w:kinsoku/>
                    <w:wordWrap/>
                    <w:overflowPunct/>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900-099</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S64</w:t>
                  </w:r>
                </w:p>
              </w:tc>
              <w:tc>
                <w:tcPr>
                  <w:tcW w:w="764" w:type="pct"/>
                  <w:noWrap w:val="0"/>
                  <w:vAlign w:val="center"/>
                </w:tcPr>
                <w:p w14:paraId="51B89326">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296" w:type="pct"/>
                  <w:noWrap w:val="0"/>
                  <w:vAlign w:val="center"/>
                </w:tcPr>
                <w:p w14:paraId="77D7A189">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407" w:type="pct"/>
                  <w:noWrap w:val="0"/>
                  <w:vAlign w:val="center"/>
                </w:tcPr>
                <w:p w14:paraId="43305AA3">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498" w:type="pct"/>
                  <w:noWrap w:val="0"/>
                  <w:vAlign w:val="center"/>
                </w:tcPr>
                <w:p w14:paraId="2A2506E0">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3.15</w:t>
                  </w:r>
                </w:p>
              </w:tc>
              <w:tc>
                <w:tcPr>
                  <w:tcW w:w="441" w:type="pct"/>
                  <w:noWrap w:val="0"/>
                  <w:vAlign w:val="center"/>
                </w:tcPr>
                <w:p w14:paraId="5D5D620B">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袋装分类收集</w:t>
                  </w:r>
                </w:p>
              </w:tc>
              <w:tc>
                <w:tcPr>
                  <w:tcW w:w="470" w:type="pct"/>
                  <w:noWrap w:val="0"/>
                  <w:vAlign w:val="center"/>
                </w:tcPr>
                <w:p w14:paraId="352772C0">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环卫部门统一清运</w:t>
                  </w:r>
                </w:p>
              </w:tc>
            </w:tr>
          </w:tbl>
          <w:p w14:paraId="55A33AA5">
            <w:pPr>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（2）环境管理要求</w:t>
            </w:r>
          </w:p>
          <w:p w14:paraId="6EF2AC1D">
            <w:pPr>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 一般固废环境管理要求</w:t>
            </w:r>
          </w:p>
          <w:p w14:paraId="146E6CB6">
            <w:pPr>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按照《一般工业固体废物贮存和填埋污染控制标准》（GB18599-2020）中贮存过程应满足相应防渗漏、防雨淋、防扬尘等环境保护要求进行设置，地面</w:t>
            </w:r>
            <w:r>
              <w:rPr>
                <w:rFonts w:hint="eastAsia"/>
                <w:color w:val="000000" w:themeColor="text1"/>
                <w:lang w:val="en-US" w:eastAsia="zh-CN"/>
                <w14:textFill>
                  <w14:solidFill>
                    <w14:schemeClr w14:val="tx1"/>
                  </w14:solidFill>
                </w14:textFill>
              </w:rPr>
              <w:t>进行硬化处理</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同时，应将入场的一般工业固体废物的种类和数量资料，详细记录在案，长期保存，供随时查阅。</w:t>
            </w:r>
          </w:p>
          <w:p w14:paraId="0BC62C03">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 危险废物环境管理要求</w:t>
            </w:r>
          </w:p>
          <w:p w14:paraId="797C54B8">
            <w:pPr>
              <w:ind w:firstLine="480" w:firstLineChars="200"/>
              <w:rPr>
                <w:color w:val="000000" w:themeColor="text1"/>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危废库位于2F南部</w:t>
            </w:r>
            <w:r>
              <w:rPr>
                <w:rFonts w:hint="default" w:ascii="Times New Roman" w:hAnsi="Times New Roman" w:cs="Times New Roman"/>
                <w:color w:val="000000" w:themeColor="text1"/>
                <w:sz w:val="24"/>
                <w:szCs w:val="24"/>
                <w:highlight w:val="none"/>
                <w14:textFill>
                  <w14:solidFill>
                    <w14:schemeClr w14:val="tx1"/>
                  </w14:solidFill>
                </w14:textFill>
              </w:rPr>
              <w:t>，占地面积1</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能够存储约</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t的危废量。</w:t>
            </w:r>
            <w:r>
              <w:rPr>
                <w:rFonts w:hint="eastAsia" w:cs="Times New Roman"/>
                <w:color w:val="000000" w:themeColor="text1"/>
                <w:sz w:val="24"/>
                <w:szCs w:val="24"/>
                <w:highlight w:val="none"/>
                <w:lang w:val="en-US" w:eastAsia="zh-CN"/>
                <w14:textFill>
                  <w14:solidFill>
                    <w14:schemeClr w14:val="tx1"/>
                  </w14:solidFill>
                </w14:textFill>
              </w:rPr>
              <w:t>项目</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实施后全厂危废量为</w:t>
            </w:r>
            <w:r>
              <w:rPr>
                <w:rFonts w:hint="eastAsia" w:cs="Times New Roman"/>
                <w:color w:val="000000" w:themeColor="text1"/>
                <w:sz w:val="24"/>
                <w:szCs w:val="24"/>
                <w:highlight w:val="none"/>
                <w:lang w:val="en-US" w:eastAsia="zh-CN"/>
                <w14:textFill>
                  <w14:solidFill>
                    <w14:schemeClr w14:val="tx1"/>
                  </w14:solidFill>
                </w14:textFill>
              </w:rPr>
              <w:t>2.99</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t/a，</w:t>
            </w:r>
            <w:r>
              <w:rPr>
                <w:rFonts w:hint="eastAsia" w:cs="Times New Roman"/>
                <w:color w:val="000000" w:themeColor="text1"/>
                <w:sz w:val="24"/>
                <w:szCs w:val="24"/>
                <w:highlight w:val="none"/>
                <w:lang w:val="en-US" w:eastAsia="zh-CN"/>
                <w14:textFill>
                  <w14:solidFill>
                    <w14:schemeClr w14:val="tx1"/>
                  </w14:solidFill>
                </w14:textFill>
              </w:rPr>
              <w:t>能够满足储运要求</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具体要求如下：</w:t>
            </w:r>
          </w:p>
          <w:p w14:paraId="3B70BDB2">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a </w:t>
            </w:r>
            <w:r>
              <w:rPr>
                <w:color w:val="000000" w:themeColor="text1"/>
                <w14:textFill>
                  <w14:solidFill>
                    <w14:schemeClr w14:val="tx1"/>
                  </w14:solidFill>
                </w14:textFill>
              </w:rPr>
              <w:t>容器和包装物材质、内衬应与盛装的危险废物相容；</w:t>
            </w:r>
          </w:p>
          <w:p w14:paraId="4ACCD522">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b </w:t>
            </w:r>
            <w:r>
              <w:rPr>
                <w:color w:val="000000" w:themeColor="text1"/>
                <w14:textFill>
                  <w14:solidFill>
                    <w14:schemeClr w14:val="tx1"/>
                  </w14:solidFill>
                </w14:textFill>
              </w:rPr>
              <w:t>针对不同类别、形态、物理化学性质的危险废物，其容器和包装物应满足相应的防渗、防漏、防腐和强度等要求；</w:t>
            </w:r>
          </w:p>
          <w:p w14:paraId="3F70155A">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c 硬质容器和包装物及其支护结构堆叠码放时不应有明显变形，无破损泄漏；</w:t>
            </w:r>
          </w:p>
          <w:p w14:paraId="6D8F256E">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d 柔性容器和包装物堆叠码放时应封口严密，无破损泄漏；</w:t>
            </w:r>
          </w:p>
          <w:p w14:paraId="677F00D1">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e 使用容器盛装液态、半固态危险废物时，容器内部应留有适当的空间，以适应因温度变化等可能引发的收缩和膨胀，防止其导致容器渗漏或永久变形；</w:t>
            </w:r>
          </w:p>
          <w:p w14:paraId="716345F0">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f 容器和包装物外表面应保持清洁；</w:t>
            </w:r>
          </w:p>
          <w:p w14:paraId="07AC7169">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g 危险废物存入贮存设施前应对危险废物类别和特性与危险废物标签等危险废物识别标志的一致性进行核验，不一致的或类别、特性不明的不应存入；</w:t>
            </w:r>
          </w:p>
          <w:p w14:paraId="1295190C">
            <w:pPr>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h 应定期检查危险废物的贮存状况，及时清理贮存设施地面，更换破损泄漏的危险废物贮存容器 和包装物，保证堆存危险废物的防雨、防风、防扬尘等设施功能完好；</w:t>
            </w:r>
          </w:p>
          <w:p w14:paraId="481ED815">
            <w:pPr>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i 贮存设施运行期间，应按国家有关标准和规定建立危险废物管理台账并保存；</w:t>
            </w:r>
          </w:p>
          <w:p w14:paraId="6B2B5B18">
            <w:pPr>
              <w:ind w:firstLine="480" w:firstLineChars="20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j 贮存设施所有者或运营者应建立贮存设施环境管理制度、管理人员岗位职责制度、设施运行操 作制度、人员岗位培训制度等</w:t>
            </w:r>
            <w:r>
              <w:rPr>
                <w:rFonts w:hint="eastAsia"/>
                <w:color w:val="000000" w:themeColor="text1"/>
                <w:lang w:eastAsia="zh-CN"/>
                <w14:textFill>
                  <w14:solidFill>
                    <w14:schemeClr w14:val="tx1"/>
                  </w14:solidFill>
                </w14:textFill>
              </w:rPr>
              <w:t>。</w:t>
            </w:r>
          </w:p>
          <w:p w14:paraId="4A2B1F69">
            <w:pPr>
              <w:spacing w:before="120" w:beforeLines="50"/>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5、地下水</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土壤环境影响分析</w:t>
            </w:r>
          </w:p>
          <w:p w14:paraId="6B988359">
            <w:pPr>
              <w:wordWrap w:val="0"/>
              <w:autoSpaceDE w:val="0"/>
              <w:autoSpaceDN w:val="0"/>
              <w:spacing w:line="348" w:lineRule="auto"/>
              <w:ind w:firstLine="480" w:firstLineChars="200"/>
              <w:jc w:val="left"/>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（1）污染途径</w:t>
            </w:r>
          </w:p>
          <w:p w14:paraId="3ED4172C">
            <w:pPr>
              <w:wordWrap w:val="0"/>
              <w:autoSpaceDE w:val="0"/>
              <w:autoSpaceDN w:val="0"/>
              <w:spacing w:line="348" w:lineRule="auto"/>
              <w:ind w:firstLine="480" w:firstLineChars="200"/>
              <w:jc w:val="left"/>
              <w:rPr>
                <w:rFonts w:hint="eastAsia"/>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本项目生产和物料存储均位于室内，无地下水和土壤污染途径。</w:t>
            </w:r>
            <w:r>
              <w:rPr>
                <w:rFonts w:hint="eastAsia"/>
                <w:color w:val="000000" w:themeColor="text1"/>
                <w:kern w:val="0"/>
                <w:highlight w:val="none"/>
                <w:lang w:val="en-US" w:eastAsia="zh-CN"/>
                <w14:textFill>
                  <w14:solidFill>
                    <w14:schemeClr w14:val="tx1"/>
                  </w14:solidFill>
                </w14:textFill>
              </w:rPr>
              <w:t>厂区危废库</w:t>
            </w:r>
            <w:r>
              <w:rPr>
                <w:rFonts w:hint="eastAsia"/>
                <w:color w:val="000000" w:themeColor="text1"/>
                <w:kern w:val="0"/>
                <w:highlight w:val="none"/>
                <w14:textFill>
                  <w14:solidFill>
                    <w14:schemeClr w14:val="tx1"/>
                  </w14:solidFill>
                </w14:textFill>
              </w:rPr>
              <w:t>按照重点防渗区进行建设。在原有水泥地面基础上铺设2mm的HDPE膜，渗透系数1.0</w:t>
            </w:r>
            <w:r>
              <w:rPr>
                <w:rFonts w:ascii="Arial" w:hAnsi="Arial" w:cs="Arial"/>
                <w:color w:val="000000" w:themeColor="text1"/>
                <w:kern w:val="0"/>
                <w:highlight w:val="none"/>
                <w14:textFill>
                  <w14:solidFill>
                    <w14:schemeClr w14:val="tx1"/>
                  </w14:solidFill>
                </w14:textFill>
              </w:rPr>
              <w:t>×</w:t>
            </w:r>
            <w:r>
              <w:rPr>
                <w:rFonts w:hint="eastAsia"/>
                <w:color w:val="000000" w:themeColor="text1"/>
                <w:kern w:val="0"/>
                <w:highlight w:val="none"/>
                <w14:textFill>
                  <w14:solidFill>
                    <w14:schemeClr w14:val="tx1"/>
                  </w14:solidFill>
                </w14:textFill>
              </w:rPr>
              <w:t>10</w:t>
            </w:r>
            <w:r>
              <w:rPr>
                <w:rFonts w:hint="eastAsia"/>
                <w:color w:val="000000" w:themeColor="text1"/>
                <w:kern w:val="0"/>
                <w:highlight w:val="none"/>
                <w:vertAlign w:val="superscript"/>
                <w14:textFill>
                  <w14:solidFill>
                    <w14:schemeClr w14:val="tx1"/>
                  </w14:solidFill>
                </w14:textFill>
              </w:rPr>
              <w:t>-10</w:t>
            </w:r>
            <w:r>
              <w:rPr>
                <w:rFonts w:hint="eastAsia"/>
                <w:color w:val="000000" w:themeColor="text1"/>
                <w:kern w:val="0"/>
                <w:highlight w:val="none"/>
                <w14:textFill>
                  <w14:solidFill>
                    <w14:schemeClr w14:val="tx1"/>
                  </w14:solidFill>
                </w14:textFill>
              </w:rPr>
              <w:t>cm/s；或参照GB18598执行。在落实上述分区防渗措施后，本项目不会对区域土壤和地下水环境产生影响。因此无地下水和土壤污染途径。</w:t>
            </w:r>
          </w:p>
          <w:p w14:paraId="159653CF">
            <w:pPr>
              <w:wordWrap w:val="0"/>
              <w:autoSpaceDE w:val="0"/>
              <w:autoSpaceDN w:val="0"/>
              <w:spacing w:line="348" w:lineRule="auto"/>
              <w:ind w:firstLine="480" w:firstLineChars="200"/>
              <w:jc w:val="left"/>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针对不同区域采取相应的防渗措施，具体见下表。</w:t>
            </w:r>
          </w:p>
          <w:p w14:paraId="18B56DBB">
            <w:pPr>
              <w:adjustRightInd w:val="0"/>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 xml:space="preserve">16  </w:t>
            </w:r>
            <w:r>
              <w:rPr>
                <w:b/>
                <w:bCs/>
                <w:color w:val="000000" w:themeColor="text1"/>
                <w:sz w:val="21"/>
                <w:szCs w:val="21"/>
                <w14:textFill>
                  <w14:solidFill>
                    <w14:schemeClr w14:val="tx1"/>
                  </w14:solidFill>
                </w14:textFill>
              </w:rPr>
              <w:t>项目分区防渗一览表</w:t>
            </w:r>
          </w:p>
          <w:tbl>
            <w:tblPr>
              <w:tblStyle w:val="29"/>
              <w:tblW w:w="499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39"/>
              <w:gridCol w:w="1438"/>
              <w:gridCol w:w="1230"/>
              <w:gridCol w:w="4816"/>
            </w:tblGrid>
            <w:tr w14:paraId="3EE3AC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jc w:val="center"/>
              </w:trPr>
              <w:tc>
                <w:tcPr>
                  <w:tcW w:w="393" w:type="pct"/>
                  <w:noWrap w:val="0"/>
                  <w:vAlign w:val="center"/>
                </w:tcPr>
                <w:p w14:paraId="4BB692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885" w:type="pct"/>
                  <w:noWrap w:val="0"/>
                  <w:vAlign w:val="center"/>
                </w:tcPr>
                <w:p w14:paraId="46650B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防治分区</w:t>
                  </w:r>
                </w:p>
              </w:tc>
              <w:tc>
                <w:tcPr>
                  <w:tcW w:w="757" w:type="pct"/>
                  <w:noWrap w:val="0"/>
                  <w:vAlign w:val="center"/>
                </w:tcPr>
                <w:p w14:paraId="67B39E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分区位置</w:t>
                  </w:r>
                </w:p>
              </w:tc>
              <w:tc>
                <w:tcPr>
                  <w:tcW w:w="2963" w:type="pct"/>
                  <w:noWrap w:val="0"/>
                  <w:vAlign w:val="center"/>
                </w:tcPr>
                <w:p w14:paraId="1535FB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themeColor="text1"/>
                      <w:sz w:val="21"/>
                      <w:szCs w:val="21"/>
                      <w:highlight w:val="yellow"/>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本项目防渗措施</w:t>
                  </w:r>
                </w:p>
              </w:tc>
            </w:tr>
            <w:tr w14:paraId="0BAAC3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3" w:type="pct"/>
                  <w:noWrap w:val="0"/>
                  <w:vAlign w:val="center"/>
                </w:tcPr>
                <w:p w14:paraId="71ACA5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885" w:type="pct"/>
                  <w:noWrap w:val="0"/>
                  <w:vAlign w:val="center"/>
                </w:tcPr>
                <w:p w14:paraId="670155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重点防渗区</w:t>
                  </w:r>
                </w:p>
              </w:tc>
              <w:tc>
                <w:tcPr>
                  <w:tcW w:w="757" w:type="pct"/>
                  <w:noWrap w:val="0"/>
                  <w:vAlign w:val="center"/>
                </w:tcPr>
                <w:p w14:paraId="5034EB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危废库</w:t>
                  </w:r>
                </w:p>
              </w:tc>
              <w:tc>
                <w:tcPr>
                  <w:tcW w:w="2963" w:type="pct"/>
                  <w:noWrap w:val="0"/>
                  <w:vAlign w:val="center"/>
                </w:tcPr>
                <w:p w14:paraId="57186E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highlight w:val="yellow"/>
                      <w:lang w:val="en-US" w:eastAsia="zh-CN"/>
                      <w14:textFill>
                        <w14:solidFill>
                          <w14:schemeClr w14:val="tx1"/>
                        </w14:solidFill>
                      </w14:textFill>
                    </w:rPr>
                  </w:pPr>
                  <w:r>
                    <w:rPr>
                      <w:rFonts w:ascii="Times New Roman" w:hAnsi="Times New Roman" w:eastAsia="宋体"/>
                      <w:color w:val="auto"/>
                      <w:kern w:val="0"/>
                      <w:sz w:val="21"/>
                      <w:szCs w:val="21"/>
                    </w:rPr>
                    <w:t>参照《危险废物贮存污染控制标准》（GB</w:t>
                  </w:r>
                  <w:r>
                    <w:rPr>
                      <w:rFonts w:hint="eastAsia" w:ascii="Times New Roman" w:hAnsi="Times New Roman" w:eastAsia="宋体"/>
                      <w:color w:val="auto"/>
                      <w:kern w:val="0"/>
                      <w:sz w:val="21"/>
                      <w:szCs w:val="21"/>
                      <w:lang w:val="en-US" w:eastAsia="zh-CN"/>
                    </w:rPr>
                    <w:t xml:space="preserve"> </w:t>
                  </w:r>
                  <w:r>
                    <w:rPr>
                      <w:rFonts w:ascii="Times New Roman" w:hAnsi="Times New Roman" w:eastAsia="宋体"/>
                      <w:color w:val="auto"/>
                      <w:kern w:val="0"/>
                      <w:sz w:val="21"/>
                      <w:szCs w:val="21"/>
                    </w:rPr>
                    <w:t>18597</w:t>
                  </w:r>
                  <w:r>
                    <w:rPr>
                      <w:rFonts w:hint="eastAsia" w:ascii="Times New Roman" w:hAnsi="Times New Roman" w:eastAsia="宋体"/>
                      <w:color w:val="auto"/>
                      <w:kern w:val="0"/>
                      <w:sz w:val="21"/>
                      <w:szCs w:val="21"/>
                      <w:lang w:val="en-US" w:eastAsia="zh-CN"/>
                    </w:rPr>
                    <w:t>-2023</w:t>
                  </w:r>
                  <w:r>
                    <w:rPr>
                      <w:rFonts w:ascii="Times New Roman" w:hAnsi="Times New Roman" w:eastAsia="宋体"/>
                      <w:color w:val="auto"/>
                      <w:kern w:val="0"/>
                      <w:sz w:val="21"/>
                      <w:szCs w:val="21"/>
                    </w:rPr>
                    <w:t>）执行，基础必须防渗，防渗层为至少1m厚</w:t>
                  </w:r>
                  <w:r>
                    <w:rPr>
                      <w:rFonts w:hint="eastAsia" w:ascii="Times New Roman" w:hAnsi="Times New Roman" w:eastAsia="宋体"/>
                      <w:color w:val="auto"/>
                      <w:kern w:val="0"/>
                      <w:sz w:val="21"/>
                      <w:szCs w:val="21"/>
                    </w:rPr>
                    <w:t>黏土</w:t>
                  </w:r>
                  <w:r>
                    <w:rPr>
                      <w:rFonts w:ascii="Times New Roman" w:hAnsi="Times New Roman" w:eastAsia="宋体"/>
                      <w:color w:val="auto"/>
                      <w:kern w:val="0"/>
                      <w:sz w:val="21"/>
                      <w:szCs w:val="21"/>
                    </w:rPr>
                    <w:t>层（渗透系数≤10</w:t>
                  </w:r>
                  <w:r>
                    <w:rPr>
                      <w:rFonts w:hint="eastAsia" w:ascii="Times New Roman" w:hAnsi="Times New Roman" w:eastAsia="宋体"/>
                      <w:color w:val="auto"/>
                      <w:kern w:val="0"/>
                      <w:sz w:val="21"/>
                      <w:szCs w:val="21"/>
                      <w:vertAlign w:val="superscript"/>
                    </w:rPr>
                    <w:t>-7</w:t>
                  </w:r>
                  <w:r>
                    <w:rPr>
                      <w:rFonts w:ascii="Times New Roman" w:hAnsi="Times New Roman" w:eastAsia="宋体"/>
                      <w:color w:val="auto"/>
                      <w:kern w:val="0"/>
                      <w:sz w:val="21"/>
                      <w:szCs w:val="21"/>
                    </w:rPr>
                    <w:t>cm/s），或2mm厚高密度聚乙烯，或至少2mm厚的其他人工材料，渗透系数≤10</w:t>
                  </w:r>
                  <w:r>
                    <w:rPr>
                      <w:rFonts w:hint="eastAsia" w:ascii="Times New Roman" w:hAnsi="Times New Roman" w:eastAsia="宋体"/>
                      <w:color w:val="auto"/>
                      <w:kern w:val="0"/>
                      <w:sz w:val="21"/>
                      <w:szCs w:val="21"/>
                      <w:vertAlign w:val="superscript"/>
                    </w:rPr>
                    <w:t>-10</w:t>
                  </w:r>
                  <w:r>
                    <w:rPr>
                      <w:rFonts w:ascii="Times New Roman" w:hAnsi="Times New Roman" w:eastAsia="宋体"/>
                      <w:color w:val="auto"/>
                      <w:kern w:val="0"/>
                      <w:sz w:val="21"/>
                      <w:szCs w:val="21"/>
                    </w:rPr>
                    <w:t>cm/s</w:t>
                  </w:r>
                </w:p>
              </w:tc>
            </w:tr>
            <w:tr w14:paraId="1FF9A9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3" w:type="pct"/>
                  <w:noWrap w:val="0"/>
                  <w:vAlign w:val="center"/>
                </w:tcPr>
                <w:p w14:paraId="5D92EA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885" w:type="pct"/>
                  <w:noWrap w:val="0"/>
                  <w:vAlign w:val="center"/>
                </w:tcPr>
                <w:p w14:paraId="30D77C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简单</w:t>
                  </w:r>
                  <w:r>
                    <w:rPr>
                      <w:color w:val="000000" w:themeColor="text1"/>
                      <w:sz w:val="21"/>
                      <w:szCs w:val="21"/>
                      <w14:textFill>
                        <w14:solidFill>
                          <w14:schemeClr w14:val="tx1"/>
                        </w14:solidFill>
                      </w14:textFill>
                    </w:rPr>
                    <w:t>防渗区</w:t>
                  </w:r>
                </w:p>
              </w:tc>
              <w:tc>
                <w:tcPr>
                  <w:tcW w:w="757" w:type="pct"/>
                  <w:noWrap w:val="0"/>
                  <w:vAlign w:val="center"/>
                </w:tcPr>
                <w:p w14:paraId="1E1D46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其他区域</w:t>
                  </w:r>
                </w:p>
              </w:tc>
              <w:tc>
                <w:tcPr>
                  <w:tcW w:w="2963" w:type="pct"/>
                  <w:noWrap w:val="0"/>
                  <w:vAlign w:val="center"/>
                </w:tcPr>
                <w:p w14:paraId="009BF55A">
                  <w:pPr>
                    <w:pStyle w:val="10"/>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一般地面硬化</w:t>
                  </w:r>
                </w:p>
              </w:tc>
            </w:tr>
          </w:tbl>
          <w:p w14:paraId="51F2DF14">
            <w:pPr>
              <w:pStyle w:val="69"/>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6、生态环境影响</w:t>
            </w:r>
            <w:r>
              <w:rPr>
                <w:b/>
                <w:bCs/>
                <w:color w:val="000000" w:themeColor="text1"/>
                <w14:textFill>
                  <w14:solidFill>
                    <w14:schemeClr w14:val="tx1"/>
                  </w14:solidFill>
                </w14:textFill>
              </w:rPr>
              <w:t>分析</w:t>
            </w:r>
          </w:p>
          <w:p w14:paraId="7220F99F">
            <w:pPr>
              <w:pStyle w:val="69"/>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本项目周边无生态环境保护目标，无生态环境影响。</w:t>
            </w:r>
          </w:p>
          <w:p w14:paraId="2586E6A0">
            <w:pPr>
              <w:pStyle w:val="69"/>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7、</w:t>
            </w:r>
            <w:r>
              <w:rPr>
                <w:b/>
                <w:bCs/>
                <w:color w:val="000000" w:themeColor="text1"/>
                <w14:textFill>
                  <w14:solidFill>
                    <w14:schemeClr w14:val="tx1"/>
                  </w14:solidFill>
                </w14:textFill>
              </w:rPr>
              <w:t>环境风险分析</w:t>
            </w:r>
          </w:p>
          <w:p w14:paraId="62E7D0A9">
            <w:pPr>
              <w:pStyle w:val="11"/>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（1）风险调查</w:t>
            </w:r>
          </w:p>
          <w:p w14:paraId="1474B46F">
            <w:pPr>
              <w:keepNext w:val="0"/>
              <w:keepLines w:val="0"/>
              <w:pageBreakBefore w:val="0"/>
              <w:widowControl/>
              <w:suppressLineNumbers w:val="0"/>
              <w:kinsoku/>
              <w:wordWrap/>
              <w:overflowPunct/>
              <w:topLinePunct w:val="0"/>
              <w:autoSpaceDE/>
              <w:autoSpaceDN/>
              <w:bidi w:val="0"/>
              <w:adjustRightInd/>
              <w:snapToGrid/>
              <w:ind w:right="0"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color w:val="auto"/>
              </w:rPr>
              <w:t>依据《建设项目环境风险评价技术导则》 （HJ169-2018）表B.1可知</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，本项目环境风险物质</w:t>
            </w:r>
            <w:r>
              <w:rPr>
                <w:rFonts w:hint="eastAsia" w:cs="Times New Roman"/>
                <w:color w:val="000000" w:themeColor="text1"/>
                <w:kern w:val="0"/>
                <w:sz w:val="24"/>
                <w:szCs w:val="24"/>
                <w:lang w:val="en-US" w:eastAsia="zh-CN" w:bidi="ar"/>
                <w14:textFill>
                  <w14:solidFill>
                    <w14:schemeClr w14:val="tx1"/>
                  </w14:solidFill>
                </w14:textFill>
              </w:rPr>
              <w:t>主要</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为</w:t>
            </w:r>
            <w:r>
              <w:rPr>
                <w:rFonts w:hint="eastAsia" w:cs="Times New Roman"/>
                <w:color w:val="000000" w:themeColor="text1"/>
                <w:sz w:val="24"/>
                <w:szCs w:val="24"/>
                <w:highlight w:val="none"/>
                <w:lang w:val="en-US" w:eastAsia="zh-CN"/>
                <w14:textFill>
                  <w14:solidFill>
                    <w14:schemeClr w14:val="tx1"/>
                  </w14:solidFill>
                </w14:textFill>
              </w:rPr>
              <w:t>液压油和危险废物</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等。</w:t>
            </w:r>
          </w:p>
          <w:p w14:paraId="265EF279">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color w:val="000000" w:themeColor="text1"/>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t>项目涉及危险物质数量与临界量比值（Q）见</w:t>
            </w:r>
            <w:r>
              <w:rPr>
                <w:rFonts w:hint="eastAsia" w:ascii="Times New Roman" w:hAnsi="Times New Roman" w:eastAsia="宋体"/>
                <w:color w:val="000000" w:themeColor="text1"/>
                <w:highlight w:val="none"/>
                <w:lang w:val="en-US" w:eastAsia="zh-CN"/>
                <w14:textFill>
                  <w14:solidFill>
                    <w14:schemeClr w14:val="tx1"/>
                  </w14:solidFill>
                </w14:textFill>
              </w:rPr>
              <w:t>下</w:t>
            </w:r>
            <w:r>
              <w:rPr>
                <w:rFonts w:hint="default" w:ascii="Times New Roman" w:hAnsi="Times New Roman" w:eastAsia="宋体"/>
                <w:color w:val="000000" w:themeColor="text1"/>
                <w:highlight w:val="none"/>
                <w:lang w:val="en-US" w:eastAsia="zh-CN"/>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w:t>
            </w:r>
          </w:p>
          <w:p w14:paraId="1C906940">
            <w:pPr>
              <w:pStyle w:val="57"/>
              <w:shd w:val="clear"/>
              <w:bidi w:val="0"/>
              <w:spacing w:line="240" w:lineRule="auto"/>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olor w:val="000000" w:themeColor="text1"/>
                <w:highlight w:val="none"/>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 xml:space="preserve">4-17 </w:t>
            </w:r>
            <w:r>
              <w:rPr>
                <w:rFonts w:hint="default" w:ascii="Times New Roman" w:hAnsi="Times New Roman" w:eastAsia="宋体"/>
                <w:color w:val="000000" w:themeColor="text1"/>
                <w:highlight w:val="none"/>
                <w14:textFill>
                  <w14:solidFill>
                    <w14:schemeClr w14:val="tx1"/>
                  </w14:solidFill>
                </w14:textFill>
              </w:rPr>
              <w:t xml:space="preserve"> 建设项目Q值确定表</w:t>
            </w:r>
          </w:p>
          <w:tbl>
            <w:tblPr>
              <w:tblStyle w:val="2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35"/>
              <w:gridCol w:w="1858"/>
              <w:gridCol w:w="2811"/>
              <w:gridCol w:w="1058"/>
              <w:gridCol w:w="1564"/>
            </w:tblGrid>
            <w:tr w14:paraId="31346F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14" w:type="pct"/>
                  <w:tcBorders>
                    <w:tl2br w:val="nil"/>
                    <w:tr2bl w:val="nil"/>
                  </w:tcBorders>
                  <w:noWrap w:val="0"/>
                  <w:vAlign w:val="center"/>
                </w:tcPr>
                <w:p w14:paraId="2864A61C">
                  <w:pPr>
                    <w:pStyle w:val="54"/>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1143" w:type="pct"/>
                  <w:tcBorders>
                    <w:tl2br w:val="nil"/>
                    <w:tr2bl w:val="nil"/>
                  </w:tcBorders>
                  <w:noWrap w:val="0"/>
                  <w:vAlign w:val="center"/>
                </w:tcPr>
                <w:p w14:paraId="206B55C1">
                  <w:pPr>
                    <w:pStyle w:val="54"/>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危险物质名称</w:t>
                  </w:r>
                </w:p>
              </w:tc>
              <w:tc>
                <w:tcPr>
                  <w:tcW w:w="1729" w:type="pct"/>
                  <w:tcBorders>
                    <w:tl2br w:val="nil"/>
                    <w:tr2bl w:val="nil"/>
                  </w:tcBorders>
                  <w:noWrap w:val="0"/>
                  <w:vAlign w:val="center"/>
                </w:tcPr>
                <w:p w14:paraId="6C5C0437">
                  <w:pPr>
                    <w:pStyle w:val="54"/>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厂区最大暂存</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量/t</w:t>
                  </w:r>
                </w:p>
              </w:tc>
              <w:tc>
                <w:tcPr>
                  <w:tcW w:w="649" w:type="pct"/>
                  <w:tcBorders>
                    <w:tl2br w:val="nil"/>
                    <w:tr2bl w:val="nil"/>
                  </w:tcBorders>
                  <w:noWrap w:val="0"/>
                  <w:vAlign w:val="center"/>
                </w:tcPr>
                <w:p w14:paraId="0A60A403">
                  <w:pPr>
                    <w:pStyle w:val="54"/>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临界量</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/t</w:t>
                  </w:r>
                </w:p>
              </w:tc>
              <w:tc>
                <w:tcPr>
                  <w:tcW w:w="962" w:type="pct"/>
                  <w:tcBorders>
                    <w:tl2br w:val="nil"/>
                    <w:tr2bl w:val="nil"/>
                  </w:tcBorders>
                  <w:noWrap w:val="0"/>
                  <w:vAlign w:val="center"/>
                </w:tcPr>
                <w:p w14:paraId="32D42E03">
                  <w:pPr>
                    <w:pStyle w:val="54"/>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Q值</w:t>
                  </w:r>
                </w:p>
              </w:tc>
            </w:tr>
            <w:tr w14:paraId="7371E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14" w:type="pct"/>
                  <w:tcBorders>
                    <w:tl2br w:val="nil"/>
                    <w:tr2bl w:val="nil"/>
                  </w:tcBorders>
                  <w:noWrap w:val="0"/>
                  <w:vAlign w:val="center"/>
                </w:tcPr>
                <w:p w14:paraId="3250C565">
                  <w:pPr>
                    <w:pStyle w:val="54"/>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1143" w:type="pct"/>
                  <w:tcBorders>
                    <w:tl2br w:val="nil"/>
                    <w:tr2bl w:val="nil"/>
                  </w:tcBorders>
                  <w:noWrap w:val="0"/>
                  <w:vAlign w:val="center"/>
                </w:tcPr>
                <w:p w14:paraId="637C17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机油</w:t>
                  </w:r>
                </w:p>
              </w:tc>
              <w:tc>
                <w:tcPr>
                  <w:tcW w:w="1729" w:type="pct"/>
                  <w:tcBorders>
                    <w:tl2br w:val="nil"/>
                    <w:tr2bl w:val="nil"/>
                  </w:tcBorders>
                  <w:noWrap w:val="0"/>
                  <w:vAlign w:val="center"/>
                </w:tcPr>
                <w:p w14:paraId="182253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2"/>
                      <w:sz w:val="21"/>
                      <w:szCs w:val="21"/>
                      <w:highlight w:val="none"/>
                      <w:vertAlign w:val="baseline"/>
                      <w:lang w:val="en-US" w:eastAsia="zh-CN" w:bidi="ar-SA"/>
                      <w14:textFill>
                        <w14:solidFill>
                          <w14:schemeClr w14:val="tx1"/>
                        </w14:solidFill>
                      </w14:textFill>
                    </w:rPr>
                    <w:t>0.1</w:t>
                  </w:r>
                </w:p>
              </w:tc>
              <w:tc>
                <w:tcPr>
                  <w:tcW w:w="649" w:type="pct"/>
                  <w:tcBorders>
                    <w:tl2br w:val="nil"/>
                    <w:tr2bl w:val="nil"/>
                  </w:tcBorders>
                  <w:noWrap w:val="0"/>
                  <w:vAlign w:val="center"/>
                </w:tcPr>
                <w:p w14:paraId="0479CF8F">
                  <w:pPr>
                    <w:pStyle w:val="54"/>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2500</w:t>
                  </w:r>
                </w:p>
              </w:tc>
              <w:tc>
                <w:tcPr>
                  <w:tcW w:w="962" w:type="pct"/>
                  <w:tcBorders>
                    <w:tl2br w:val="nil"/>
                    <w:tr2bl w:val="nil"/>
                  </w:tcBorders>
                  <w:noWrap w:val="0"/>
                  <w:vAlign w:val="center"/>
                </w:tcPr>
                <w:p w14:paraId="453FFC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0.00004</w:t>
                  </w:r>
                </w:p>
              </w:tc>
            </w:tr>
            <w:tr w14:paraId="141886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14" w:type="pct"/>
                  <w:tcBorders>
                    <w:tl2br w:val="nil"/>
                    <w:tr2bl w:val="nil"/>
                  </w:tcBorders>
                  <w:noWrap w:val="0"/>
                  <w:vAlign w:val="center"/>
                </w:tcPr>
                <w:p w14:paraId="1FC86799">
                  <w:pPr>
                    <w:pStyle w:val="54"/>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1143" w:type="pct"/>
                  <w:tcBorders>
                    <w:tl2br w:val="nil"/>
                    <w:tr2bl w:val="nil"/>
                  </w:tcBorders>
                  <w:noWrap w:val="0"/>
                  <w:vAlign w:val="center"/>
                </w:tcPr>
                <w:p w14:paraId="07F6E7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液压油</w:t>
                  </w:r>
                </w:p>
              </w:tc>
              <w:tc>
                <w:tcPr>
                  <w:tcW w:w="1729" w:type="pct"/>
                  <w:tcBorders>
                    <w:tl2br w:val="nil"/>
                    <w:tr2bl w:val="nil"/>
                  </w:tcBorders>
                  <w:noWrap w:val="0"/>
                  <w:vAlign w:val="center"/>
                </w:tcPr>
                <w:p w14:paraId="5D7AB7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2"/>
                      <w:sz w:val="21"/>
                      <w:szCs w:val="21"/>
                      <w:highlight w:val="none"/>
                      <w:vertAlign w:val="baseline"/>
                      <w:lang w:val="en-US" w:eastAsia="zh-CN" w:bidi="ar-SA"/>
                      <w14:textFill>
                        <w14:solidFill>
                          <w14:schemeClr w14:val="tx1"/>
                        </w14:solidFill>
                      </w14:textFill>
                    </w:rPr>
                    <w:t>1</w:t>
                  </w:r>
                </w:p>
              </w:tc>
              <w:tc>
                <w:tcPr>
                  <w:tcW w:w="649" w:type="pct"/>
                  <w:tcBorders>
                    <w:tl2br w:val="nil"/>
                    <w:tr2bl w:val="nil"/>
                  </w:tcBorders>
                  <w:noWrap w:val="0"/>
                  <w:vAlign w:val="center"/>
                </w:tcPr>
                <w:p w14:paraId="213EBE83">
                  <w:pPr>
                    <w:pStyle w:val="54"/>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2500</w:t>
                  </w:r>
                </w:p>
              </w:tc>
              <w:tc>
                <w:tcPr>
                  <w:tcW w:w="962" w:type="pct"/>
                  <w:tcBorders>
                    <w:tl2br w:val="nil"/>
                    <w:tr2bl w:val="nil"/>
                  </w:tcBorders>
                  <w:noWrap w:val="0"/>
                  <w:vAlign w:val="center"/>
                </w:tcPr>
                <w:p w14:paraId="6B0774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0.0004</w:t>
                  </w:r>
                </w:p>
              </w:tc>
            </w:tr>
            <w:tr w14:paraId="593929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54" w:hRule="atLeast"/>
              </w:trPr>
              <w:tc>
                <w:tcPr>
                  <w:tcW w:w="514" w:type="pct"/>
                  <w:tcBorders>
                    <w:tl2br w:val="nil"/>
                    <w:tr2bl w:val="nil"/>
                  </w:tcBorders>
                  <w:noWrap w:val="0"/>
                  <w:vAlign w:val="center"/>
                </w:tcPr>
                <w:p w14:paraId="0928C2C0">
                  <w:pPr>
                    <w:pStyle w:val="54"/>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w:t>
                  </w:r>
                </w:p>
              </w:tc>
              <w:tc>
                <w:tcPr>
                  <w:tcW w:w="1143" w:type="pct"/>
                  <w:tcBorders>
                    <w:tl2br w:val="nil"/>
                    <w:tr2bl w:val="nil"/>
                  </w:tcBorders>
                  <w:noWrap w:val="0"/>
                  <w:vAlign w:val="center"/>
                </w:tcPr>
                <w:p w14:paraId="006227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危险废物</w:t>
                  </w:r>
                </w:p>
              </w:tc>
              <w:tc>
                <w:tcPr>
                  <w:tcW w:w="1729" w:type="pct"/>
                  <w:tcBorders>
                    <w:tl2br w:val="nil"/>
                    <w:tr2bl w:val="nil"/>
                  </w:tcBorders>
                  <w:noWrap w:val="0"/>
                  <w:vAlign w:val="center"/>
                </w:tcPr>
                <w:p w14:paraId="64FF95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2"/>
                      <w:sz w:val="21"/>
                      <w:szCs w:val="21"/>
                      <w:highlight w:val="none"/>
                      <w:vertAlign w:val="baseline"/>
                      <w:lang w:val="en-US" w:eastAsia="zh-CN" w:bidi="ar-SA"/>
                      <w14:textFill>
                        <w14:solidFill>
                          <w14:schemeClr w14:val="tx1"/>
                        </w14:solidFill>
                      </w14:textFill>
                    </w:rPr>
                    <w:t>2.99</w:t>
                  </w:r>
                </w:p>
              </w:tc>
              <w:tc>
                <w:tcPr>
                  <w:tcW w:w="649" w:type="pct"/>
                  <w:tcBorders>
                    <w:tl2br w:val="nil"/>
                    <w:tr2bl w:val="nil"/>
                  </w:tcBorders>
                  <w:noWrap w:val="0"/>
                  <w:vAlign w:val="center"/>
                </w:tcPr>
                <w:p w14:paraId="2E874568">
                  <w:pPr>
                    <w:pStyle w:val="54"/>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50</w:t>
                  </w:r>
                </w:p>
              </w:tc>
              <w:tc>
                <w:tcPr>
                  <w:tcW w:w="962" w:type="pct"/>
                  <w:tcBorders>
                    <w:tl2br w:val="nil"/>
                    <w:tr2bl w:val="nil"/>
                  </w:tcBorders>
                  <w:noWrap w:val="0"/>
                  <w:vAlign w:val="center"/>
                </w:tcPr>
                <w:p w14:paraId="77856A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0.0598</w:t>
                  </w:r>
                </w:p>
              </w:tc>
            </w:tr>
            <w:tr w14:paraId="09F94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037" w:type="pct"/>
                  <w:gridSpan w:val="4"/>
                  <w:tcBorders>
                    <w:tl2br w:val="nil"/>
                    <w:tr2bl w:val="nil"/>
                  </w:tcBorders>
                  <w:noWrap w:val="0"/>
                  <w:vAlign w:val="center"/>
                </w:tcPr>
                <w:p w14:paraId="66EF7E9E">
                  <w:pPr>
                    <w:pStyle w:val="54"/>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项目Q值Σ</w:t>
                  </w:r>
                </w:p>
              </w:tc>
              <w:tc>
                <w:tcPr>
                  <w:tcW w:w="962" w:type="pct"/>
                  <w:tcBorders>
                    <w:tl2br w:val="nil"/>
                    <w:tr2bl w:val="nil"/>
                  </w:tcBorders>
                  <w:noWrap w:val="0"/>
                  <w:vAlign w:val="center"/>
                </w:tcPr>
                <w:p w14:paraId="6E344A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0.06024</w:t>
                  </w:r>
                </w:p>
              </w:tc>
            </w:tr>
          </w:tbl>
          <w:p w14:paraId="25239E96">
            <w:pPr>
              <w:ind w:firstLine="480" w:firstLineChars="200"/>
              <w:rPr>
                <w:color w:val="000000" w:themeColor="text1"/>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由上表可知，本项目Q&lt;1，可直接判定本项目的环境风险潜</w:t>
            </w:r>
            <w:r>
              <w:rPr>
                <w:rFonts w:hint="default" w:ascii="Times New Roman" w:hAnsi="Times New Roman" w:eastAsia="宋体"/>
                <w:color w:val="000000" w:themeColor="text1"/>
                <w:highlight w:val="none"/>
                <w:lang w:val="en-US" w:eastAsia="zh-CN"/>
                <w14:textFill>
                  <w14:solidFill>
                    <w14:schemeClr w14:val="tx1"/>
                  </w14:solidFill>
                </w14:textFill>
              </w:rPr>
              <w:t>势为Ⅰ</w:t>
            </w:r>
            <w:r>
              <w:rPr>
                <w:rFonts w:hint="eastAsia"/>
                <w:color w:val="000000" w:themeColor="text1"/>
                <w:highlight w:val="none"/>
                <w:lang w:val="en-US" w:eastAsia="zh-CN"/>
                <w14:textFill>
                  <w14:solidFill>
                    <w14:schemeClr w14:val="tx1"/>
                  </w14:solidFill>
                </w14:textFill>
              </w:rPr>
              <w:t>。</w:t>
            </w:r>
          </w:p>
          <w:p w14:paraId="4E64969D">
            <w:pPr>
              <w:adjustRightInd w:val="0"/>
              <w:snapToGrid w:val="0"/>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）环境风险识别与分析</w:t>
            </w:r>
          </w:p>
          <w:p w14:paraId="09B3B50C">
            <w:pPr>
              <w:adjustRightInd w:val="0"/>
              <w:snapToGrid w:val="0"/>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根据导则要求，环境风险评价的风险识别范围主要包括生产设施风险识别以及生产过程中物质风险识别。</w:t>
            </w:r>
          </w:p>
          <w:p w14:paraId="3E2D0944">
            <w:pPr>
              <w:adjustRightInd w:val="0"/>
              <w:snapToGrid w:val="0"/>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建设项目运营期环境风险识别结果见下表。</w:t>
            </w:r>
          </w:p>
          <w:p w14:paraId="72828F6E">
            <w:pPr>
              <w:pStyle w:val="63"/>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表4-</w:t>
            </w:r>
            <w:r>
              <w:rPr>
                <w:rFonts w:hint="eastAsia"/>
                <w:color w:val="000000" w:themeColor="text1"/>
                <w:lang w:val="en-US" w:eastAsia="zh-CN"/>
                <w14:textFill>
                  <w14:solidFill>
                    <w14:schemeClr w14:val="tx1"/>
                  </w14:solidFill>
                </w14:textFill>
              </w:rPr>
              <w:t xml:space="preserve">18 </w:t>
            </w:r>
            <w:r>
              <w:rPr>
                <w:rFonts w:hint="eastAsia"/>
                <w:color w:val="000000" w:themeColor="text1"/>
                <w14:textFill>
                  <w14:solidFill>
                    <w14:schemeClr w14:val="tx1"/>
                  </w14:solidFill>
                </w14:textFill>
              </w:rPr>
              <w:t xml:space="preserve"> 环境风险识别一览表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9"/>
              <w:gridCol w:w="1498"/>
              <w:gridCol w:w="1882"/>
              <w:gridCol w:w="1713"/>
              <w:gridCol w:w="1786"/>
            </w:tblGrid>
            <w:tr w14:paraId="7F66E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pct"/>
                  <w:noWrap w:val="0"/>
                  <w:vAlign w:val="center"/>
                </w:tcPr>
                <w:p w14:paraId="78298086">
                  <w:pPr>
                    <w:pStyle w:val="55"/>
                    <w:snapToGrid w:val="0"/>
                    <w:rPr>
                      <w:b/>
                      <w:bCs/>
                      <w:color w:val="000000" w:themeColor="text1"/>
                      <w14:textFill>
                        <w14:solidFill>
                          <w14:schemeClr w14:val="tx1"/>
                        </w14:solidFill>
                      </w14:textFill>
                    </w:rPr>
                  </w:pPr>
                  <w:r>
                    <w:rPr>
                      <w:b/>
                      <w:bCs/>
                      <w:color w:val="000000" w:themeColor="text1"/>
                      <w14:textFill>
                        <w14:solidFill>
                          <w14:schemeClr w14:val="tx1"/>
                        </w14:solidFill>
                      </w14:textFill>
                    </w:rPr>
                    <w:t>系统名称</w:t>
                  </w:r>
                </w:p>
              </w:tc>
              <w:tc>
                <w:tcPr>
                  <w:tcW w:w="921" w:type="pct"/>
                  <w:noWrap w:val="0"/>
                  <w:vAlign w:val="center"/>
                </w:tcPr>
                <w:p w14:paraId="2F6BAC63">
                  <w:pPr>
                    <w:pStyle w:val="55"/>
                    <w:snapToGrid w:val="0"/>
                    <w:rPr>
                      <w:b/>
                      <w:bCs/>
                      <w:color w:val="000000" w:themeColor="text1"/>
                      <w14:textFill>
                        <w14:solidFill>
                          <w14:schemeClr w14:val="tx1"/>
                        </w14:solidFill>
                      </w14:textFill>
                    </w:rPr>
                  </w:pPr>
                  <w:r>
                    <w:rPr>
                      <w:b/>
                      <w:bCs/>
                      <w:color w:val="000000" w:themeColor="text1"/>
                      <w14:textFill>
                        <w14:solidFill>
                          <w14:schemeClr w14:val="tx1"/>
                        </w14:solidFill>
                      </w14:textFill>
                    </w:rPr>
                    <w:t>危险单元</w:t>
                  </w:r>
                </w:p>
              </w:tc>
              <w:tc>
                <w:tcPr>
                  <w:tcW w:w="1157" w:type="pct"/>
                  <w:noWrap w:val="0"/>
                  <w:vAlign w:val="center"/>
                </w:tcPr>
                <w:p w14:paraId="45C65DFC">
                  <w:pPr>
                    <w:pStyle w:val="55"/>
                    <w:snapToGrid w:val="0"/>
                    <w:rPr>
                      <w:b/>
                      <w:bCs/>
                      <w:color w:val="000000" w:themeColor="text1"/>
                      <w14:textFill>
                        <w14:solidFill>
                          <w14:schemeClr w14:val="tx1"/>
                        </w14:solidFill>
                      </w14:textFill>
                    </w:rPr>
                  </w:pPr>
                  <w:r>
                    <w:rPr>
                      <w:b/>
                      <w:bCs/>
                      <w:color w:val="000000" w:themeColor="text1"/>
                      <w14:textFill>
                        <w14:solidFill>
                          <w14:schemeClr w14:val="tx1"/>
                        </w14:solidFill>
                      </w14:textFill>
                    </w:rPr>
                    <w:t>主要危险物质</w:t>
                  </w:r>
                </w:p>
              </w:tc>
              <w:tc>
                <w:tcPr>
                  <w:tcW w:w="1053" w:type="pct"/>
                  <w:noWrap w:val="0"/>
                  <w:vAlign w:val="center"/>
                </w:tcPr>
                <w:p w14:paraId="4F99BABF">
                  <w:pPr>
                    <w:pStyle w:val="55"/>
                    <w:snapToGrid w:val="0"/>
                    <w:rPr>
                      <w:b/>
                      <w:bCs/>
                      <w:color w:val="000000" w:themeColor="text1"/>
                      <w14:textFill>
                        <w14:solidFill>
                          <w14:schemeClr w14:val="tx1"/>
                        </w14:solidFill>
                      </w14:textFill>
                    </w:rPr>
                  </w:pPr>
                  <w:r>
                    <w:rPr>
                      <w:b/>
                      <w:bCs/>
                      <w:color w:val="000000" w:themeColor="text1"/>
                      <w14:textFill>
                        <w14:solidFill>
                          <w14:schemeClr w14:val="tx1"/>
                        </w14:solidFill>
                      </w14:textFill>
                    </w:rPr>
                    <w:t>环境风险类型</w:t>
                  </w:r>
                </w:p>
              </w:tc>
              <w:tc>
                <w:tcPr>
                  <w:tcW w:w="1098" w:type="pct"/>
                  <w:noWrap w:val="0"/>
                  <w:vAlign w:val="center"/>
                </w:tcPr>
                <w:p w14:paraId="1906CEB1">
                  <w:pPr>
                    <w:pStyle w:val="55"/>
                    <w:snapToGrid w:val="0"/>
                    <w:rPr>
                      <w:b/>
                      <w:bCs/>
                      <w:color w:val="000000" w:themeColor="text1"/>
                      <w14:textFill>
                        <w14:solidFill>
                          <w14:schemeClr w14:val="tx1"/>
                        </w14:solidFill>
                      </w14:textFill>
                    </w:rPr>
                  </w:pPr>
                  <w:r>
                    <w:rPr>
                      <w:b/>
                      <w:bCs/>
                      <w:color w:val="000000" w:themeColor="text1"/>
                      <w14:textFill>
                        <w14:solidFill>
                          <w14:schemeClr w14:val="tx1"/>
                        </w14:solidFill>
                      </w14:textFill>
                    </w:rPr>
                    <w:t>环境影响途径</w:t>
                  </w:r>
                </w:p>
              </w:tc>
            </w:tr>
            <w:tr w14:paraId="359B4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pct"/>
                  <w:noWrap w:val="0"/>
                  <w:vAlign w:val="center"/>
                </w:tcPr>
                <w:p w14:paraId="7AAF28DB">
                  <w:pPr>
                    <w:pStyle w:val="55"/>
                    <w:snapToGrid w:val="0"/>
                    <w:rPr>
                      <w:color w:val="000000" w:themeColor="text1"/>
                      <w14:textFill>
                        <w14:solidFill>
                          <w14:schemeClr w14:val="tx1"/>
                        </w14:solidFill>
                      </w14:textFill>
                    </w:rPr>
                  </w:pPr>
                  <w:r>
                    <w:rPr>
                      <w:color w:val="000000" w:themeColor="text1"/>
                      <w14:textFill>
                        <w14:solidFill>
                          <w14:schemeClr w14:val="tx1"/>
                        </w14:solidFill>
                      </w14:textFill>
                    </w:rPr>
                    <w:t>储运设施</w:t>
                  </w:r>
                </w:p>
              </w:tc>
              <w:tc>
                <w:tcPr>
                  <w:tcW w:w="921" w:type="pct"/>
                  <w:noWrap w:val="0"/>
                  <w:vAlign w:val="center"/>
                </w:tcPr>
                <w:p w14:paraId="520F7023">
                  <w:pPr>
                    <w:pStyle w:val="55"/>
                    <w:snapToGrid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原料放置区</w:t>
                  </w:r>
                </w:p>
              </w:tc>
              <w:tc>
                <w:tcPr>
                  <w:tcW w:w="1157" w:type="pct"/>
                  <w:noWrap w:val="0"/>
                  <w:vAlign w:val="center"/>
                </w:tcPr>
                <w:p w14:paraId="6EA1F6F4">
                  <w:pPr>
                    <w:pStyle w:val="55"/>
                    <w:snapToGrid w:val="0"/>
                    <w:rPr>
                      <w:rFonts w:hint="default"/>
                      <w:color w:val="000000" w:themeColor="text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机油</w:t>
                  </w:r>
                </w:p>
              </w:tc>
              <w:tc>
                <w:tcPr>
                  <w:tcW w:w="1053" w:type="pct"/>
                  <w:noWrap w:val="0"/>
                  <w:vAlign w:val="center"/>
                </w:tcPr>
                <w:p w14:paraId="322BDEA4">
                  <w:pPr>
                    <w:pStyle w:val="55"/>
                    <w:snapToGrid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泄漏</w:t>
                  </w:r>
                </w:p>
              </w:tc>
              <w:tc>
                <w:tcPr>
                  <w:tcW w:w="1098" w:type="pct"/>
                  <w:noWrap w:val="0"/>
                  <w:vAlign w:val="center"/>
                </w:tcPr>
                <w:p w14:paraId="48B7F274">
                  <w:pPr>
                    <w:pStyle w:val="55"/>
                    <w:snapToGrid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地下水、土壤</w:t>
                  </w:r>
                </w:p>
              </w:tc>
            </w:tr>
            <w:tr w14:paraId="46B3F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pct"/>
                  <w:noWrap w:val="0"/>
                  <w:vAlign w:val="center"/>
                </w:tcPr>
                <w:p w14:paraId="179B6C24">
                  <w:pPr>
                    <w:pStyle w:val="55"/>
                    <w:snapToGrid w:val="0"/>
                    <w:rPr>
                      <w:color w:val="000000" w:themeColor="text1"/>
                      <w14:textFill>
                        <w14:solidFill>
                          <w14:schemeClr w14:val="tx1"/>
                        </w14:solidFill>
                      </w14:textFill>
                    </w:rPr>
                  </w:pPr>
                  <w:r>
                    <w:rPr>
                      <w:color w:val="000000" w:themeColor="text1"/>
                      <w14:textFill>
                        <w14:solidFill>
                          <w14:schemeClr w14:val="tx1"/>
                        </w14:solidFill>
                      </w14:textFill>
                    </w:rPr>
                    <w:t>环保设施</w:t>
                  </w:r>
                </w:p>
              </w:tc>
              <w:tc>
                <w:tcPr>
                  <w:tcW w:w="921" w:type="pct"/>
                  <w:noWrap w:val="0"/>
                  <w:vAlign w:val="center"/>
                </w:tcPr>
                <w:p w14:paraId="458E807A">
                  <w:pPr>
                    <w:pStyle w:val="55"/>
                    <w:snapToGrid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危废库</w:t>
                  </w:r>
                </w:p>
              </w:tc>
              <w:tc>
                <w:tcPr>
                  <w:tcW w:w="1157" w:type="pct"/>
                  <w:noWrap w:val="0"/>
                  <w:vAlign w:val="center"/>
                </w:tcPr>
                <w:p w14:paraId="2183E65F">
                  <w:pPr>
                    <w:pStyle w:val="55"/>
                    <w:snapToGrid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废液压油、废油桶、废活性炭、含油抹布等危废</w:t>
                  </w:r>
                </w:p>
              </w:tc>
              <w:tc>
                <w:tcPr>
                  <w:tcW w:w="1053" w:type="pct"/>
                  <w:noWrap w:val="0"/>
                  <w:vAlign w:val="center"/>
                </w:tcPr>
                <w:p w14:paraId="33355AF6">
                  <w:pPr>
                    <w:pStyle w:val="55"/>
                    <w:snapToGrid w:val="0"/>
                    <w:rPr>
                      <w:rFonts w:hint="eastAsia"/>
                      <w:color w:val="000000" w:themeColor="text1"/>
                      <w14:textFill>
                        <w14:solidFill>
                          <w14:schemeClr w14:val="tx1"/>
                        </w14:solidFill>
                      </w14:textFill>
                    </w:rPr>
                  </w:pPr>
                  <w:r>
                    <w:rPr>
                      <w:color w:val="000000" w:themeColor="text1"/>
                      <w14:textFill>
                        <w14:solidFill>
                          <w14:schemeClr w14:val="tx1"/>
                        </w14:solidFill>
                      </w14:textFill>
                    </w:rPr>
                    <w:t>盛装容器破损导致</w:t>
                  </w:r>
                  <w:r>
                    <w:rPr>
                      <w:rFonts w:hint="eastAsia"/>
                      <w:color w:val="000000" w:themeColor="text1"/>
                      <w14:textFill>
                        <w14:solidFill>
                          <w14:schemeClr w14:val="tx1"/>
                        </w14:solidFill>
                      </w14:textFill>
                    </w:rPr>
                    <w:t>泄漏</w:t>
                  </w:r>
                </w:p>
              </w:tc>
              <w:tc>
                <w:tcPr>
                  <w:tcW w:w="1098" w:type="pct"/>
                  <w:noWrap w:val="0"/>
                  <w:vAlign w:val="center"/>
                </w:tcPr>
                <w:p w14:paraId="052B0A5C">
                  <w:pPr>
                    <w:pStyle w:val="55"/>
                    <w:snapToGrid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地下水、土壤</w:t>
                  </w:r>
                </w:p>
              </w:tc>
            </w:tr>
          </w:tbl>
          <w:p w14:paraId="42F4BCAC">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）环境风险防范措施</w:t>
            </w:r>
          </w:p>
          <w:p w14:paraId="6157A3A1">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本项目涉及风险的区域主要在危废库和</w:t>
            </w:r>
            <w:r>
              <w:rPr>
                <w:rFonts w:hint="eastAsia"/>
                <w:color w:val="000000" w:themeColor="text1"/>
                <w:lang w:val="en-US" w:eastAsia="zh-CN"/>
                <w14:textFill>
                  <w14:solidFill>
                    <w14:schemeClr w14:val="tx1"/>
                  </w14:solidFill>
                </w14:textFill>
              </w:rPr>
              <w:t>原料放置区</w:t>
            </w:r>
            <w:r>
              <w:rPr>
                <w:rFonts w:hint="eastAsia"/>
                <w:color w:val="000000" w:themeColor="text1"/>
                <w14:textFill>
                  <w14:solidFill>
                    <w14:schemeClr w14:val="tx1"/>
                  </w14:solidFill>
                </w14:textFill>
              </w:rPr>
              <w:t>。</w:t>
            </w:r>
          </w:p>
          <w:p w14:paraId="548EB55A">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①项目</w:t>
            </w:r>
            <w:r>
              <w:rPr>
                <w:rFonts w:hint="eastAsia"/>
                <w:color w:val="000000" w:themeColor="text1"/>
                <w:sz w:val="24"/>
                <w:szCs w:val="24"/>
                <w:lang w:val="en-US" w:eastAsia="zh-CN"/>
                <w14:textFill>
                  <w14:solidFill>
                    <w14:schemeClr w14:val="tx1"/>
                  </w14:solidFill>
                </w14:textFill>
              </w:rPr>
              <w:t>原料放置区中的原料机油</w:t>
            </w:r>
            <w:r>
              <w:rPr>
                <w:rFonts w:hint="eastAsia"/>
                <w:color w:val="000000" w:themeColor="text1"/>
                <w:sz w:val="24"/>
                <w:szCs w:val="24"/>
                <w:highlight w:val="none"/>
                <w:lang w:val="en-US" w:eastAsia="zh-CN"/>
                <w14:textFill>
                  <w14:solidFill>
                    <w14:schemeClr w14:val="tx1"/>
                  </w14:solidFill>
                </w14:textFill>
              </w:rPr>
              <w:t>放置于托盘内；若包装桶破损，能够有效防止液体的外泄，避免对环境造成污染和危害，及时清理和转移液体。</w:t>
            </w:r>
          </w:p>
          <w:p w14:paraId="4DD02C5A">
            <w:pPr>
              <w:pStyle w:val="12"/>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②本项目产生的危险废物主要为废液压油、废油桶、废活性炭、含油抹布等，公司拟建一间15m</w:t>
            </w:r>
            <w:r>
              <w:rPr>
                <w:rFonts w:hint="eastAsia"/>
                <w:color w:val="000000" w:themeColor="text1"/>
                <w:sz w:val="24"/>
                <w:szCs w:val="24"/>
                <w:highlight w:val="none"/>
                <w:vertAlign w:val="superscript"/>
                <w:lang w:val="en-US" w:eastAsia="zh-CN"/>
                <w14:textFill>
                  <w14:solidFill>
                    <w14:schemeClr w14:val="tx1"/>
                  </w14:solidFill>
                </w14:textFill>
              </w:rPr>
              <w:t>2</w:t>
            </w:r>
            <w:r>
              <w:rPr>
                <w:rFonts w:hint="eastAsia"/>
                <w:color w:val="000000" w:themeColor="text1"/>
                <w:sz w:val="24"/>
                <w:szCs w:val="24"/>
                <w:highlight w:val="none"/>
                <w:lang w:val="en-US" w:eastAsia="zh-CN"/>
                <w14:textFill>
                  <w14:solidFill>
                    <w14:schemeClr w14:val="tx1"/>
                  </w14:solidFill>
                </w14:textFill>
              </w:rPr>
              <w:t>危废库，位于2F，地面进行重点防渗设计，桶装危废应置于托盘内。</w:t>
            </w:r>
          </w:p>
          <w:p w14:paraId="67D9F325">
            <w:pPr>
              <w:pStyle w:val="11"/>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③厂区雨水排放口设置雨水截断阀。</w:t>
            </w:r>
          </w:p>
          <w:p w14:paraId="27EBD3B3">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（4）结论</w:t>
            </w:r>
          </w:p>
          <w:p w14:paraId="040D545D">
            <w:pPr>
              <w:pStyle w:val="15"/>
              <w:keepNext w:val="0"/>
              <w:keepLines w:val="0"/>
              <w:pageBreakBefore w:val="0"/>
              <w:widowControl/>
              <w:kinsoku/>
              <w:wordWrap/>
              <w:overflowPunct/>
              <w:topLinePunct w:val="0"/>
              <w:autoSpaceDE/>
              <w:autoSpaceDN/>
              <w:bidi w:val="0"/>
              <w:adjustRightInd/>
              <w:snapToGrid/>
              <w:spacing w:after="0"/>
              <w:ind w:left="0" w:leftChars="0" w:right="0" w:rightChars="0" w:firstLine="480" w:firstLineChars="200"/>
              <w:jc w:val="both"/>
              <w:textAlignment w:val="auto"/>
              <w:rPr>
                <w:rFonts w:hint="eastAsia"/>
                <w:b/>
                <w:bCs/>
                <w:color w:val="000000" w:themeColor="text1"/>
                <w:sz w:val="21"/>
                <w:szCs w:val="21"/>
                <w:highlight w:val="none"/>
                <w:lang w:val="en-US" w:eastAsia="zh-CN"/>
                <w14:textFill>
                  <w14:solidFill>
                    <w14:schemeClr w14:val="tx1"/>
                  </w14:solidFill>
                </w14:textFill>
              </w:rPr>
            </w:pPr>
            <w: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t>综上所述，项目在认真落实各项环境风险防范、应急与减缓措施的基础上，可使风险事故对环境的危害得到有效控制，风险水平可接受。</w:t>
            </w:r>
          </w:p>
          <w:p w14:paraId="795031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表4-19  建设项目环境风险简单分析内容表</w:t>
            </w:r>
          </w:p>
          <w:tbl>
            <w:tblPr>
              <w:tblStyle w:val="3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7"/>
              <w:gridCol w:w="930"/>
              <w:gridCol w:w="2374"/>
              <w:gridCol w:w="1059"/>
              <w:gridCol w:w="2119"/>
            </w:tblGrid>
            <w:tr w14:paraId="0A057D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1013" w:type="pct"/>
                  <w:tcBorders>
                    <w:tl2br w:val="nil"/>
                    <w:tr2bl w:val="nil"/>
                  </w:tcBorders>
                  <w:noWrap w:val="0"/>
                  <w:vAlign w:val="center"/>
                </w:tcPr>
                <w:p w14:paraId="5EF9FC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建设项目名称</w:t>
                  </w:r>
                </w:p>
              </w:tc>
              <w:tc>
                <w:tcPr>
                  <w:tcW w:w="3986" w:type="pct"/>
                  <w:gridSpan w:val="4"/>
                  <w:tcBorders>
                    <w:tl2br w:val="nil"/>
                    <w:tr2bl w:val="nil"/>
                  </w:tcBorders>
                  <w:noWrap w:val="0"/>
                  <w:vAlign w:val="center"/>
                </w:tcPr>
                <w:p w14:paraId="2E988B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eastAsia="zh-CN"/>
                      <w14:textFill>
                        <w14:solidFill>
                          <w14:schemeClr w14:val="tx1"/>
                        </w14:solidFill>
                      </w14:textFill>
                    </w:rPr>
                    <w:t>年产600万套高档化妆品包装及新能源汽车塑料零部件项目</w:t>
                  </w:r>
                </w:p>
              </w:tc>
            </w:tr>
            <w:tr w14:paraId="200549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3" w:type="pct"/>
                  <w:tcBorders>
                    <w:tl2br w:val="nil"/>
                    <w:tr2bl w:val="nil"/>
                  </w:tcBorders>
                  <w:noWrap w:val="0"/>
                  <w:vAlign w:val="center"/>
                </w:tcPr>
                <w:p w14:paraId="4BB138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建设地点</w:t>
                  </w:r>
                </w:p>
              </w:tc>
              <w:tc>
                <w:tcPr>
                  <w:tcW w:w="3986" w:type="pct"/>
                  <w:gridSpan w:val="4"/>
                  <w:tcBorders>
                    <w:tl2br w:val="nil"/>
                    <w:tr2bl w:val="nil"/>
                  </w:tcBorders>
                  <w:noWrap w:val="0"/>
                  <w:vAlign w:val="center"/>
                </w:tcPr>
                <w:p w14:paraId="236523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安徽省淮南市潘集经济开发区（北区）</w:t>
                  </w:r>
                </w:p>
              </w:tc>
            </w:tr>
            <w:tr w14:paraId="7314F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3" w:type="pct"/>
                  <w:tcBorders>
                    <w:tl2br w:val="nil"/>
                    <w:tr2bl w:val="nil"/>
                  </w:tcBorders>
                  <w:noWrap w:val="0"/>
                  <w:vAlign w:val="center"/>
                </w:tcPr>
                <w:p w14:paraId="3F5E05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地理坐标</w:t>
                  </w:r>
                </w:p>
              </w:tc>
              <w:tc>
                <w:tcPr>
                  <w:tcW w:w="572" w:type="pct"/>
                  <w:tcBorders>
                    <w:tl2br w:val="nil"/>
                    <w:tr2bl w:val="nil"/>
                  </w:tcBorders>
                  <w:noWrap w:val="0"/>
                  <w:vAlign w:val="center"/>
                </w:tcPr>
                <w:p w14:paraId="07F54D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经度</w:t>
                  </w:r>
                </w:p>
              </w:tc>
              <w:tc>
                <w:tcPr>
                  <w:tcW w:w="1460" w:type="pct"/>
                  <w:tcBorders>
                    <w:tl2br w:val="nil"/>
                    <w:tr2bl w:val="nil"/>
                  </w:tcBorders>
                  <w:noWrap w:val="0"/>
                  <w:vAlign w:val="center"/>
                </w:tcPr>
                <w:p w14:paraId="526A68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116度54分11.482秒</w:t>
                  </w:r>
                </w:p>
              </w:tc>
              <w:tc>
                <w:tcPr>
                  <w:tcW w:w="651" w:type="pct"/>
                  <w:tcBorders>
                    <w:tl2br w:val="nil"/>
                    <w:tr2bl w:val="nil"/>
                  </w:tcBorders>
                  <w:noWrap w:val="0"/>
                  <w:vAlign w:val="center"/>
                </w:tcPr>
                <w:p w14:paraId="25E6B4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纬度</w:t>
                  </w:r>
                </w:p>
              </w:tc>
              <w:tc>
                <w:tcPr>
                  <w:tcW w:w="1301" w:type="pct"/>
                  <w:tcBorders>
                    <w:tl2br w:val="nil"/>
                    <w:tr2bl w:val="nil"/>
                  </w:tcBorders>
                  <w:noWrap w:val="0"/>
                  <w:vAlign w:val="center"/>
                </w:tcPr>
                <w:p w14:paraId="4FAEC8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32度42分4.515秒</w:t>
                  </w:r>
                </w:p>
              </w:tc>
            </w:tr>
            <w:tr w14:paraId="62413B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3" w:type="pct"/>
                  <w:tcBorders>
                    <w:tl2br w:val="nil"/>
                    <w:tr2bl w:val="nil"/>
                  </w:tcBorders>
                  <w:noWrap w:val="0"/>
                  <w:vAlign w:val="center"/>
                </w:tcPr>
                <w:p w14:paraId="44B9C1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主要危险物质及分布</w:t>
                  </w:r>
                </w:p>
              </w:tc>
              <w:tc>
                <w:tcPr>
                  <w:tcW w:w="3986" w:type="pct"/>
                  <w:gridSpan w:val="4"/>
                  <w:tcBorders>
                    <w:tl2br w:val="nil"/>
                    <w:tr2bl w:val="nil"/>
                  </w:tcBorders>
                  <w:noWrap w:val="0"/>
                  <w:vAlign w:val="center"/>
                </w:tcPr>
                <w:p w14:paraId="5413A5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原料放置区：机油；危废库：废液压油、废油桶、废活性炭、含油抹布</w:t>
                  </w:r>
                </w:p>
              </w:tc>
            </w:tr>
            <w:tr w14:paraId="0BA109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3" w:type="pct"/>
                  <w:tcBorders>
                    <w:tl2br w:val="nil"/>
                    <w:tr2bl w:val="nil"/>
                  </w:tcBorders>
                  <w:noWrap w:val="0"/>
                  <w:vAlign w:val="center"/>
                </w:tcPr>
                <w:p w14:paraId="72B30B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环境影响途径及危害后果</w:t>
                  </w:r>
                </w:p>
              </w:tc>
              <w:tc>
                <w:tcPr>
                  <w:tcW w:w="3986" w:type="pct"/>
                  <w:gridSpan w:val="4"/>
                  <w:tcBorders>
                    <w:tl2br w:val="nil"/>
                    <w:tr2bl w:val="nil"/>
                  </w:tcBorders>
                  <w:noWrap w:val="0"/>
                  <w:vAlign w:val="center"/>
                </w:tcPr>
                <w:p w14:paraId="6D475B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泄漏：污染地表水体、土壤环境</w:t>
                  </w:r>
                  <w:r>
                    <w:rPr>
                      <w:rFonts w:hint="eastAsia" w:cs="Times New Roman"/>
                      <w:color w:val="000000" w:themeColor="text1"/>
                      <w:sz w:val="21"/>
                      <w:szCs w:val="21"/>
                      <w:highlight w:val="none"/>
                      <w:vertAlign w:val="baseline"/>
                      <w:lang w:eastAsia="zh-CN"/>
                      <w14:textFill>
                        <w14:solidFill>
                          <w14:schemeClr w14:val="tx1"/>
                        </w14:solidFill>
                      </w14:textFill>
                    </w:rPr>
                    <w:t>、</w:t>
                  </w:r>
                  <w:r>
                    <w:rPr>
                      <w:rFonts w:hint="eastAsia" w:cs="Times New Roman"/>
                      <w:color w:val="000000" w:themeColor="text1"/>
                      <w:sz w:val="21"/>
                      <w:szCs w:val="21"/>
                      <w:highlight w:val="none"/>
                      <w:vertAlign w:val="baseline"/>
                      <w:lang w:val="en-US" w:eastAsia="zh-CN"/>
                      <w14:textFill>
                        <w14:solidFill>
                          <w14:schemeClr w14:val="tx1"/>
                        </w14:solidFill>
                      </w14:textFill>
                    </w:rPr>
                    <w:t>大气环境</w:t>
                  </w:r>
                </w:p>
              </w:tc>
            </w:tr>
            <w:tr w14:paraId="27A8BC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3" w:type="pct"/>
                  <w:tcBorders>
                    <w:tl2br w:val="nil"/>
                    <w:tr2bl w:val="nil"/>
                  </w:tcBorders>
                  <w:noWrap w:val="0"/>
                  <w:vAlign w:val="center"/>
                </w:tcPr>
                <w:p w14:paraId="24E089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风险防范措施要求</w:t>
                  </w:r>
                </w:p>
              </w:tc>
              <w:tc>
                <w:tcPr>
                  <w:tcW w:w="3986" w:type="pct"/>
                  <w:gridSpan w:val="4"/>
                  <w:tcBorders>
                    <w:tl2br w:val="nil"/>
                    <w:tr2bl w:val="nil"/>
                  </w:tcBorders>
                  <w:noWrap w:val="0"/>
                  <w:vAlign w:val="center"/>
                </w:tcPr>
                <w:p w14:paraId="12D6361C">
                  <w:pPr>
                    <w:pStyle w:val="12"/>
                    <w:keepNext w:val="0"/>
                    <w:keepLines w:val="0"/>
                    <w:pageBreakBefore w:val="0"/>
                    <w:kinsoku/>
                    <w:wordWrap/>
                    <w:overflowPunct/>
                    <w:topLinePunct w:val="0"/>
                    <w:autoSpaceDE/>
                    <w:autoSpaceDN/>
                    <w:bidi w:val="0"/>
                    <w:adjustRightInd/>
                    <w:spacing w:before="0" w:after="0" w:line="240" w:lineRule="auto"/>
                    <w:ind w:right="0" w:firstLine="0" w:firstLineChars="0"/>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①项目原料放置区中的原料机油放置于托盘</w:t>
                  </w:r>
                  <w:r>
                    <w:rPr>
                      <w:rFonts w:hint="eastAsia" w:cs="Times New Roman"/>
                      <w:color w:val="000000" w:themeColor="text1"/>
                      <w:sz w:val="21"/>
                      <w:szCs w:val="21"/>
                      <w:highlight w:val="none"/>
                      <w:vertAlign w:val="baseline"/>
                      <w:lang w:val="en-US" w:eastAsia="zh-CN"/>
                      <w14:textFill>
                        <w14:solidFill>
                          <w14:schemeClr w14:val="tx1"/>
                        </w14:solidFill>
                      </w14:textFill>
                    </w:rPr>
                    <w:t>内</w:t>
                  </w: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；若包装桶破损，能够有效防止液体的外泄，避免对环境造成污染和危害，及时清理和转移液体。</w:t>
                  </w:r>
                </w:p>
                <w:p w14:paraId="4FA97893">
                  <w:pPr>
                    <w:pStyle w:val="12"/>
                    <w:keepNext w:val="0"/>
                    <w:keepLines w:val="0"/>
                    <w:pageBreakBefore w:val="0"/>
                    <w:kinsoku/>
                    <w:wordWrap/>
                    <w:overflowPunct/>
                    <w:topLinePunct w:val="0"/>
                    <w:autoSpaceDE/>
                    <w:autoSpaceDN/>
                    <w:bidi w:val="0"/>
                    <w:adjustRightInd/>
                    <w:spacing w:before="0" w:after="0" w:line="240" w:lineRule="auto"/>
                    <w:ind w:right="0" w:firstLine="0" w:firstLineChars="0"/>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②本项目产生的危险废物主要为</w:t>
                  </w:r>
                  <w:r>
                    <w:rPr>
                      <w:rFonts w:hint="eastAsia" w:cs="Times New Roman"/>
                      <w:color w:val="000000" w:themeColor="text1"/>
                      <w:sz w:val="21"/>
                      <w:szCs w:val="21"/>
                      <w:highlight w:val="none"/>
                      <w:vertAlign w:val="baseline"/>
                      <w:lang w:eastAsia="zh-CN"/>
                      <w14:textFill>
                        <w14:solidFill>
                          <w14:schemeClr w14:val="tx1"/>
                        </w14:solidFill>
                      </w14:textFill>
                    </w:rPr>
                    <w:t>废液压油、废油桶、废活性炭、含油抹布</w:t>
                  </w: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等，公司拟建一</w:t>
                  </w:r>
                  <w:r>
                    <w:rPr>
                      <w:rFonts w:hint="eastAsia" w:cs="Times New Roman"/>
                      <w:color w:val="000000" w:themeColor="text1"/>
                      <w:sz w:val="21"/>
                      <w:szCs w:val="21"/>
                      <w:highlight w:val="none"/>
                      <w:vertAlign w:val="baseline"/>
                      <w:lang w:val="en-US" w:eastAsia="zh-CN"/>
                      <w14:textFill>
                        <w14:solidFill>
                          <w14:schemeClr w14:val="tx1"/>
                        </w14:solidFill>
                      </w14:textFill>
                    </w:rPr>
                    <w:t>间</w:t>
                  </w: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1</w:t>
                  </w:r>
                  <w:r>
                    <w:rPr>
                      <w:rFonts w:hint="eastAsia" w:cs="Times New Roman"/>
                      <w:color w:val="000000" w:themeColor="text1"/>
                      <w:sz w:val="21"/>
                      <w:szCs w:val="21"/>
                      <w:highlight w:val="none"/>
                      <w:vertAlign w:val="baseli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危废库，位于2F，地面进行重点防渗设计，桶装危废应置于托盘内。</w:t>
                  </w:r>
                </w:p>
              </w:tc>
            </w:tr>
          </w:tbl>
          <w:p w14:paraId="774394F8">
            <w:pPr>
              <w:rPr>
                <w:rFonts w:hint="eastAsia"/>
                <w:vertAlign w:val="baseline"/>
              </w:rPr>
            </w:pPr>
          </w:p>
        </w:tc>
      </w:tr>
    </w:tbl>
    <w:p w14:paraId="191E1868">
      <w:pPr>
        <w:rPr>
          <w:rFonts w:hint="eastAsia"/>
        </w:rPr>
        <w:sectPr>
          <w:pgSz w:w="11906" w:h="16838"/>
          <w:pgMar w:top="1531" w:right="1531" w:bottom="1531" w:left="1531" w:header="851" w:footer="851" w:gutter="0"/>
          <w:pgBorders>
            <w:top w:val="none" w:sz="0" w:space="0"/>
            <w:left w:val="none" w:sz="0" w:space="0"/>
            <w:bottom w:val="none" w:sz="0" w:space="0"/>
            <w:right w:val="none" w:sz="0" w:space="0"/>
          </w:pgBorders>
          <w:cols w:space="720" w:num="1"/>
          <w:docGrid w:linePitch="312" w:charSpace="0"/>
        </w:sectPr>
      </w:pPr>
    </w:p>
    <w:p w14:paraId="2F104AA5">
      <w:pPr>
        <w:pStyle w:val="2"/>
        <w:spacing w:line="240" w:lineRule="auto"/>
        <w:rPr>
          <w:color w:val="000000"/>
        </w:rPr>
      </w:pPr>
      <w:r>
        <w:rPr>
          <w:rFonts w:hint="eastAsia"/>
          <w:color w:val="000000"/>
        </w:rPr>
        <w:t>五、</w:t>
      </w:r>
      <w:bookmarkStart w:id="2" w:name="_Hlk54167917"/>
      <w:r>
        <w:rPr>
          <w:rFonts w:hint="eastAsia"/>
          <w:color w:val="000000"/>
        </w:rPr>
        <w:t>环境保护措施监督检查清单</w:t>
      </w:r>
      <w:bookmarkEnd w:id="2"/>
    </w:p>
    <w:tbl>
      <w:tblPr>
        <w:tblStyle w:val="29"/>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1729"/>
        <w:gridCol w:w="1501"/>
        <w:gridCol w:w="1591"/>
        <w:gridCol w:w="2957"/>
      </w:tblGrid>
      <w:tr w14:paraId="563B33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pct"/>
            <w:tcBorders>
              <w:tl2br w:val="single" w:color="auto" w:sz="4" w:space="0"/>
            </w:tcBorders>
            <w:noWrap w:val="0"/>
            <w:vAlign w:val="top"/>
          </w:tcPr>
          <w:p w14:paraId="01C30538">
            <w:pPr>
              <w:adjustRightInd w:val="0"/>
              <w:snapToGrid w:val="0"/>
              <w:spacing w:line="240" w:lineRule="auto"/>
              <w:ind w:firstLine="482" w:firstLineChars="200"/>
              <w:rPr>
                <w:rFonts w:hint="eastAsia" w:cs="宋体"/>
                <w:b/>
                <w:bCs/>
                <w:color w:val="000000"/>
                <w:szCs w:val="21"/>
              </w:rPr>
            </w:pPr>
            <w:r>
              <w:rPr>
                <w:rFonts w:hint="eastAsia" w:cs="宋体"/>
                <w:b/>
                <w:bCs/>
                <w:color w:val="000000"/>
                <w:szCs w:val="21"/>
              </w:rPr>
              <w:t>内容</w:t>
            </w:r>
          </w:p>
          <w:p w14:paraId="6A72BB10">
            <w:pPr>
              <w:adjustRightInd w:val="0"/>
              <w:snapToGrid w:val="0"/>
              <w:spacing w:line="240" w:lineRule="auto"/>
              <w:rPr>
                <w:rFonts w:hint="eastAsia" w:cs="宋体"/>
                <w:b/>
                <w:bCs/>
                <w:color w:val="000000"/>
                <w:szCs w:val="21"/>
              </w:rPr>
            </w:pPr>
            <w:r>
              <w:rPr>
                <w:rFonts w:hint="eastAsia" w:cs="宋体"/>
                <w:b/>
                <w:bCs/>
                <w:color w:val="000000"/>
                <w:szCs w:val="21"/>
              </w:rPr>
              <w:t>要素</w:t>
            </w:r>
          </w:p>
        </w:tc>
        <w:tc>
          <w:tcPr>
            <w:tcW w:w="987" w:type="pct"/>
            <w:noWrap w:val="0"/>
            <w:vAlign w:val="center"/>
          </w:tcPr>
          <w:p w14:paraId="1C37155C">
            <w:pPr>
              <w:adjustRightInd w:val="0"/>
              <w:snapToGrid w:val="0"/>
              <w:spacing w:line="240" w:lineRule="auto"/>
              <w:jc w:val="center"/>
              <w:rPr>
                <w:rFonts w:hint="eastAsia" w:cs="宋体"/>
                <w:b/>
                <w:bCs/>
                <w:color w:val="000000"/>
                <w:szCs w:val="21"/>
              </w:rPr>
            </w:pPr>
            <w:r>
              <w:rPr>
                <w:rFonts w:hint="eastAsia" w:cs="宋体"/>
                <w:b/>
                <w:bCs/>
                <w:color w:val="000000"/>
                <w:szCs w:val="21"/>
              </w:rPr>
              <w:t>排放口（编号、名称）/污染源</w:t>
            </w:r>
          </w:p>
        </w:tc>
        <w:tc>
          <w:tcPr>
            <w:tcW w:w="861" w:type="pct"/>
            <w:noWrap w:val="0"/>
            <w:vAlign w:val="center"/>
          </w:tcPr>
          <w:p w14:paraId="61A79669">
            <w:pPr>
              <w:adjustRightInd w:val="0"/>
              <w:snapToGrid w:val="0"/>
              <w:spacing w:line="240" w:lineRule="auto"/>
              <w:jc w:val="center"/>
              <w:rPr>
                <w:rFonts w:hint="eastAsia" w:cs="宋体"/>
                <w:b/>
                <w:bCs/>
                <w:color w:val="000000"/>
                <w:szCs w:val="21"/>
              </w:rPr>
            </w:pPr>
            <w:r>
              <w:rPr>
                <w:rFonts w:hint="eastAsia" w:cs="宋体"/>
                <w:b/>
                <w:bCs/>
                <w:color w:val="000000"/>
                <w:szCs w:val="21"/>
              </w:rPr>
              <w:t>污染物项目</w:t>
            </w:r>
          </w:p>
        </w:tc>
        <w:tc>
          <w:tcPr>
            <w:tcW w:w="911" w:type="pct"/>
            <w:noWrap w:val="0"/>
            <w:vAlign w:val="center"/>
          </w:tcPr>
          <w:p w14:paraId="2C14D9B8">
            <w:pPr>
              <w:adjustRightInd w:val="0"/>
              <w:snapToGrid w:val="0"/>
              <w:spacing w:line="240" w:lineRule="auto"/>
              <w:jc w:val="center"/>
              <w:rPr>
                <w:rFonts w:hint="eastAsia" w:cs="宋体"/>
                <w:b/>
                <w:bCs/>
                <w:color w:val="000000"/>
                <w:szCs w:val="21"/>
              </w:rPr>
            </w:pPr>
            <w:r>
              <w:rPr>
                <w:rFonts w:hint="eastAsia" w:cs="宋体"/>
                <w:b/>
                <w:bCs/>
                <w:color w:val="000000"/>
                <w:szCs w:val="21"/>
              </w:rPr>
              <w:t>环境保护措施</w:t>
            </w:r>
          </w:p>
        </w:tc>
        <w:tc>
          <w:tcPr>
            <w:tcW w:w="1501" w:type="pct"/>
            <w:noWrap w:val="0"/>
            <w:vAlign w:val="center"/>
          </w:tcPr>
          <w:p w14:paraId="5C01350D">
            <w:pPr>
              <w:adjustRightInd w:val="0"/>
              <w:snapToGrid w:val="0"/>
              <w:spacing w:line="240" w:lineRule="auto"/>
              <w:jc w:val="center"/>
              <w:rPr>
                <w:rFonts w:hint="eastAsia" w:cs="宋体"/>
                <w:b/>
                <w:bCs/>
                <w:color w:val="000000"/>
                <w:szCs w:val="21"/>
              </w:rPr>
            </w:pPr>
            <w:r>
              <w:rPr>
                <w:rFonts w:hint="eastAsia" w:cs="宋体"/>
                <w:b/>
                <w:bCs/>
                <w:color w:val="000000"/>
                <w:szCs w:val="21"/>
              </w:rPr>
              <w:t>执行标准</w:t>
            </w:r>
          </w:p>
        </w:tc>
      </w:tr>
      <w:tr w14:paraId="02C8B0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738" w:type="pct"/>
            <w:vMerge w:val="restart"/>
            <w:noWrap w:val="0"/>
            <w:vAlign w:val="center"/>
          </w:tcPr>
          <w:p w14:paraId="21326A2E">
            <w:pPr>
              <w:adjustRightInd w:val="0"/>
              <w:snapToGrid w:val="0"/>
              <w:spacing w:line="240" w:lineRule="auto"/>
              <w:jc w:val="center"/>
              <w:rPr>
                <w:rFonts w:hint="default" w:eastAsia="宋体" w:cs="宋体"/>
                <w:color w:val="000000"/>
                <w:szCs w:val="21"/>
                <w:lang w:val="en-US" w:eastAsia="zh-CN"/>
              </w:rPr>
            </w:pPr>
            <w:r>
              <w:rPr>
                <w:rFonts w:hint="eastAsia" w:cs="宋体"/>
                <w:color w:val="000000"/>
                <w:szCs w:val="21"/>
                <w:lang w:val="en-US" w:eastAsia="zh-CN"/>
              </w:rPr>
              <w:t>大气环境</w:t>
            </w:r>
          </w:p>
        </w:tc>
        <w:tc>
          <w:tcPr>
            <w:tcW w:w="987" w:type="pct"/>
            <w:noWrap w:val="0"/>
            <w:vAlign w:val="center"/>
          </w:tcPr>
          <w:p w14:paraId="2D52C4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宋体"/>
                <w:color w:val="000000"/>
                <w:szCs w:val="21"/>
                <w:lang w:val="en-US"/>
              </w:rPr>
            </w:pPr>
            <w:r>
              <w:rPr>
                <w:rFonts w:hint="eastAsia" w:cs="宋体"/>
                <w:color w:val="000000"/>
                <w:szCs w:val="21"/>
              </w:rPr>
              <w:t>DA00</w:t>
            </w:r>
            <w:r>
              <w:rPr>
                <w:rFonts w:hint="eastAsia" w:cs="宋体"/>
                <w:color w:val="000000"/>
                <w:szCs w:val="21"/>
                <w:lang w:val="en-US" w:eastAsia="zh-CN"/>
              </w:rPr>
              <w:t>1</w:t>
            </w:r>
            <w:r>
              <w:rPr>
                <w:rFonts w:hint="eastAsia" w:cs="宋体"/>
                <w:color w:val="000000"/>
                <w:szCs w:val="21"/>
              </w:rPr>
              <w:t>、</w:t>
            </w:r>
            <w:r>
              <w:rPr>
                <w:rFonts w:hint="eastAsia" w:cs="宋体"/>
                <w:color w:val="000000"/>
                <w:szCs w:val="21"/>
                <w:lang w:val="en-US" w:eastAsia="zh-CN"/>
              </w:rPr>
              <w:t>注塑废气排放口/注塑废气</w:t>
            </w:r>
          </w:p>
        </w:tc>
        <w:tc>
          <w:tcPr>
            <w:tcW w:w="861" w:type="pct"/>
            <w:noWrap w:val="0"/>
            <w:vAlign w:val="center"/>
          </w:tcPr>
          <w:p w14:paraId="77FCF5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宋体"/>
                <w:color w:val="000000"/>
                <w:szCs w:val="21"/>
                <w:lang w:val="en-US" w:eastAsia="zh-CN"/>
              </w:rPr>
            </w:pPr>
            <w:r>
              <w:rPr>
                <w:rFonts w:hint="default" w:eastAsia="宋体" w:cs="宋体"/>
                <w:color w:val="000000"/>
                <w:szCs w:val="21"/>
                <w:lang w:val="en-US" w:eastAsia="zh-CN"/>
              </w:rPr>
              <w:t>非甲烷总烃、苯乙烯、丙烯腈、乙苯、臭气浓度</w:t>
            </w:r>
          </w:p>
        </w:tc>
        <w:tc>
          <w:tcPr>
            <w:tcW w:w="911" w:type="pct"/>
            <w:noWrap w:val="0"/>
            <w:vAlign w:val="center"/>
          </w:tcPr>
          <w:p w14:paraId="58D6D3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000000"/>
                <w:szCs w:val="21"/>
              </w:rPr>
            </w:pPr>
            <w:r>
              <w:rPr>
                <w:rFonts w:hint="eastAsia"/>
                <w:b w:val="0"/>
                <w:bCs/>
                <w:color w:val="000000"/>
                <w:sz w:val="24"/>
                <w:szCs w:val="24"/>
                <w:lang w:val="en-US" w:eastAsia="zh-CN"/>
              </w:rPr>
              <w:t>二级活性炭TA001</w:t>
            </w:r>
          </w:p>
        </w:tc>
        <w:tc>
          <w:tcPr>
            <w:tcW w:w="1501" w:type="pct"/>
            <w:vMerge w:val="restart"/>
            <w:noWrap w:val="0"/>
            <w:vAlign w:val="center"/>
          </w:tcPr>
          <w:p w14:paraId="245899B6">
            <w:pPr>
              <w:adjustRightInd w:val="0"/>
              <w:snapToGrid w:val="0"/>
              <w:spacing w:line="240" w:lineRule="auto"/>
              <w:jc w:val="center"/>
              <w:rPr>
                <w:rFonts w:hint="eastAsia"/>
              </w:rPr>
            </w:pPr>
            <w:r>
              <w:rPr>
                <w:rFonts w:hint="eastAsia"/>
                <w:color w:val="000000"/>
              </w:rPr>
              <w:t>《固定源挥发性有机物综合排放标准 第6部分：其他行业》（DB34/4812.6—2024）</w:t>
            </w:r>
            <w:r>
              <w:rPr>
                <w:rFonts w:hint="eastAsia"/>
                <w:color w:val="000000"/>
                <w:lang w:eastAsia="zh-CN"/>
              </w:rPr>
              <w:t>、</w:t>
            </w:r>
            <w:r>
              <w:rPr>
                <w:rFonts w:hint="eastAsia" w:ascii="Times New Roman" w:hAnsi="Times New Roman" w:eastAsia="宋体" w:cs="Times New Roman"/>
                <w:color w:val="000000"/>
                <w:kern w:val="2"/>
                <w:sz w:val="24"/>
                <w:szCs w:val="24"/>
                <w:lang w:val="en-US" w:eastAsia="zh-CN" w:bidi="ar-SA"/>
              </w:rPr>
              <w:t>《恶臭污染物排放标准》（GB14554-93）</w:t>
            </w:r>
            <w:r>
              <w:rPr>
                <w:rFonts w:hint="eastAsia" w:cs="Times New Roman"/>
                <w:color w:val="000000"/>
                <w:kern w:val="2"/>
                <w:sz w:val="24"/>
                <w:szCs w:val="24"/>
                <w:lang w:val="en-US" w:eastAsia="zh-CN" w:bidi="ar-SA"/>
              </w:rPr>
              <w:t>、</w:t>
            </w:r>
            <w:r>
              <w:rPr>
                <w:rFonts w:hint="default" w:ascii="Times New Roman" w:hAnsi="Times New Roman" w:eastAsia="宋体" w:cs="Times New Roman"/>
                <w:b w:val="0"/>
                <w:color w:val="000000" w:themeColor="text1"/>
                <w:kern w:val="0"/>
                <w:sz w:val="24"/>
                <w:szCs w:val="24"/>
                <w:highlight w:val="none"/>
                <w:lang w:val="en-US" w:eastAsia="zh-CN"/>
                <w14:textFill>
                  <w14:solidFill>
                    <w14:schemeClr w14:val="tx1"/>
                  </w14:solidFill>
                </w14:textFill>
              </w:rPr>
              <w:t>《合成树脂工业污染物排放标准》（GB 31572—2015含2024年修改单）</w:t>
            </w:r>
          </w:p>
        </w:tc>
      </w:tr>
      <w:tr w14:paraId="507888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738" w:type="pct"/>
            <w:vMerge w:val="continue"/>
            <w:noWrap w:val="0"/>
            <w:vAlign w:val="center"/>
          </w:tcPr>
          <w:p w14:paraId="68149716">
            <w:pPr>
              <w:adjustRightInd w:val="0"/>
              <w:snapToGrid w:val="0"/>
              <w:spacing w:line="240" w:lineRule="auto"/>
              <w:jc w:val="center"/>
              <w:rPr>
                <w:rFonts w:hint="eastAsia" w:cs="宋体"/>
                <w:color w:val="000000"/>
                <w:szCs w:val="21"/>
                <w:lang w:val="en-US" w:eastAsia="zh-CN"/>
              </w:rPr>
            </w:pPr>
          </w:p>
        </w:tc>
        <w:tc>
          <w:tcPr>
            <w:tcW w:w="987" w:type="pct"/>
            <w:noWrap w:val="0"/>
            <w:vAlign w:val="center"/>
          </w:tcPr>
          <w:p w14:paraId="5777FF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宋体"/>
                <w:color w:val="000000"/>
                <w:szCs w:val="21"/>
                <w:lang w:val="en-US" w:eastAsia="zh-CN"/>
              </w:rPr>
            </w:pPr>
            <w:r>
              <w:rPr>
                <w:rFonts w:hint="eastAsia" w:cs="宋体"/>
                <w:color w:val="000000"/>
                <w:szCs w:val="21"/>
                <w:lang w:val="en-US" w:eastAsia="zh-CN"/>
              </w:rPr>
              <w:t>DA002、破碎粉尘排气口/破碎粉尘</w:t>
            </w:r>
          </w:p>
        </w:tc>
        <w:tc>
          <w:tcPr>
            <w:tcW w:w="861" w:type="pct"/>
            <w:noWrap w:val="0"/>
            <w:vAlign w:val="center"/>
          </w:tcPr>
          <w:p w14:paraId="11535E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szCs w:val="21"/>
                <w:lang w:val="en-US" w:eastAsia="zh-CN"/>
              </w:rPr>
            </w:pPr>
            <w:r>
              <w:rPr>
                <w:rFonts w:hint="eastAsia" w:cs="宋体"/>
                <w:color w:val="000000"/>
                <w:szCs w:val="21"/>
                <w:lang w:val="en-US" w:eastAsia="zh-CN"/>
              </w:rPr>
              <w:t>颗粒物</w:t>
            </w:r>
          </w:p>
        </w:tc>
        <w:tc>
          <w:tcPr>
            <w:tcW w:w="911" w:type="pct"/>
            <w:noWrap w:val="0"/>
            <w:vAlign w:val="center"/>
          </w:tcPr>
          <w:p w14:paraId="218503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000000"/>
                <w:sz w:val="24"/>
                <w:szCs w:val="24"/>
                <w:lang w:val="en-US" w:eastAsia="zh-CN"/>
              </w:rPr>
            </w:pPr>
            <w:r>
              <w:rPr>
                <w:rFonts w:hint="eastAsia"/>
                <w:b w:val="0"/>
                <w:bCs/>
                <w:color w:val="000000"/>
                <w:sz w:val="24"/>
                <w:szCs w:val="24"/>
                <w:lang w:val="en-US" w:eastAsia="zh-CN"/>
              </w:rPr>
              <w:t>布袋除尘器TA002</w:t>
            </w:r>
          </w:p>
        </w:tc>
        <w:tc>
          <w:tcPr>
            <w:tcW w:w="1501" w:type="pct"/>
            <w:vMerge w:val="continue"/>
            <w:noWrap w:val="0"/>
            <w:vAlign w:val="center"/>
          </w:tcPr>
          <w:p w14:paraId="7A86C8FE">
            <w:pPr>
              <w:pStyle w:val="15"/>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4"/>
                <w:szCs w:val="24"/>
                <w:lang w:val="en-US" w:eastAsia="zh-CN" w:bidi="ar-SA"/>
              </w:rPr>
            </w:pPr>
          </w:p>
        </w:tc>
      </w:tr>
      <w:tr w14:paraId="70342D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pct"/>
            <w:vMerge w:val="restart"/>
            <w:noWrap w:val="0"/>
            <w:vAlign w:val="center"/>
          </w:tcPr>
          <w:p w14:paraId="59DB2D44">
            <w:pPr>
              <w:adjustRightInd w:val="0"/>
              <w:snapToGrid w:val="0"/>
              <w:spacing w:line="240" w:lineRule="auto"/>
              <w:jc w:val="center"/>
              <w:rPr>
                <w:rFonts w:hint="eastAsia" w:cs="宋体"/>
                <w:color w:val="000000"/>
                <w:szCs w:val="21"/>
              </w:rPr>
            </w:pPr>
            <w:r>
              <w:rPr>
                <w:rFonts w:hint="eastAsia" w:cs="宋体"/>
                <w:color w:val="000000"/>
                <w:szCs w:val="21"/>
              </w:rPr>
              <w:t>地表水环境</w:t>
            </w:r>
          </w:p>
        </w:tc>
        <w:tc>
          <w:tcPr>
            <w:tcW w:w="987" w:type="pct"/>
            <w:noWrap w:val="0"/>
            <w:vAlign w:val="center"/>
          </w:tcPr>
          <w:p w14:paraId="43A71E69">
            <w:pPr>
              <w:adjustRightInd w:val="0"/>
              <w:snapToGrid w:val="0"/>
              <w:spacing w:line="240" w:lineRule="auto"/>
              <w:jc w:val="center"/>
              <w:rPr>
                <w:rFonts w:cs="宋体"/>
                <w:color w:val="000000"/>
              </w:rPr>
            </w:pPr>
            <w:r>
              <w:rPr>
                <w:rFonts w:hint="eastAsia" w:cs="宋体"/>
                <w:color w:val="000000"/>
              </w:rPr>
              <w:t>生活污水</w:t>
            </w:r>
          </w:p>
        </w:tc>
        <w:tc>
          <w:tcPr>
            <w:tcW w:w="861" w:type="pct"/>
            <w:noWrap w:val="0"/>
            <w:vAlign w:val="center"/>
          </w:tcPr>
          <w:p w14:paraId="15E931E6">
            <w:pPr>
              <w:adjustRightInd w:val="0"/>
              <w:snapToGrid w:val="0"/>
              <w:spacing w:line="240" w:lineRule="auto"/>
              <w:jc w:val="center"/>
              <w:rPr>
                <w:rFonts w:cs="宋体"/>
                <w:color w:val="000000"/>
              </w:rPr>
            </w:pPr>
            <w:r>
              <w:rPr>
                <w:rFonts w:hint="eastAsia" w:cs="宋体"/>
                <w:color w:val="000000"/>
                <w:lang w:val="en-US" w:eastAsia="zh-CN"/>
              </w:rPr>
              <w:t>pH、</w:t>
            </w:r>
            <w:r>
              <w:rPr>
                <w:rFonts w:cs="宋体"/>
                <w:color w:val="000000"/>
              </w:rPr>
              <w:t>COD</w:t>
            </w:r>
            <w:r>
              <w:rPr>
                <w:rFonts w:hint="eastAsia" w:cs="宋体"/>
                <w:color w:val="000000"/>
              </w:rPr>
              <w:t>、</w:t>
            </w:r>
            <w:r>
              <w:rPr>
                <w:rFonts w:cs="宋体"/>
                <w:color w:val="000000"/>
              </w:rPr>
              <w:t>BOD</w:t>
            </w:r>
            <w:r>
              <w:rPr>
                <w:rFonts w:cs="宋体"/>
                <w:color w:val="000000"/>
                <w:vertAlign w:val="subscript"/>
              </w:rPr>
              <w:t>5</w:t>
            </w:r>
            <w:r>
              <w:rPr>
                <w:rFonts w:hint="eastAsia" w:cs="宋体"/>
                <w:color w:val="000000"/>
              </w:rPr>
              <w:t>、</w:t>
            </w:r>
            <w:r>
              <w:rPr>
                <w:rFonts w:cs="宋体"/>
                <w:color w:val="000000"/>
              </w:rPr>
              <w:t>SS</w:t>
            </w:r>
            <w:r>
              <w:rPr>
                <w:rFonts w:hint="eastAsia" w:cs="宋体"/>
                <w:color w:val="000000"/>
              </w:rPr>
              <w:t>、</w:t>
            </w:r>
            <w:r>
              <w:rPr>
                <w:rFonts w:cs="宋体"/>
                <w:color w:val="000000"/>
              </w:rPr>
              <w:t>NH</w:t>
            </w:r>
            <w:r>
              <w:rPr>
                <w:rFonts w:cs="宋体"/>
                <w:color w:val="000000"/>
                <w:vertAlign w:val="subscript"/>
              </w:rPr>
              <w:t>3</w:t>
            </w:r>
            <w:r>
              <w:rPr>
                <w:rFonts w:cs="宋体"/>
                <w:color w:val="000000"/>
              </w:rPr>
              <w:t>-N</w:t>
            </w:r>
          </w:p>
        </w:tc>
        <w:tc>
          <w:tcPr>
            <w:tcW w:w="911" w:type="pct"/>
            <w:vMerge w:val="restart"/>
            <w:noWrap w:val="0"/>
            <w:vAlign w:val="center"/>
          </w:tcPr>
          <w:p w14:paraId="1856AAF7">
            <w:pPr>
              <w:adjustRightInd w:val="0"/>
              <w:snapToGrid w:val="0"/>
              <w:spacing w:line="240" w:lineRule="auto"/>
              <w:jc w:val="center"/>
              <w:rPr>
                <w:rFonts w:hint="default" w:eastAsia="宋体" w:cs="宋体"/>
                <w:color w:val="000000"/>
                <w:lang w:val="en-US" w:eastAsia="zh-CN"/>
              </w:rPr>
            </w:pPr>
            <w:r>
              <w:rPr>
                <w:rFonts w:hint="eastAsia" w:cs="宋体"/>
                <w:color w:val="000000"/>
                <w:lang w:val="en-US" w:eastAsia="zh-CN"/>
              </w:rPr>
              <w:t>纳管接入市政污水管网进入</w:t>
            </w:r>
            <w:r>
              <w:rPr>
                <w:rFonts w:hint="eastAsia" w:cs="宋体"/>
                <w:color w:val="000000"/>
                <w:szCs w:val="21"/>
                <w:lang w:eastAsia="zh-CN"/>
              </w:rPr>
              <w:t>淮南市潘集污水处理厂</w:t>
            </w:r>
            <w:r>
              <w:rPr>
                <w:rFonts w:hint="eastAsia" w:cs="宋体"/>
                <w:color w:val="000000"/>
                <w:szCs w:val="21"/>
                <w:lang w:val="en-US" w:eastAsia="zh-CN"/>
              </w:rPr>
              <w:t>进行深度处理</w:t>
            </w:r>
          </w:p>
        </w:tc>
        <w:tc>
          <w:tcPr>
            <w:tcW w:w="1501" w:type="pct"/>
            <w:vMerge w:val="restart"/>
            <w:noWrap w:val="0"/>
            <w:vAlign w:val="center"/>
          </w:tcPr>
          <w:p w14:paraId="6994BA7C">
            <w:pPr>
              <w:adjustRightInd w:val="0"/>
              <w:snapToGrid w:val="0"/>
              <w:spacing w:line="240" w:lineRule="auto"/>
              <w:jc w:val="center"/>
              <w:rPr>
                <w:rFonts w:hint="eastAsia" w:eastAsia="宋体" w:cs="宋体"/>
                <w:color w:val="000000"/>
                <w:szCs w:val="21"/>
                <w:lang w:val="en-US" w:eastAsia="zh-CN"/>
              </w:rPr>
            </w:pPr>
            <w:r>
              <w:rPr>
                <w:rFonts w:hint="eastAsia" w:cs="宋体"/>
                <w:color w:val="000000"/>
                <w:szCs w:val="21"/>
                <w:lang w:eastAsia="zh-CN"/>
              </w:rPr>
              <w:t>淮南市潘集污水处理厂</w:t>
            </w:r>
            <w:r>
              <w:rPr>
                <w:rFonts w:hint="eastAsia" w:cs="宋体"/>
                <w:color w:val="000000"/>
                <w:szCs w:val="21"/>
              </w:rPr>
              <w:t>接管限值</w:t>
            </w:r>
            <w:r>
              <w:rPr>
                <w:rFonts w:hint="eastAsia" w:cs="宋体"/>
                <w:color w:val="000000"/>
                <w:szCs w:val="21"/>
                <w:lang w:val="en-US" w:eastAsia="zh-CN"/>
              </w:rPr>
              <w:t>和《污水综合排放标准》（GB8978-1996）</w:t>
            </w:r>
          </w:p>
        </w:tc>
      </w:tr>
      <w:tr w14:paraId="5AE966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pct"/>
            <w:vMerge w:val="continue"/>
            <w:noWrap w:val="0"/>
            <w:vAlign w:val="center"/>
          </w:tcPr>
          <w:p w14:paraId="384E0126">
            <w:pPr>
              <w:adjustRightInd w:val="0"/>
              <w:snapToGrid w:val="0"/>
              <w:spacing w:line="240" w:lineRule="auto"/>
              <w:jc w:val="center"/>
              <w:rPr>
                <w:rFonts w:hint="eastAsia" w:cs="宋体"/>
                <w:color w:val="000000"/>
                <w:szCs w:val="21"/>
              </w:rPr>
            </w:pPr>
          </w:p>
        </w:tc>
        <w:tc>
          <w:tcPr>
            <w:tcW w:w="987" w:type="pct"/>
            <w:noWrap w:val="0"/>
            <w:vAlign w:val="center"/>
          </w:tcPr>
          <w:p w14:paraId="562409FF">
            <w:pPr>
              <w:adjustRightInd w:val="0"/>
              <w:snapToGrid w:val="0"/>
              <w:spacing w:line="240" w:lineRule="auto"/>
              <w:jc w:val="center"/>
              <w:rPr>
                <w:rFonts w:hint="default" w:eastAsia="宋体" w:cs="宋体"/>
                <w:color w:val="000000"/>
                <w:lang w:val="en-US" w:eastAsia="zh-CN"/>
              </w:rPr>
            </w:pPr>
            <w:r>
              <w:rPr>
                <w:rFonts w:hint="eastAsia" w:cs="宋体"/>
                <w:color w:val="000000"/>
                <w:lang w:val="en-US" w:eastAsia="zh-CN"/>
              </w:rPr>
              <w:t>冷却循环排水</w:t>
            </w:r>
          </w:p>
        </w:tc>
        <w:tc>
          <w:tcPr>
            <w:tcW w:w="861" w:type="pct"/>
            <w:noWrap w:val="0"/>
            <w:vAlign w:val="center"/>
          </w:tcPr>
          <w:p w14:paraId="08D386A4">
            <w:pPr>
              <w:adjustRightInd w:val="0"/>
              <w:snapToGrid w:val="0"/>
              <w:spacing w:line="240" w:lineRule="auto"/>
              <w:jc w:val="center"/>
              <w:rPr>
                <w:rFonts w:cs="宋体"/>
                <w:color w:val="000000"/>
              </w:rPr>
            </w:pPr>
            <w:r>
              <w:rPr>
                <w:rFonts w:cs="宋体"/>
                <w:color w:val="000000"/>
              </w:rPr>
              <w:t>COD</w:t>
            </w:r>
            <w:r>
              <w:rPr>
                <w:rFonts w:hint="eastAsia" w:cs="宋体"/>
                <w:color w:val="000000"/>
              </w:rPr>
              <w:t>、</w:t>
            </w:r>
            <w:r>
              <w:rPr>
                <w:rFonts w:cs="宋体"/>
                <w:color w:val="000000"/>
              </w:rPr>
              <w:t>SS</w:t>
            </w:r>
          </w:p>
        </w:tc>
        <w:tc>
          <w:tcPr>
            <w:tcW w:w="911" w:type="pct"/>
            <w:vMerge w:val="continue"/>
            <w:noWrap w:val="0"/>
            <w:vAlign w:val="center"/>
          </w:tcPr>
          <w:p w14:paraId="57A04531">
            <w:pPr>
              <w:adjustRightInd w:val="0"/>
              <w:snapToGrid w:val="0"/>
              <w:spacing w:line="240" w:lineRule="auto"/>
              <w:jc w:val="center"/>
              <w:rPr>
                <w:rFonts w:hint="eastAsia" w:cs="宋体"/>
                <w:color w:val="000000"/>
              </w:rPr>
            </w:pPr>
          </w:p>
        </w:tc>
        <w:tc>
          <w:tcPr>
            <w:tcW w:w="1501" w:type="pct"/>
            <w:vMerge w:val="continue"/>
            <w:noWrap w:val="0"/>
            <w:vAlign w:val="center"/>
          </w:tcPr>
          <w:p w14:paraId="3B945B17">
            <w:pPr>
              <w:adjustRightInd w:val="0"/>
              <w:snapToGrid w:val="0"/>
              <w:spacing w:line="240" w:lineRule="auto"/>
              <w:jc w:val="center"/>
              <w:rPr>
                <w:rFonts w:hint="eastAsia" w:cs="宋体"/>
                <w:color w:val="000000"/>
                <w:szCs w:val="21"/>
                <w:lang w:eastAsia="zh-CN"/>
              </w:rPr>
            </w:pPr>
          </w:p>
        </w:tc>
      </w:tr>
      <w:tr w14:paraId="22BF2D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pct"/>
            <w:noWrap w:val="0"/>
            <w:vAlign w:val="center"/>
          </w:tcPr>
          <w:p w14:paraId="65D8378F">
            <w:pPr>
              <w:adjustRightInd w:val="0"/>
              <w:snapToGrid w:val="0"/>
              <w:spacing w:line="240" w:lineRule="auto"/>
              <w:jc w:val="center"/>
              <w:rPr>
                <w:rFonts w:hint="eastAsia" w:cs="宋体"/>
                <w:color w:val="000000"/>
                <w:szCs w:val="21"/>
              </w:rPr>
            </w:pPr>
            <w:r>
              <w:rPr>
                <w:rFonts w:hint="eastAsia" w:cs="宋体"/>
                <w:color w:val="000000"/>
                <w:szCs w:val="21"/>
              </w:rPr>
              <w:t>声环境</w:t>
            </w:r>
          </w:p>
        </w:tc>
        <w:tc>
          <w:tcPr>
            <w:tcW w:w="987" w:type="pct"/>
            <w:noWrap w:val="0"/>
            <w:vAlign w:val="center"/>
          </w:tcPr>
          <w:p w14:paraId="74A7BE74">
            <w:pPr>
              <w:pStyle w:val="69"/>
              <w:spacing w:before="42" w:line="240" w:lineRule="auto"/>
              <w:jc w:val="center"/>
              <w:rPr>
                <w:rFonts w:hint="eastAsia"/>
                <w:color w:val="000000"/>
              </w:rPr>
            </w:pPr>
            <w:r>
              <w:rPr>
                <w:rFonts w:hint="eastAsia"/>
                <w:color w:val="000000"/>
              </w:rPr>
              <w:t>厂界四周</w:t>
            </w:r>
          </w:p>
        </w:tc>
        <w:tc>
          <w:tcPr>
            <w:tcW w:w="861" w:type="pct"/>
            <w:noWrap w:val="0"/>
            <w:vAlign w:val="center"/>
          </w:tcPr>
          <w:p w14:paraId="2E9948B9">
            <w:pPr>
              <w:pStyle w:val="69"/>
              <w:spacing w:before="42" w:line="240" w:lineRule="auto"/>
              <w:jc w:val="center"/>
              <w:rPr>
                <w:rFonts w:hint="eastAsia"/>
                <w:color w:val="000000"/>
              </w:rPr>
            </w:pPr>
            <w:r>
              <w:rPr>
                <w:color w:val="000000"/>
              </w:rPr>
              <w:t>噪声</w:t>
            </w:r>
          </w:p>
        </w:tc>
        <w:tc>
          <w:tcPr>
            <w:tcW w:w="911" w:type="pct"/>
            <w:noWrap w:val="0"/>
            <w:vAlign w:val="center"/>
          </w:tcPr>
          <w:p w14:paraId="60312843">
            <w:pPr>
              <w:pStyle w:val="69"/>
              <w:spacing w:before="42" w:line="240" w:lineRule="auto"/>
              <w:jc w:val="center"/>
              <w:rPr>
                <w:rFonts w:hint="eastAsia"/>
                <w:color w:val="000000"/>
              </w:rPr>
            </w:pPr>
            <w:r>
              <w:rPr>
                <w:color w:val="000000"/>
              </w:rPr>
              <w:t>选用低</w:t>
            </w:r>
            <w:r>
              <w:rPr>
                <w:rFonts w:hint="eastAsia"/>
                <w:color w:val="000000"/>
              </w:rPr>
              <w:t>噪声</w:t>
            </w:r>
            <w:r>
              <w:rPr>
                <w:color w:val="000000"/>
              </w:rPr>
              <w:t>设备、合理布局、减振基座等</w:t>
            </w:r>
          </w:p>
        </w:tc>
        <w:tc>
          <w:tcPr>
            <w:tcW w:w="1501" w:type="pct"/>
            <w:noWrap w:val="0"/>
            <w:vAlign w:val="center"/>
          </w:tcPr>
          <w:p w14:paraId="1DC6EBAC">
            <w:pPr>
              <w:pStyle w:val="69"/>
              <w:spacing w:before="42" w:line="240" w:lineRule="auto"/>
              <w:jc w:val="center"/>
              <w:rPr>
                <w:rFonts w:hint="eastAsia"/>
                <w:color w:val="000000"/>
              </w:rPr>
            </w:pPr>
            <w:r>
              <w:rPr>
                <w:color w:val="000000"/>
              </w:rPr>
              <w:t>《工业企业厂界环境噪声排放标准》（GB12348－2008）中</w:t>
            </w:r>
            <w:r>
              <w:rPr>
                <w:rFonts w:hint="eastAsia"/>
                <w:color w:val="000000"/>
              </w:rPr>
              <w:t>3</w:t>
            </w:r>
            <w:r>
              <w:rPr>
                <w:color w:val="000000"/>
              </w:rPr>
              <w:t>类标准</w:t>
            </w:r>
          </w:p>
        </w:tc>
      </w:tr>
      <w:tr w14:paraId="7539C5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pct"/>
            <w:noWrap w:val="0"/>
            <w:vAlign w:val="center"/>
          </w:tcPr>
          <w:p w14:paraId="14842269">
            <w:pPr>
              <w:adjustRightInd w:val="0"/>
              <w:snapToGrid w:val="0"/>
              <w:spacing w:line="240" w:lineRule="auto"/>
              <w:jc w:val="center"/>
              <w:rPr>
                <w:rFonts w:hint="eastAsia" w:cs="宋体"/>
                <w:color w:val="000000"/>
                <w:szCs w:val="21"/>
              </w:rPr>
            </w:pPr>
            <w:r>
              <w:rPr>
                <w:rFonts w:hint="eastAsia" w:cs="宋体"/>
                <w:color w:val="000000"/>
                <w:szCs w:val="21"/>
              </w:rPr>
              <w:t>固体废物</w:t>
            </w:r>
          </w:p>
        </w:tc>
        <w:tc>
          <w:tcPr>
            <w:tcW w:w="4261" w:type="pct"/>
            <w:gridSpan w:val="4"/>
            <w:noWrap w:val="0"/>
            <w:vAlign w:val="center"/>
          </w:tcPr>
          <w:p w14:paraId="3E43DAE8">
            <w:pPr>
              <w:adjustRightInd w:val="0"/>
              <w:snapToGrid w:val="0"/>
              <w:rPr>
                <w:color w:val="FF0000"/>
              </w:rPr>
            </w:pPr>
            <w:r>
              <w:rPr>
                <w:rFonts w:hint="eastAsia"/>
                <w:color w:val="000000" w:themeColor="text1"/>
                <w:highlight w:val="none"/>
                <w14:textFill>
                  <w14:solidFill>
                    <w14:schemeClr w14:val="tx1"/>
                  </w14:solidFill>
                </w14:textFill>
              </w:rPr>
              <w:t>一般固废：</w:t>
            </w:r>
            <w:r>
              <w:rPr>
                <w:rFonts w:hint="eastAsia"/>
                <w:color w:val="000000" w:themeColor="text1"/>
                <w:highlight w:val="none"/>
                <w:lang w:val="en-US" w:eastAsia="zh-CN"/>
                <w14:textFill>
                  <w14:solidFill>
                    <w14:schemeClr w14:val="tx1"/>
                  </w14:solidFill>
                </w14:textFill>
              </w:rPr>
              <w:t>废包装袋外售给物资公司综合利用；</w:t>
            </w:r>
            <w:r>
              <w:rPr>
                <w:rFonts w:hint="eastAsia"/>
                <w:color w:val="000000" w:themeColor="text1"/>
                <w:highlight w:val="none"/>
                <w14:textFill>
                  <w14:solidFill>
                    <w14:schemeClr w14:val="tx1"/>
                  </w14:solidFill>
                </w14:textFill>
              </w:rPr>
              <w:t>危险废物：</w:t>
            </w:r>
            <w:r>
              <w:rPr>
                <w:rFonts w:hint="eastAsia"/>
                <w:color w:val="000000" w:themeColor="text1"/>
                <w:highlight w:val="none"/>
                <w:lang w:eastAsia="zh-CN"/>
                <w14:textFill>
                  <w14:solidFill>
                    <w14:schemeClr w14:val="tx1"/>
                  </w14:solidFill>
                </w14:textFill>
              </w:rPr>
              <w:t>废液压油、废油桶、废活性炭、含油抹布</w:t>
            </w:r>
            <w:r>
              <w:rPr>
                <w:rFonts w:hint="eastAsia"/>
                <w:color w:val="000000" w:themeColor="text1"/>
                <w:highlight w:val="none"/>
                <w14:textFill>
                  <w14:solidFill>
                    <w14:schemeClr w14:val="tx1"/>
                  </w14:solidFill>
                </w14:textFill>
              </w:rPr>
              <w:t>暂存于危废库</w:t>
            </w:r>
            <w:r>
              <w:rPr>
                <w:rStyle w:val="34"/>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Style w:val="34"/>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1</w:t>
            </w:r>
            <w:r>
              <w:rPr>
                <w:rStyle w:val="34"/>
                <w:rFonts w:hint="eastAsia" w:cs="Times New Roman"/>
                <w:color w:val="000000" w:themeColor="text1"/>
                <w:kern w:val="0"/>
                <w:sz w:val="24"/>
                <w:szCs w:val="24"/>
                <w:highlight w:val="none"/>
                <w:lang w:val="en-US" w:eastAsia="zh-CN"/>
                <w14:textFill>
                  <w14:solidFill>
                    <w14:schemeClr w14:val="tx1"/>
                  </w14:solidFill>
                </w14:textFill>
              </w:rPr>
              <w:t>5</w:t>
            </w:r>
            <w:r>
              <w:rPr>
                <w:rStyle w:val="34"/>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m</w:t>
            </w:r>
            <w:r>
              <w:rPr>
                <w:rStyle w:val="34"/>
                <w:rFonts w:hint="default" w:ascii="Times New Roman" w:hAnsi="Times New Roman" w:cs="Times New Roman"/>
                <w:color w:val="000000" w:themeColor="text1"/>
                <w:kern w:val="0"/>
                <w:sz w:val="24"/>
                <w:szCs w:val="24"/>
                <w:highlight w:val="none"/>
                <w:vertAlign w:val="superscript"/>
                <w:lang w:val="en-US" w:eastAsia="zh-CN"/>
                <w14:textFill>
                  <w14:solidFill>
                    <w14:schemeClr w14:val="tx1"/>
                  </w14:solidFill>
                </w14:textFill>
              </w:rPr>
              <w:t>2</w:t>
            </w:r>
            <w:r>
              <w:rPr>
                <w:rStyle w:val="34"/>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，交由有</w:t>
            </w:r>
            <w:r>
              <w:rPr>
                <w:rFonts w:hint="eastAsia"/>
                <w:color w:val="000000" w:themeColor="text1"/>
                <w:highlight w:val="none"/>
                <w:lang w:eastAsia="zh-CN"/>
                <w14:textFill>
                  <w14:solidFill>
                    <w14:schemeClr w14:val="tx1"/>
                  </w14:solidFill>
                </w14:textFill>
              </w:rPr>
              <w:t>危废处置资质单位</w:t>
            </w:r>
            <w:r>
              <w:rPr>
                <w:rFonts w:hint="eastAsia"/>
                <w:color w:val="000000" w:themeColor="text1"/>
                <w:highlight w:val="none"/>
                <w14:textFill>
                  <w14:solidFill>
                    <w14:schemeClr w14:val="tx1"/>
                  </w14:solidFill>
                </w14:textFill>
              </w:rPr>
              <w:t>处置；生活垃圾分类收集后由环卫部门清运。</w:t>
            </w:r>
          </w:p>
        </w:tc>
      </w:tr>
      <w:tr w14:paraId="5A889D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pct"/>
            <w:noWrap w:val="0"/>
            <w:vAlign w:val="center"/>
          </w:tcPr>
          <w:p w14:paraId="2546FFD8">
            <w:pPr>
              <w:adjustRightInd w:val="0"/>
              <w:snapToGrid w:val="0"/>
              <w:spacing w:line="240" w:lineRule="auto"/>
              <w:jc w:val="center"/>
              <w:rPr>
                <w:rFonts w:hint="eastAsia" w:cs="宋体"/>
                <w:color w:val="000000"/>
                <w:szCs w:val="21"/>
              </w:rPr>
            </w:pPr>
            <w:r>
              <w:rPr>
                <w:rFonts w:hint="eastAsia" w:cs="宋体"/>
                <w:color w:val="000000"/>
                <w:szCs w:val="21"/>
              </w:rPr>
              <w:t>土壤及地下水污染防治措施</w:t>
            </w:r>
          </w:p>
        </w:tc>
        <w:tc>
          <w:tcPr>
            <w:tcW w:w="4261" w:type="pct"/>
            <w:gridSpan w:val="4"/>
            <w:noWrap w:val="0"/>
            <w:vAlign w:val="center"/>
          </w:tcPr>
          <w:p w14:paraId="2119334C">
            <w:pPr>
              <w:adjustRightInd w:val="0"/>
              <w:snapToGrid w:val="0"/>
              <w:jc w:val="left"/>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①项目原料放置区中的原料机油放置于托盘内；若包装桶破损，能够有效防止液体的外泄，避免对环境造成污染和危害，及时清理和转移液体。</w:t>
            </w:r>
          </w:p>
          <w:p w14:paraId="1970994D">
            <w:pPr>
              <w:adjustRightInd w:val="0"/>
              <w:snapToGrid w:val="0"/>
              <w:jc w:val="left"/>
              <w:rPr>
                <w:rFonts w:hint="eastAsia" w:eastAsia="宋体"/>
                <w:color w:val="FF0000"/>
                <w:lang w:eastAsia="zh-CN"/>
              </w:rPr>
            </w:pPr>
            <w:r>
              <w:rPr>
                <w:rFonts w:hint="eastAsia" w:eastAsia="宋体"/>
                <w:color w:val="000000" w:themeColor="text1"/>
                <w:lang w:eastAsia="zh-CN"/>
                <w14:textFill>
                  <w14:solidFill>
                    <w14:schemeClr w14:val="tx1"/>
                  </w14:solidFill>
                </w14:textFill>
              </w:rPr>
              <w:t>②本项目产生的危险废物主要为</w:t>
            </w:r>
            <w:r>
              <w:rPr>
                <w:rFonts w:hint="eastAsia"/>
                <w:color w:val="000000" w:themeColor="text1"/>
                <w:lang w:eastAsia="zh-CN"/>
                <w14:textFill>
                  <w14:solidFill>
                    <w14:schemeClr w14:val="tx1"/>
                  </w14:solidFill>
                </w14:textFill>
              </w:rPr>
              <w:t>废液压油、废油桶、废活性炭、含油抹布</w:t>
            </w:r>
            <w:r>
              <w:rPr>
                <w:rFonts w:hint="eastAsia" w:eastAsia="宋体"/>
                <w:color w:val="000000" w:themeColor="text1"/>
                <w:lang w:eastAsia="zh-CN"/>
                <w14:textFill>
                  <w14:solidFill>
                    <w14:schemeClr w14:val="tx1"/>
                  </w14:solidFill>
                </w14:textFill>
              </w:rPr>
              <w:t>等，公司拟建</w:t>
            </w:r>
            <w:r>
              <w:rPr>
                <w:rFonts w:hint="eastAsia"/>
                <w:color w:val="000000" w:themeColor="text1"/>
                <w:lang w:val="en-US" w:eastAsia="zh-CN"/>
                <w14:textFill>
                  <w14:solidFill>
                    <w14:schemeClr w14:val="tx1"/>
                  </w14:solidFill>
                </w14:textFill>
              </w:rPr>
              <w:t>一间</w:t>
            </w:r>
            <w:r>
              <w:rPr>
                <w:rFonts w:hint="eastAsia" w:eastAsia="宋体"/>
                <w:color w:val="000000" w:themeColor="text1"/>
                <w:lang w:eastAsia="zh-CN"/>
                <w14:textFill>
                  <w14:solidFill>
                    <w14:schemeClr w14:val="tx1"/>
                  </w14:solidFill>
                </w14:textFill>
              </w:rPr>
              <w:t>1</w:t>
            </w:r>
            <w:r>
              <w:rPr>
                <w:rFonts w:hint="eastAsia"/>
                <w:color w:val="000000" w:themeColor="text1"/>
                <w:lang w:val="en-US" w:eastAsia="zh-CN"/>
                <w14:textFill>
                  <w14:solidFill>
                    <w14:schemeClr w14:val="tx1"/>
                  </w14:solidFill>
                </w14:textFill>
              </w:rPr>
              <w:t>5</w:t>
            </w:r>
            <w:r>
              <w:rPr>
                <w:rFonts w:hint="eastAsia" w:eastAsia="宋体"/>
                <w:color w:val="000000" w:themeColor="text1"/>
                <w:lang w:eastAsia="zh-CN"/>
                <w14:textFill>
                  <w14:solidFill>
                    <w14:schemeClr w14:val="tx1"/>
                  </w14:solidFill>
                </w14:textFill>
              </w:rPr>
              <w:t>m</w:t>
            </w:r>
            <w:r>
              <w:rPr>
                <w:rFonts w:hint="eastAsia" w:eastAsia="宋体"/>
                <w:color w:val="000000" w:themeColor="text1"/>
                <w:vertAlign w:val="superscript"/>
                <w:lang w:eastAsia="zh-CN"/>
                <w14:textFill>
                  <w14:solidFill>
                    <w14:schemeClr w14:val="tx1"/>
                  </w14:solidFill>
                </w14:textFill>
              </w:rPr>
              <w:t>2</w:t>
            </w:r>
            <w:r>
              <w:rPr>
                <w:rFonts w:hint="eastAsia" w:eastAsia="宋体"/>
                <w:color w:val="000000" w:themeColor="text1"/>
                <w:lang w:eastAsia="zh-CN"/>
                <w14:textFill>
                  <w14:solidFill>
                    <w14:schemeClr w14:val="tx1"/>
                  </w14:solidFill>
                </w14:textFill>
              </w:rPr>
              <w:t>危废库，位于2F，地面进行重点防渗设计，桶装危废应置于托盘内。</w:t>
            </w:r>
          </w:p>
        </w:tc>
      </w:tr>
      <w:tr w14:paraId="58162B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pct"/>
            <w:noWrap w:val="0"/>
            <w:vAlign w:val="center"/>
          </w:tcPr>
          <w:p w14:paraId="3DBB2EF9">
            <w:pPr>
              <w:adjustRightInd w:val="0"/>
              <w:snapToGrid w:val="0"/>
              <w:spacing w:line="240" w:lineRule="auto"/>
              <w:jc w:val="center"/>
              <w:rPr>
                <w:rFonts w:hint="eastAsia" w:cs="宋体"/>
                <w:color w:val="000000"/>
                <w:szCs w:val="21"/>
              </w:rPr>
            </w:pPr>
            <w:r>
              <w:rPr>
                <w:rFonts w:hint="eastAsia" w:cs="宋体"/>
                <w:color w:val="000000"/>
                <w:szCs w:val="21"/>
              </w:rPr>
              <w:t>生态保护措施</w:t>
            </w:r>
          </w:p>
        </w:tc>
        <w:tc>
          <w:tcPr>
            <w:tcW w:w="4261" w:type="pct"/>
            <w:gridSpan w:val="4"/>
            <w:noWrap w:val="0"/>
            <w:vAlign w:val="center"/>
          </w:tcPr>
          <w:p w14:paraId="07CBF57E">
            <w:pPr>
              <w:adjustRightInd w:val="0"/>
              <w:snapToGrid w:val="0"/>
              <w:spacing w:line="240" w:lineRule="auto"/>
              <w:jc w:val="center"/>
              <w:rPr>
                <w:rFonts w:hint="eastAsia" w:ascii="宋体" w:hAnsi="宋体" w:cs="宋体"/>
                <w:color w:val="000000"/>
              </w:rPr>
            </w:pPr>
            <w:r>
              <w:rPr>
                <w:rFonts w:hint="eastAsia" w:ascii="宋体" w:hAnsi="宋体" w:cs="宋体"/>
                <w:color w:val="000000"/>
              </w:rPr>
              <w:t>不涉及</w:t>
            </w:r>
          </w:p>
        </w:tc>
      </w:tr>
      <w:tr w14:paraId="4BE380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2" w:hRule="atLeast"/>
          <w:jc w:val="center"/>
        </w:trPr>
        <w:tc>
          <w:tcPr>
            <w:tcW w:w="738" w:type="pct"/>
            <w:noWrap w:val="0"/>
            <w:vAlign w:val="center"/>
          </w:tcPr>
          <w:p w14:paraId="3696EEF5">
            <w:pPr>
              <w:adjustRightInd w:val="0"/>
              <w:snapToGrid w:val="0"/>
              <w:spacing w:line="240" w:lineRule="auto"/>
              <w:jc w:val="center"/>
              <w:rPr>
                <w:rFonts w:hint="eastAsia" w:cs="宋体"/>
                <w:color w:val="000000"/>
                <w:spacing w:val="-8"/>
                <w:szCs w:val="21"/>
              </w:rPr>
            </w:pPr>
            <w:r>
              <w:rPr>
                <w:rFonts w:hint="eastAsia" w:cs="宋体"/>
                <w:color w:val="000000"/>
                <w:spacing w:val="-8"/>
                <w:szCs w:val="21"/>
              </w:rPr>
              <w:t>环境风险防范措施</w:t>
            </w:r>
          </w:p>
        </w:tc>
        <w:tc>
          <w:tcPr>
            <w:tcW w:w="4261" w:type="pct"/>
            <w:gridSpan w:val="4"/>
            <w:noWrap w:val="0"/>
            <w:vAlign w:val="top"/>
          </w:tcPr>
          <w:p w14:paraId="41DD7BEF">
            <w:pPr>
              <w:numPr>
                <w:ilvl w:val="0"/>
                <w:numId w:val="13"/>
              </w:numPr>
              <w:adjustRightInd w:val="0"/>
              <w:snapToGrid w:val="0"/>
              <w:ind w:firstLine="482" w:firstLineChars="200"/>
              <w:rPr>
                <w:rStyle w:val="34"/>
                <w:rFonts w:hint="eastAsia"/>
                <w:color w:val="000000"/>
                <w:sz w:val="24"/>
              </w:rPr>
            </w:pPr>
            <w:r>
              <w:rPr>
                <w:rStyle w:val="34"/>
                <w:rFonts w:hint="eastAsia"/>
                <w:b/>
                <w:bCs/>
                <w:color w:val="000000"/>
                <w:sz w:val="24"/>
              </w:rPr>
              <w:t>大气环境风险防范措施</w:t>
            </w:r>
          </w:p>
          <w:p w14:paraId="035AB396">
            <w:pPr>
              <w:adjustRightInd w:val="0"/>
              <w:snapToGrid w:val="0"/>
              <w:ind w:firstLine="480" w:firstLineChars="200"/>
              <w:rPr>
                <w:rStyle w:val="34"/>
                <w:rFonts w:hint="eastAsia"/>
                <w:color w:val="000000"/>
                <w:sz w:val="24"/>
              </w:rPr>
            </w:pPr>
            <w:r>
              <w:rPr>
                <w:rStyle w:val="34"/>
                <w:rFonts w:hint="eastAsia"/>
                <w:color w:val="000000"/>
                <w:sz w:val="24"/>
              </w:rPr>
              <w:t>为防止火灾等其他潜在风险，厂区内应设泡沫灭火器、火灾报警系统等，并定期专人检查和维护。当火灾爆炸事故发生后，企业应及时处理事故，联合外部救援力量进行灭火和转移其他易燃物质的工作，避免产生更大量的有毒烟气。同时，必须紧急疏散周围人群到上风向，并设置隔离区，在事故处理完毕、检测确认空气质量达标前不得进入。</w:t>
            </w:r>
          </w:p>
          <w:p w14:paraId="6FE03D76">
            <w:pPr>
              <w:numPr>
                <w:ilvl w:val="0"/>
                <w:numId w:val="13"/>
              </w:numPr>
              <w:adjustRightInd w:val="0"/>
              <w:snapToGrid w:val="0"/>
              <w:ind w:firstLine="482" w:firstLineChars="200"/>
              <w:rPr>
                <w:rStyle w:val="34"/>
                <w:rFonts w:hint="eastAsia"/>
                <w:b/>
                <w:bCs/>
                <w:color w:val="000000"/>
                <w:sz w:val="24"/>
              </w:rPr>
            </w:pPr>
            <w:r>
              <w:rPr>
                <w:rStyle w:val="34"/>
                <w:rFonts w:hint="eastAsia"/>
                <w:b/>
                <w:bCs/>
                <w:color w:val="000000"/>
                <w:sz w:val="24"/>
              </w:rPr>
              <w:t>危险废物环境风险防范措施</w:t>
            </w:r>
          </w:p>
          <w:p w14:paraId="7ECD3F48">
            <w:pPr>
              <w:adjustRightInd w:val="0"/>
              <w:snapToGrid w:val="0"/>
              <w:ind w:firstLine="480" w:firstLineChars="200"/>
              <w:rPr>
                <w:rStyle w:val="34"/>
                <w:rFonts w:hint="eastAsia"/>
                <w:color w:val="000000"/>
                <w:sz w:val="24"/>
              </w:rPr>
            </w:pPr>
            <w:r>
              <w:rPr>
                <w:rStyle w:val="34"/>
                <w:rFonts w:hint="eastAsia"/>
                <w:color w:val="000000"/>
                <w:sz w:val="24"/>
              </w:rPr>
              <w:t>加强和完善危险废物的收集、暂存、交接等环节的管理，对危险废物的处理应设专人责任负责制，负责人在接管前应全面学习有关危险废物处理的有关法规和操作方法。做好危险废物有关资料的记录。</w:t>
            </w:r>
          </w:p>
          <w:p w14:paraId="5DE7B3CD">
            <w:pPr>
              <w:numPr>
                <w:ilvl w:val="0"/>
                <w:numId w:val="13"/>
              </w:numPr>
              <w:adjustRightInd w:val="0"/>
              <w:snapToGrid w:val="0"/>
              <w:ind w:firstLine="482" w:firstLineChars="200"/>
              <w:rPr>
                <w:rStyle w:val="34"/>
                <w:rFonts w:hint="eastAsia"/>
                <w:b/>
                <w:bCs/>
                <w:color w:val="000000"/>
                <w:sz w:val="24"/>
              </w:rPr>
            </w:pPr>
            <w:r>
              <w:rPr>
                <w:rStyle w:val="34"/>
                <w:rFonts w:hint="eastAsia"/>
                <w:b/>
                <w:bCs/>
                <w:color w:val="000000"/>
                <w:sz w:val="24"/>
              </w:rPr>
              <w:t>分区防渗措施</w:t>
            </w:r>
          </w:p>
          <w:p w14:paraId="6C938F9D">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cs="宋体"/>
                <w:color w:val="000000"/>
              </w:rPr>
            </w:pPr>
            <w:r>
              <w:rPr>
                <w:rFonts w:hint="eastAsia"/>
                <w:color w:val="000000"/>
                <w:kern w:val="0"/>
              </w:rPr>
              <w:t>危废库</w:t>
            </w:r>
            <w:r>
              <w:rPr>
                <w:rStyle w:val="34"/>
                <w:rFonts w:hint="eastAsia"/>
                <w:color w:val="000000"/>
                <w:sz w:val="24"/>
              </w:rPr>
              <w:t>属于重点防渗区，需满足重点防渗的相关要求。其他区域满足一般防渗要求。</w:t>
            </w:r>
          </w:p>
        </w:tc>
      </w:tr>
      <w:tr w14:paraId="535684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2" w:hRule="atLeast"/>
          <w:jc w:val="center"/>
        </w:trPr>
        <w:tc>
          <w:tcPr>
            <w:tcW w:w="738" w:type="pct"/>
            <w:noWrap w:val="0"/>
            <w:vAlign w:val="center"/>
          </w:tcPr>
          <w:p w14:paraId="2FCE8B54">
            <w:pPr>
              <w:adjustRightInd w:val="0"/>
              <w:snapToGrid w:val="0"/>
              <w:spacing w:line="240" w:lineRule="auto"/>
              <w:jc w:val="center"/>
              <w:rPr>
                <w:rFonts w:cs="宋体"/>
                <w:color w:val="000000"/>
                <w:spacing w:val="-8"/>
                <w:szCs w:val="21"/>
              </w:rPr>
            </w:pPr>
            <w:r>
              <w:rPr>
                <w:rFonts w:hint="eastAsia" w:cs="宋体"/>
                <w:color w:val="000000"/>
                <w:spacing w:val="-8"/>
                <w:szCs w:val="21"/>
              </w:rPr>
              <w:t>其他环境</w:t>
            </w:r>
          </w:p>
          <w:p w14:paraId="02253FAD">
            <w:pPr>
              <w:adjustRightInd w:val="0"/>
              <w:snapToGrid w:val="0"/>
              <w:spacing w:line="240" w:lineRule="auto"/>
              <w:jc w:val="center"/>
              <w:rPr>
                <w:rFonts w:hint="eastAsia" w:cs="宋体"/>
                <w:color w:val="000000"/>
                <w:spacing w:val="-8"/>
                <w:szCs w:val="21"/>
              </w:rPr>
            </w:pPr>
            <w:r>
              <w:rPr>
                <w:rFonts w:hint="eastAsia" w:cs="宋体"/>
                <w:color w:val="000000"/>
                <w:spacing w:val="-8"/>
                <w:szCs w:val="21"/>
              </w:rPr>
              <w:t>管理要求</w:t>
            </w:r>
          </w:p>
        </w:tc>
        <w:tc>
          <w:tcPr>
            <w:tcW w:w="4261" w:type="pct"/>
            <w:gridSpan w:val="4"/>
            <w:noWrap w:val="0"/>
            <w:vAlign w:val="top"/>
          </w:tcPr>
          <w:p w14:paraId="0B856623">
            <w:pPr>
              <w:ind w:firstLine="482" w:firstLineChars="200"/>
              <w:rPr>
                <w:b/>
                <w:bCs/>
                <w:color w:val="000000"/>
              </w:rPr>
            </w:pPr>
            <w:r>
              <w:rPr>
                <w:b/>
                <w:bCs/>
                <w:color w:val="000000"/>
              </w:rPr>
              <w:t>1、排污口规范化设置</w:t>
            </w:r>
          </w:p>
          <w:p w14:paraId="12AA34DD">
            <w:pPr>
              <w:ind w:firstLine="480" w:firstLineChars="200"/>
              <w:rPr>
                <w:rFonts w:hint="eastAsia"/>
                <w:color w:val="000000"/>
              </w:rPr>
            </w:pPr>
            <w:r>
              <w:rPr>
                <w:color w:val="000000"/>
              </w:rPr>
              <w:t>标示牌的设置应按《关于印发排放口标志牌技术规格的通知》（环办</w:t>
            </w:r>
            <w:r>
              <w:rPr>
                <w:rFonts w:hint="eastAsia"/>
                <w:color w:val="000000"/>
              </w:rPr>
              <w:t>〔</w:t>
            </w:r>
            <w:r>
              <w:rPr>
                <w:color w:val="000000"/>
              </w:rPr>
              <w:t>2003</w:t>
            </w:r>
            <w:r>
              <w:rPr>
                <w:rFonts w:hint="eastAsia"/>
                <w:color w:val="000000"/>
              </w:rPr>
              <w:t>〕</w:t>
            </w:r>
            <w:r>
              <w:rPr>
                <w:color w:val="000000"/>
              </w:rPr>
              <w:t>95号）中的相关规定实施，统计所有排污口的名称、位置、数量，以及排放的污染物名称、数量等内容上报当地环保部门，以便进行验收和排污口的规范化管理。图形符号分为提示图形和警告图形符号两种，分别按（GB15562.1-1995）、（GB15562.2-1995）</w:t>
            </w:r>
            <w:r>
              <w:rPr>
                <w:rFonts w:hint="eastAsia"/>
                <w:color w:val="000000"/>
              </w:rPr>
              <w:t>及修改单</w:t>
            </w:r>
            <w:r>
              <w:rPr>
                <w:color w:val="000000"/>
              </w:rPr>
              <w:t>执行。环境保护图形标志的形状及颜色见下表</w:t>
            </w:r>
            <w:r>
              <w:rPr>
                <w:rFonts w:hint="eastAsia"/>
                <w:color w:val="000000"/>
              </w:rPr>
              <w:t>。</w:t>
            </w:r>
          </w:p>
          <w:p w14:paraId="0AE1F519">
            <w:pPr>
              <w:pStyle w:val="59"/>
              <w:spacing w:line="240" w:lineRule="auto"/>
              <w:rPr>
                <w:color w:val="000000"/>
              </w:rPr>
            </w:pPr>
            <w:r>
              <w:rPr>
                <w:color w:val="000000"/>
              </w:rPr>
              <w:t>表</w:t>
            </w:r>
            <w:r>
              <w:rPr>
                <w:rFonts w:hint="eastAsia"/>
                <w:color w:val="000000"/>
              </w:rPr>
              <w:t>5-1</w:t>
            </w:r>
            <w:r>
              <w:rPr>
                <w:color w:val="000000"/>
              </w:rPr>
              <w:t xml:space="preserve"> </w:t>
            </w:r>
            <w:r>
              <w:rPr>
                <w:rFonts w:hint="eastAsia"/>
                <w:color w:val="000000"/>
              </w:rPr>
              <w:t>项目</w:t>
            </w:r>
            <w:r>
              <w:rPr>
                <w:color w:val="000000"/>
              </w:rPr>
              <w:t>环境保护图形符号表</w:t>
            </w:r>
          </w:p>
          <w:tbl>
            <w:tblPr>
              <w:tblStyle w:val="29"/>
              <w:tblW w:w="4998" w:type="pct"/>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57" w:type="dxa"/>
                <w:bottom w:w="0" w:type="dxa"/>
                <w:right w:w="57" w:type="dxa"/>
              </w:tblCellMar>
            </w:tblPr>
            <w:tblGrid>
              <w:gridCol w:w="547"/>
              <w:gridCol w:w="2717"/>
              <w:gridCol w:w="2112"/>
              <w:gridCol w:w="961"/>
              <w:gridCol w:w="1222"/>
            </w:tblGrid>
            <w:tr w14:paraId="2188DDAE">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454" w:hRule="atLeast"/>
              </w:trPr>
              <w:tc>
                <w:tcPr>
                  <w:tcW w:w="362" w:type="pct"/>
                  <w:noWrap w:val="0"/>
                  <w:vAlign w:val="center"/>
                </w:tcPr>
                <w:p w14:paraId="6AABD321">
                  <w:pPr>
                    <w:pStyle w:val="65"/>
                    <w:keepNext w:val="0"/>
                    <w:keepLines w:val="0"/>
                    <w:pageBreakBefore w:val="0"/>
                    <w:widowControl w:val="0"/>
                    <w:kinsoku/>
                    <w:wordWrap/>
                    <w:overflowPunct/>
                    <w:topLinePunct w:val="0"/>
                    <w:autoSpaceDE/>
                    <w:autoSpaceDN/>
                    <w:bidi w:val="0"/>
                    <w:adjustRightInd/>
                    <w:snapToGrid/>
                    <w:textAlignment w:val="auto"/>
                    <w:rPr>
                      <w:b/>
                      <w:bCs/>
                      <w:color w:val="000000"/>
                      <w:szCs w:val="21"/>
                    </w:rPr>
                  </w:pPr>
                  <w:r>
                    <w:rPr>
                      <w:b/>
                      <w:bCs/>
                      <w:color w:val="000000"/>
                      <w:szCs w:val="21"/>
                    </w:rPr>
                    <w:t>序号</w:t>
                  </w:r>
                </w:p>
              </w:tc>
              <w:tc>
                <w:tcPr>
                  <w:tcW w:w="1796" w:type="pct"/>
                  <w:noWrap w:val="0"/>
                  <w:vAlign w:val="center"/>
                </w:tcPr>
                <w:p w14:paraId="4DE8E1CC">
                  <w:pPr>
                    <w:pStyle w:val="65"/>
                    <w:keepNext w:val="0"/>
                    <w:keepLines w:val="0"/>
                    <w:pageBreakBefore w:val="0"/>
                    <w:widowControl w:val="0"/>
                    <w:kinsoku/>
                    <w:wordWrap/>
                    <w:overflowPunct/>
                    <w:topLinePunct w:val="0"/>
                    <w:autoSpaceDE/>
                    <w:autoSpaceDN/>
                    <w:bidi w:val="0"/>
                    <w:adjustRightInd/>
                    <w:snapToGrid/>
                    <w:textAlignment w:val="auto"/>
                    <w:rPr>
                      <w:b/>
                      <w:bCs/>
                      <w:color w:val="000000"/>
                      <w:szCs w:val="21"/>
                    </w:rPr>
                  </w:pPr>
                  <w:r>
                    <w:rPr>
                      <w:b/>
                      <w:bCs/>
                      <w:color w:val="000000"/>
                      <w:szCs w:val="21"/>
                    </w:rPr>
                    <w:t>提示图形符号</w:t>
                  </w:r>
                </w:p>
              </w:tc>
              <w:tc>
                <w:tcPr>
                  <w:tcW w:w="1396" w:type="pct"/>
                  <w:noWrap w:val="0"/>
                  <w:vAlign w:val="center"/>
                </w:tcPr>
                <w:p w14:paraId="1074B3E0">
                  <w:pPr>
                    <w:pStyle w:val="65"/>
                    <w:keepNext w:val="0"/>
                    <w:keepLines w:val="0"/>
                    <w:pageBreakBefore w:val="0"/>
                    <w:widowControl w:val="0"/>
                    <w:kinsoku/>
                    <w:wordWrap/>
                    <w:overflowPunct/>
                    <w:topLinePunct w:val="0"/>
                    <w:autoSpaceDE/>
                    <w:autoSpaceDN/>
                    <w:bidi w:val="0"/>
                    <w:adjustRightInd/>
                    <w:snapToGrid/>
                    <w:textAlignment w:val="auto"/>
                    <w:rPr>
                      <w:b/>
                      <w:bCs/>
                      <w:color w:val="000000"/>
                      <w:szCs w:val="21"/>
                    </w:rPr>
                  </w:pPr>
                  <w:r>
                    <w:rPr>
                      <w:b/>
                      <w:bCs/>
                      <w:color w:val="000000"/>
                      <w:szCs w:val="21"/>
                    </w:rPr>
                    <w:t>警告图形符号</w:t>
                  </w:r>
                </w:p>
              </w:tc>
              <w:tc>
                <w:tcPr>
                  <w:tcW w:w="635" w:type="pct"/>
                  <w:noWrap w:val="0"/>
                  <w:vAlign w:val="center"/>
                </w:tcPr>
                <w:p w14:paraId="61CF92EB">
                  <w:pPr>
                    <w:pStyle w:val="65"/>
                    <w:keepNext w:val="0"/>
                    <w:keepLines w:val="0"/>
                    <w:pageBreakBefore w:val="0"/>
                    <w:widowControl w:val="0"/>
                    <w:kinsoku/>
                    <w:wordWrap/>
                    <w:overflowPunct/>
                    <w:topLinePunct w:val="0"/>
                    <w:autoSpaceDE/>
                    <w:autoSpaceDN/>
                    <w:bidi w:val="0"/>
                    <w:adjustRightInd/>
                    <w:snapToGrid/>
                    <w:textAlignment w:val="auto"/>
                    <w:rPr>
                      <w:b/>
                      <w:bCs/>
                      <w:color w:val="000000"/>
                      <w:szCs w:val="21"/>
                    </w:rPr>
                  </w:pPr>
                  <w:r>
                    <w:rPr>
                      <w:b/>
                      <w:bCs/>
                      <w:color w:val="000000"/>
                      <w:szCs w:val="21"/>
                    </w:rPr>
                    <w:t>名称</w:t>
                  </w:r>
                </w:p>
              </w:tc>
              <w:tc>
                <w:tcPr>
                  <w:tcW w:w="808" w:type="pct"/>
                  <w:noWrap w:val="0"/>
                  <w:vAlign w:val="center"/>
                </w:tcPr>
                <w:p w14:paraId="77867079">
                  <w:pPr>
                    <w:pStyle w:val="65"/>
                    <w:keepNext w:val="0"/>
                    <w:keepLines w:val="0"/>
                    <w:pageBreakBefore w:val="0"/>
                    <w:widowControl w:val="0"/>
                    <w:kinsoku/>
                    <w:wordWrap/>
                    <w:overflowPunct/>
                    <w:topLinePunct w:val="0"/>
                    <w:autoSpaceDE/>
                    <w:autoSpaceDN/>
                    <w:bidi w:val="0"/>
                    <w:adjustRightInd/>
                    <w:snapToGrid/>
                    <w:textAlignment w:val="auto"/>
                    <w:rPr>
                      <w:b/>
                      <w:bCs/>
                      <w:color w:val="000000"/>
                      <w:szCs w:val="21"/>
                    </w:rPr>
                  </w:pPr>
                  <w:r>
                    <w:rPr>
                      <w:b/>
                      <w:bCs/>
                      <w:color w:val="000000"/>
                      <w:szCs w:val="21"/>
                    </w:rPr>
                    <w:t>功能</w:t>
                  </w:r>
                </w:p>
              </w:tc>
            </w:tr>
            <w:tr w14:paraId="33D6BDF8">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454" w:hRule="atLeast"/>
              </w:trPr>
              <w:tc>
                <w:tcPr>
                  <w:tcW w:w="362" w:type="pct"/>
                  <w:noWrap w:val="0"/>
                  <w:vAlign w:val="center"/>
                </w:tcPr>
                <w:p w14:paraId="73CF0CF7">
                  <w:pPr>
                    <w:pStyle w:val="65"/>
                    <w:keepNext w:val="0"/>
                    <w:keepLines w:val="0"/>
                    <w:pageBreakBefore w:val="0"/>
                    <w:widowControl w:val="0"/>
                    <w:kinsoku/>
                    <w:wordWrap/>
                    <w:overflowPunct/>
                    <w:topLinePunct w:val="0"/>
                    <w:autoSpaceDE/>
                    <w:autoSpaceDN/>
                    <w:bidi w:val="0"/>
                    <w:adjustRightInd/>
                    <w:snapToGrid/>
                    <w:textAlignment w:val="auto"/>
                    <w:rPr>
                      <w:color w:val="000000"/>
                      <w:szCs w:val="21"/>
                    </w:rPr>
                  </w:pPr>
                  <w:r>
                    <w:rPr>
                      <w:color w:val="000000"/>
                      <w:szCs w:val="21"/>
                    </w:rPr>
                    <w:t>1</w:t>
                  </w:r>
                </w:p>
              </w:tc>
              <w:tc>
                <w:tcPr>
                  <w:tcW w:w="1796" w:type="pct"/>
                  <w:noWrap w:val="0"/>
                  <w:vAlign w:val="center"/>
                </w:tcPr>
                <w:p w14:paraId="4CEC8853">
                  <w:pPr>
                    <w:pStyle w:val="65"/>
                    <w:keepNext w:val="0"/>
                    <w:keepLines w:val="0"/>
                    <w:pageBreakBefore w:val="0"/>
                    <w:widowControl w:val="0"/>
                    <w:kinsoku/>
                    <w:wordWrap/>
                    <w:overflowPunct/>
                    <w:topLinePunct w:val="0"/>
                    <w:autoSpaceDE/>
                    <w:autoSpaceDN/>
                    <w:bidi w:val="0"/>
                    <w:adjustRightInd/>
                    <w:snapToGrid/>
                    <w:textAlignment w:val="auto"/>
                    <w:rPr>
                      <w:color w:val="000000"/>
                      <w:szCs w:val="21"/>
                    </w:rPr>
                  </w:pPr>
                  <w:r>
                    <w:rPr>
                      <w:color w:val="000000"/>
                    </w:rPr>
                    <w:drawing>
                      <wp:inline distT="0" distB="0" distL="114300" distR="114300">
                        <wp:extent cx="1045845" cy="761365"/>
                        <wp:effectExtent l="0" t="0" r="1905" b="635"/>
                        <wp:docPr id="2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2"/>
                                <pic:cNvPicPr>
                                  <a:picLocks noChangeAspect="1"/>
                                </pic:cNvPicPr>
                              </pic:nvPicPr>
                              <pic:blipFill>
                                <a:blip r:embed="rId26"/>
                                <a:stretch>
                                  <a:fillRect/>
                                </a:stretch>
                              </pic:blipFill>
                              <pic:spPr>
                                <a:xfrm>
                                  <a:off x="0" y="0"/>
                                  <a:ext cx="1045845" cy="761365"/>
                                </a:xfrm>
                                <a:prstGeom prst="rect">
                                  <a:avLst/>
                                </a:prstGeom>
                                <a:noFill/>
                                <a:ln>
                                  <a:noFill/>
                                </a:ln>
                              </pic:spPr>
                            </pic:pic>
                          </a:graphicData>
                        </a:graphic>
                      </wp:inline>
                    </w:drawing>
                  </w:r>
                </w:p>
              </w:tc>
              <w:tc>
                <w:tcPr>
                  <w:tcW w:w="1396" w:type="pct"/>
                  <w:noWrap w:val="0"/>
                  <w:vAlign w:val="center"/>
                </w:tcPr>
                <w:p w14:paraId="1C5F175F">
                  <w:pPr>
                    <w:pStyle w:val="65"/>
                    <w:keepNext w:val="0"/>
                    <w:keepLines w:val="0"/>
                    <w:pageBreakBefore w:val="0"/>
                    <w:widowControl w:val="0"/>
                    <w:kinsoku/>
                    <w:wordWrap/>
                    <w:overflowPunct/>
                    <w:topLinePunct w:val="0"/>
                    <w:autoSpaceDE/>
                    <w:autoSpaceDN/>
                    <w:bidi w:val="0"/>
                    <w:adjustRightInd/>
                    <w:snapToGrid/>
                    <w:textAlignment w:val="auto"/>
                    <w:rPr>
                      <w:rFonts w:hint="eastAsia"/>
                      <w:color w:val="000000"/>
                      <w:szCs w:val="21"/>
                    </w:rPr>
                  </w:pPr>
                  <w:r>
                    <w:rPr>
                      <w:color w:val="000000"/>
                    </w:rPr>
                    <w:drawing>
                      <wp:inline distT="0" distB="0" distL="114300" distR="114300">
                        <wp:extent cx="982980" cy="942975"/>
                        <wp:effectExtent l="0" t="0" r="7620" b="9525"/>
                        <wp:docPr id="2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3"/>
                                <pic:cNvPicPr>
                                  <a:picLocks noChangeAspect="1"/>
                                </pic:cNvPicPr>
                              </pic:nvPicPr>
                              <pic:blipFill>
                                <a:blip r:embed="rId27"/>
                                <a:srcRect l="15135" t="15224" r="9055"/>
                                <a:stretch>
                                  <a:fillRect/>
                                </a:stretch>
                              </pic:blipFill>
                              <pic:spPr>
                                <a:xfrm>
                                  <a:off x="0" y="0"/>
                                  <a:ext cx="982980" cy="942975"/>
                                </a:xfrm>
                                <a:prstGeom prst="rect">
                                  <a:avLst/>
                                </a:prstGeom>
                                <a:noFill/>
                                <a:ln>
                                  <a:noFill/>
                                </a:ln>
                              </pic:spPr>
                            </pic:pic>
                          </a:graphicData>
                        </a:graphic>
                      </wp:inline>
                    </w:drawing>
                  </w:r>
                </w:p>
              </w:tc>
              <w:tc>
                <w:tcPr>
                  <w:tcW w:w="635" w:type="pct"/>
                  <w:noWrap w:val="0"/>
                  <w:vAlign w:val="center"/>
                </w:tcPr>
                <w:p w14:paraId="5CB1F579">
                  <w:pPr>
                    <w:pStyle w:val="65"/>
                    <w:keepNext w:val="0"/>
                    <w:keepLines w:val="0"/>
                    <w:pageBreakBefore w:val="0"/>
                    <w:widowControl w:val="0"/>
                    <w:kinsoku/>
                    <w:wordWrap/>
                    <w:overflowPunct/>
                    <w:topLinePunct w:val="0"/>
                    <w:autoSpaceDE/>
                    <w:autoSpaceDN/>
                    <w:bidi w:val="0"/>
                    <w:adjustRightInd/>
                    <w:snapToGrid/>
                    <w:textAlignment w:val="auto"/>
                    <w:rPr>
                      <w:color w:val="000000"/>
                      <w:szCs w:val="21"/>
                    </w:rPr>
                  </w:pPr>
                  <w:r>
                    <w:rPr>
                      <w:color w:val="000000"/>
                      <w:szCs w:val="21"/>
                    </w:rPr>
                    <w:t>污水排放口</w:t>
                  </w:r>
                </w:p>
              </w:tc>
              <w:tc>
                <w:tcPr>
                  <w:tcW w:w="808" w:type="pct"/>
                  <w:noWrap w:val="0"/>
                  <w:vAlign w:val="center"/>
                </w:tcPr>
                <w:p w14:paraId="366C523F">
                  <w:pPr>
                    <w:pStyle w:val="65"/>
                    <w:keepNext w:val="0"/>
                    <w:keepLines w:val="0"/>
                    <w:pageBreakBefore w:val="0"/>
                    <w:widowControl w:val="0"/>
                    <w:kinsoku/>
                    <w:wordWrap/>
                    <w:overflowPunct/>
                    <w:topLinePunct w:val="0"/>
                    <w:autoSpaceDE/>
                    <w:autoSpaceDN/>
                    <w:bidi w:val="0"/>
                    <w:adjustRightInd/>
                    <w:snapToGrid/>
                    <w:textAlignment w:val="auto"/>
                    <w:rPr>
                      <w:color w:val="000000"/>
                      <w:szCs w:val="21"/>
                    </w:rPr>
                  </w:pPr>
                  <w:r>
                    <w:rPr>
                      <w:color w:val="000000"/>
                      <w:szCs w:val="21"/>
                    </w:rPr>
                    <w:t>表示污水向水体排放</w:t>
                  </w:r>
                </w:p>
              </w:tc>
            </w:tr>
            <w:tr w14:paraId="2B4C0C56">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454" w:hRule="atLeast"/>
              </w:trPr>
              <w:tc>
                <w:tcPr>
                  <w:tcW w:w="362" w:type="pct"/>
                  <w:noWrap w:val="0"/>
                  <w:vAlign w:val="center"/>
                </w:tcPr>
                <w:p w14:paraId="22509B15">
                  <w:pPr>
                    <w:pStyle w:val="65"/>
                    <w:keepNext w:val="0"/>
                    <w:keepLines w:val="0"/>
                    <w:pageBreakBefore w:val="0"/>
                    <w:widowControl w:val="0"/>
                    <w:kinsoku/>
                    <w:wordWrap/>
                    <w:overflowPunct/>
                    <w:topLinePunct w:val="0"/>
                    <w:autoSpaceDE/>
                    <w:autoSpaceDN/>
                    <w:bidi w:val="0"/>
                    <w:adjustRightInd/>
                    <w:snapToGrid/>
                    <w:textAlignment w:val="auto"/>
                    <w:rPr>
                      <w:color w:val="000000"/>
                      <w:szCs w:val="21"/>
                    </w:rPr>
                  </w:pPr>
                  <w:r>
                    <w:rPr>
                      <w:color w:val="000000"/>
                      <w:szCs w:val="21"/>
                    </w:rPr>
                    <w:t>2</w:t>
                  </w:r>
                </w:p>
              </w:tc>
              <w:tc>
                <w:tcPr>
                  <w:tcW w:w="1796" w:type="pct"/>
                  <w:noWrap w:val="0"/>
                  <w:vAlign w:val="center"/>
                </w:tcPr>
                <w:p w14:paraId="319FFE23">
                  <w:pPr>
                    <w:pStyle w:val="65"/>
                    <w:keepNext w:val="0"/>
                    <w:keepLines w:val="0"/>
                    <w:pageBreakBefore w:val="0"/>
                    <w:widowControl w:val="0"/>
                    <w:kinsoku/>
                    <w:wordWrap/>
                    <w:overflowPunct/>
                    <w:topLinePunct w:val="0"/>
                    <w:autoSpaceDE/>
                    <w:autoSpaceDN/>
                    <w:bidi w:val="0"/>
                    <w:adjustRightInd/>
                    <w:snapToGrid/>
                    <w:textAlignment w:val="auto"/>
                    <w:rPr>
                      <w:color w:val="000000"/>
                      <w:szCs w:val="21"/>
                    </w:rPr>
                  </w:pPr>
                  <w:r>
                    <w:rPr>
                      <w:color w:val="000000"/>
                    </w:rPr>
                    <w:drawing>
                      <wp:inline distT="0" distB="0" distL="114300" distR="114300">
                        <wp:extent cx="1051560" cy="652145"/>
                        <wp:effectExtent l="0" t="0" r="15240" b="14605"/>
                        <wp:docPr id="2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4"/>
                                <pic:cNvPicPr>
                                  <a:picLocks noChangeAspect="1"/>
                                </pic:cNvPicPr>
                              </pic:nvPicPr>
                              <pic:blipFill>
                                <a:blip r:embed="rId28"/>
                                <a:srcRect t="19806" r="2641" b="19806"/>
                                <a:stretch>
                                  <a:fillRect/>
                                </a:stretch>
                              </pic:blipFill>
                              <pic:spPr>
                                <a:xfrm>
                                  <a:off x="0" y="0"/>
                                  <a:ext cx="1051560" cy="652145"/>
                                </a:xfrm>
                                <a:prstGeom prst="rect">
                                  <a:avLst/>
                                </a:prstGeom>
                                <a:noFill/>
                                <a:ln>
                                  <a:noFill/>
                                </a:ln>
                              </pic:spPr>
                            </pic:pic>
                          </a:graphicData>
                        </a:graphic>
                      </wp:inline>
                    </w:drawing>
                  </w:r>
                </w:p>
              </w:tc>
              <w:tc>
                <w:tcPr>
                  <w:tcW w:w="1396" w:type="pct"/>
                  <w:noWrap w:val="0"/>
                  <w:vAlign w:val="center"/>
                </w:tcPr>
                <w:p w14:paraId="3496F30F">
                  <w:pPr>
                    <w:pStyle w:val="65"/>
                    <w:keepNext w:val="0"/>
                    <w:keepLines w:val="0"/>
                    <w:pageBreakBefore w:val="0"/>
                    <w:widowControl w:val="0"/>
                    <w:kinsoku/>
                    <w:wordWrap/>
                    <w:overflowPunct/>
                    <w:topLinePunct w:val="0"/>
                    <w:autoSpaceDE/>
                    <w:autoSpaceDN/>
                    <w:bidi w:val="0"/>
                    <w:adjustRightInd/>
                    <w:snapToGrid/>
                    <w:textAlignment w:val="auto"/>
                    <w:rPr>
                      <w:rFonts w:hint="eastAsia"/>
                      <w:color w:val="000000"/>
                      <w:szCs w:val="21"/>
                    </w:rPr>
                  </w:pPr>
                  <w:r>
                    <w:rPr>
                      <w:color w:val="000000"/>
                    </w:rPr>
                    <w:drawing>
                      <wp:inline distT="0" distB="0" distL="114300" distR="114300">
                        <wp:extent cx="998855" cy="848995"/>
                        <wp:effectExtent l="0" t="0" r="10795" b="8255"/>
                        <wp:docPr id="2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5"/>
                                <pic:cNvPicPr>
                                  <a:picLocks noChangeAspect="1"/>
                                </pic:cNvPicPr>
                              </pic:nvPicPr>
                              <pic:blipFill>
                                <a:blip r:embed="rId29"/>
                                <a:stretch>
                                  <a:fillRect/>
                                </a:stretch>
                              </pic:blipFill>
                              <pic:spPr>
                                <a:xfrm>
                                  <a:off x="0" y="0"/>
                                  <a:ext cx="998855" cy="848995"/>
                                </a:xfrm>
                                <a:prstGeom prst="rect">
                                  <a:avLst/>
                                </a:prstGeom>
                                <a:noFill/>
                                <a:ln>
                                  <a:noFill/>
                                </a:ln>
                              </pic:spPr>
                            </pic:pic>
                          </a:graphicData>
                        </a:graphic>
                      </wp:inline>
                    </w:drawing>
                  </w:r>
                </w:p>
              </w:tc>
              <w:tc>
                <w:tcPr>
                  <w:tcW w:w="635" w:type="pct"/>
                  <w:noWrap w:val="0"/>
                  <w:vAlign w:val="center"/>
                </w:tcPr>
                <w:p w14:paraId="51E3E307">
                  <w:pPr>
                    <w:pStyle w:val="65"/>
                    <w:keepNext w:val="0"/>
                    <w:keepLines w:val="0"/>
                    <w:pageBreakBefore w:val="0"/>
                    <w:widowControl w:val="0"/>
                    <w:kinsoku/>
                    <w:wordWrap/>
                    <w:overflowPunct/>
                    <w:topLinePunct w:val="0"/>
                    <w:autoSpaceDE/>
                    <w:autoSpaceDN/>
                    <w:bidi w:val="0"/>
                    <w:adjustRightInd/>
                    <w:snapToGrid/>
                    <w:textAlignment w:val="auto"/>
                    <w:rPr>
                      <w:color w:val="000000"/>
                      <w:szCs w:val="21"/>
                    </w:rPr>
                  </w:pPr>
                  <w:r>
                    <w:rPr>
                      <w:color w:val="000000"/>
                      <w:szCs w:val="21"/>
                    </w:rPr>
                    <w:t>废气排放口</w:t>
                  </w:r>
                </w:p>
              </w:tc>
              <w:tc>
                <w:tcPr>
                  <w:tcW w:w="808" w:type="pct"/>
                  <w:noWrap w:val="0"/>
                  <w:vAlign w:val="center"/>
                </w:tcPr>
                <w:p w14:paraId="655D4FEA">
                  <w:pPr>
                    <w:pStyle w:val="65"/>
                    <w:keepNext w:val="0"/>
                    <w:keepLines w:val="0"/>
                    <w:pageBreakBefore w:val="0"/>
                    <w:widowControl w:val="0"/>
                    <w:kinsoku/>
                    <w:wordWrap/>
                    <w:overflowPunct/>
                    <w:topLinePunct w:val="0"/>
                    <w:autoSpaceDE/>
                    <w:autoSpaceDN/>
                    <w:bidi w:val="0"/>
                    <w:adjustRightInd/>
                    <w:snapToGrid/>
                    <w:textAlignment w:val="auto"/>
                    <w:rPr>
                      <w:color w:val="000000"/>
                      <w:szCs w:val="21"/>
                    </w:rPr>
                  </w:pPr>
                  <w:r>
                    <w:rPr>
                      <w:color w:val="000000"/>
                      <w:szCs w:val="21"/>
                    </w:rPr>
                    <w:t>表示废气向大气环境排放</w:t>
                  </w:r>
                </w:p>
              </w:tc>
            </w:tr>
            <w:tr w14:paraId="41BF528C">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454" w:hRule="atLeast"/>
              </w:trPr>
              <w:tc>
                <w:tcPr>
                  <w:tcW w:w="362" w:type="pct"/>
                  <w:noWrap w:val="0"/>
                  <w:vAlign w:val="center"/>
                </w:tcPr>
                <w:p w14:paraId="604084DA">
                  <w:pPr>
                    <w:pStyle w:val="65"/>
                    <w:keepNext w:val="0"/>
                    <w:keepLines w:val="0"/>
                    <w:pageBreakBefore w:val="0"/>
                    <w:widowControl w:val="0"/>
                    <w:kinsoku/>
                    <w:wordWrap/>
                    <w:overflowPunct/>
                    <w:topLinePunct w:val="0"/>
                    <w:autoSpaceDE/>
                    <w:autoSpaceDN/>
                    <w:bidi w:val="0"/>
                    <w:adjustRightInd/>
                    <w:snapToGrid/>
                    <w:textAlignment w:val="auto"/>
                    <w:rPr>
                      <w:color w:val="000000"/>
                      <w:szCs w:val="21"/>
                    </w:rPr>
                  </w:pPr>
                  <w:r>
                    <w:rPr>
                      <w:color w:val="000000"/>
                      <w:szCs w:val="21"/>
                    </w:rPr>
                    <w:t>3</w:t>
                  </w:r>
                </w:p>
              </w:tc>
              <w:tc>
                <w:tcPr>
                  <w:tcW w:w="1796" w:type="pct"/>
                  <w:noWrap w:val="0"/>
                  <w:vAlign w:val="center"/>
                </w:tcPr>
                <w:p w14:paraId="059CFF43">
                  <w:pPr>
                    <w:pStyle w:val="65"/>
                    <w:keepNext w:val="0"/>
                    <w:keepLines w:val="0"/>
                    <w:pageBreakBefore w:val="0"/>
                    <w:widowControl w:val="0"/>
                    <w:kinsoku/>
                    <w:wordWrap/>
                    <w:overflowPunct/>
                    <w:topLinePunct w:val="0"/>
                    <w:autoSpaceDE/>
                    <w:autoSpaceDN/>
                    <w:bidi w:val="0"/>
                    <w:adjustRightInd/>
                    <w:snapToGrid/>
                    <w:textAlignment w:val="auto"/>
                    <w:rPr>
                      <w:color w:val="000000"/>
                      <w:szCs w:val="21"/>
                    </w:rPr>
                  </w:pPr>
                  <w:r>
                    <w:rPr>
                      <w:color w:val="000000"/>
                    </w:rPr>
                    <w:drawing>
                      <wp:inline distT="0" distB="0" distL="114300" distR="114300">
                        <wp:extent cx="1054735" cy="673735"/>
                        <wp:effectExtent l="0" t="0" r="12065" b="12065"/>
                        <wp:docPr id="2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6"/>
                                <pic:cNvPicPr>
                                  <a:picLocks noChangeAspect="1"/>
                                </pic:cNvPicPr>
                              </pic:nvPicPr>
                              <pic:blipFill>
                                <a:blip r:embed="rId30"/>
                                <a:srcRect l="4819" r="4228" b="4883"/>
                                <a:stretch>
                                  <a:fillRect/>
                                </a:stretch>
                              </pic:blipFill>
                              <pic:spPr>
                                <a:xfrm>
                                  <a:off x="0" y="0"/>
                                  <a:ext cx="1054735" cy="673735"/>
                                </a:xfrm>
                                <a:prstGeom prst="rect">
                                  <a:avLst/>
                                </a:prstGeom>
                                <a:noFill/>
                                <a:ln>
                                  <a:noFill/>
                                </a:ln>
                              </pic:spPr>
                            </pic:pic>
                          </a:graphicData>
                        </a:graphic>
                      </wp:inline>
                    </w:drawing>
                  </w:r>
                </w:p>
              </w:tc>
              <w:tc>
                <w:tcPr>
                  <w:tcW w:w="1396" w:type="pct"/>
                  <w:noWrap w:val="0"/>
                  <w:vAlign w:val="center"/>
                </w:tcPr>
                <w:p w14:paraId="56300AE6">
                  <w:pPr>
                    <w:pStyle w:val="65"/>
                    <w:keepNext w:val="0"/>
                    <w:keepLines w:val="0"/>
                    <w:pageBreakBefore w:val="0"/>
                    <w:widowControl w:val="0"/>
                    <w:kinsoku/>
                    <w:wordWrap/>
                    <w:overflowPunct/>
                    <w:topLinePunct w:val="0"/>
                    <w:autoSpaceDE/>
                    <w:autoSpaceDN/>
                    <w:bidi w:val="0"/>
                    <w:adjustRightInd/>
                    <w:snapToGrid/>
                    <w:textAlignment w:val="auto"/>
                    <w:rPr>
                      <w:rFonts w:hint="eastAsia"/>
                      <w:color w:val="000000"/>
                      <w:szCs w:val="21"/>
                    </w:rPr>
                  </w:pPr>
                  <w:r>
                    <w:rPr>
                      <w:color w:val="000000"/>
                    </w:rPr>
                    <w:drawing>
                      <wp:inline distT="0" distB="0" distL="114300" distR="114300">
                        <wp:extent cx="1047750" cy="862965"/>
                        <wp:effectExtent l="0" t="0" r="0" b="13335"/>
                        <wp:docPr id="2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7"/>
                                <pic:cNvPicPr>
                                  <a:picLocks noChangeAspect="1"/>
                                </pic:cNvPicPr>
                              </pic:nvPicPr>
                              <pic:blipFill>
                                <a:blip r:embed="rId31"/>
                                <a:stretch>
                                  <a:fillRect/>
                                </a:stretch>
                              </pic:blipFill>
                              <pic:spPr>
                                <a:xfrm>
                                  <a:off x="0" y="0"/>
                                  <a:ext cx="1047750" cy="862965"/>
                                </a:xfrm>
                                <a:prstGeom prst="rect">
                                  <a:avLst/>
                                </a:prstGeom>
                                <a:noFill/>
                                <a:ln>
                                  <a:noFill/>
                                </a:ln>
                              </pic:spPr>
                            </pic:pic>
                          </a:graphicData>
                        </a:graphic>
                      </wp:inline>
                    </w:drawing>
                  </w:r>
                </w:p>
              </w:tc>
              <w:tc>
                <w:tcPr>
                  <w:tcW w:w="635" w:type="pct"/>
                  <w:noWrap w:val="0"/>
                  <w:vAlign w:val="center"/>
                </w:tcPr>
                <w:p w14:paraId="0BCB25E5">
                  <w:pPr>
                    <w:pStyle w:val="65"/>
                    <w:keepNext w:val="0"/>
                    <w:keepLines w:val="0"/>
                    <w:pageBreakBefore w:val="0"/>
                    <w:widowControl w:val="0"/>
                    <w:kinsoku/>
                    <w:wordWrap/>
                    <w:overflowPunct/>
                    <w:topLinePunct w:val="0"/>
                    <w:autoSpaceDE/>
                    <w:autoSpaceDN/>
                    <w:bidi w:val="0"/>
                    <w:adjustRightInd/>
                    <w:snapToGrid/>
                    <w:textAlignment w:val="auto"/>
                    <w:rPr>
                      <w:color w:val="000000"/>
                      <w:szCs w:val="21"/>
                    </w:rPr>
                  </w:pPr>
                  <w:r>
                    <w:rPr>
                      <w:color w:val="000000"/>
                      <w:szCs w:val="21"/>
                    </w:rPr>
                    <w:t>一般固体废物</w:t>
                  </w:r>
                </w:p>
              </w:tc>
              <w:tc>
                <w:tcPr>
                  <w:tcW w:w="808" w:type="pct"/>
                  <w:noWrap w:val="0"/>
                  <w:vAlign w:val="center"/>
                </w:tcPr>
                <w:p w14:paraId="06C86AF4">
                  <w:pPr>
                    <w:pStyle w:val="65"/>
                    <w:keepNext w:val="0"/>
                    <w:keepLines w:val="0"/>
                    <w:pageBreakBefore w:val="0"/>
                    <w:widowControl w:val="0"/>
                    <w:kinsoku/>
                    <w:wordWrap/>
                    <w:overflowPunct/>
                    <w:topLinePunct w:val="0"/>
                    <w:autoSpaceDE/>
                    <w:autoSpaceDN/>
                    <w:bidi w:val="0"/>
                    <w:adjustRightInd/>
                    <w:snapToGrid/>
                    <w:textAlignment w:val="auto"/>
                    <w:rPr>
                      <w:color w:val="000000"/>
                      <w:szCs w:val="21"/>
                    </w:rPr>
                  </w:pPr>
                  <w:r>
                    <w:rPr>
                      <w:color w:val="000000"/>
                      <w:szCs w:val="21"/>
                    </w:rPr>
                    <w:t>表示一般固体废物贮存、处置场</w:t>
                  </w:r>
                </w:p>
              </w:tc>
            </w:tr>
            <w:tr w14:paraId="6CC63BC5">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454" w:hRule="atLeast"/>
              </w:trPr>
              <w:tc>
                <w:tcPr>
                  <w:tcW w:w="362" w:type="pct"/>
                  <w:noWrap w:val="0"/>
                  <w:vAlign w:val="center"/>
                </w:tcPr>
                <w:p w14:paraId="50613285">
                  <w:pPr>
                    <w:pStyle w:val="65"/>
                    <w:keepNext w:val="0"/>
                    <w:keepLines w:val="0"/>
                    <w:pageBreakBefore w:val="0"/>
                    <w:widowControl w:val="0"/>
                    <w:kinsoku/>
                    <w:wordWrap/>
                    <w:overflowPunct/>
                    <w:topLinePunct w:val="0"/>
                    <w:autoSpaceDE/>
                    <w:autoSpaceDN/>
                    <w:bidi w:val="0"/>
                    <w:adjustRightInd/>
                    <w:snapToGrid/>
                    <w:textAlignment w:val="auto"/>
                    <w:rPr>
                      <w:color w:val="000000"/>
                      <w:szCs w:val="21"/>
                    </w:rPr>
                  </w:pPr>
                  <w:r>
                    <w:rPr>
                      <w:color w:val="000000"/>
                      <w:szCs w:val="21"/>
                    </w:rPr>
                    <w:t>4</w:t>
                  </w:r>
                </w:p>
              </w:tc>
              <w:tc>
                <w:tcPr>
                  <w:tcW w:w="1796" w:type="pct"/>
                  <w:noWrap w:val="0"/>
                  <w:vAlign w:val="center"/>
                </w:tcPr>
                <w:p w14:paraId="3C4B5810">
                  <w:pPr>
                    <w:pStyle w:val="65"/>
                    <w:keepNext w:val="0"/>
                    <w:keepLines w:val="0"/>
                    <w:pageBreakBefore w:val="0"/>
                    <w:widowControl w:val="0"/>
                    <w:kinsoku/>
                    <w:wordWrap/>
                    <w:overflowPunct/>
                    <w:topLinePunct w:val="0"/>
                    <w:autoSpaceDE/>
                    <w:autoSpaceDN/>
                    <w:bidi w:val="0"/>
                    <w:adjustRightInd/>
                    <w:snapToGrid/>
                    <w:textAlignment w:val="auto"/>
                    <w:rPr>
                      <w:rFonts w:hint="eastAsia"/>
                      <w:color w:val="000000"/>
                      <w:szCs w:val="21"/>
                    </w:rPr>
                  </w:pPr>
                  <w:r>
                    <w:rPr>
                      <w:rFonts w:hint="eastAsia"/>
                      <w:color w:val="000000"/>
                      <w:szCs w:val="21"/>
                    </w:rPr>
                    <w:t>/</w:t>
                  </w:r>
                </w:p>
              </w:tc>
              <w:tc>
                <w:tcPr>
                  <w:tcW w:w="1396" w:type="pct"/>
                  <w:noWrap w:val="0"/>
                  <w:vAlign w:val="center"/>
                </w:tcPr>
                <w:p w14:paraId="5F696377">
                  <w:pPr>
                    <w:pStyle w:val="65"/>
                    <w:keepNext w:val="0"/>
                    <w:keepLines w:val="0"/>
                    <w:pageBreakBefore w:val="0"/>
                    <w:widowControl w:val="0"/>
                    <w:kinsoku/>
                    <w:wordWrap/>
                    <w:overflowPunct/>
                    <w:topLinePunct w:val="0"/>
                    <w:autoSpaceDE/>
                    <w:autoSpaceDN/>
                    <w:bidi w:val="0"/>
                    <w:adjustRightInd/>
                    <w:snapToGrid/>
                    <w:textAlignment w:val="auto"/>
                    <w:rPr>
                      <w:color w:val="000000"/>
                      <w:szCs w:val="21"/>
                    </w:rPr>
                  </w:pPr>
                  <w:r>
                    <w:rPr>
                      <w:color w:val="000000"/>
                    </w:rPr>
                    <w:drawing>
                      <wp:inline distT="0" distB="0" distL="114300" distR="114300">
                        <wp:extent cx="838200" cy="754380"/>
                        <wp:effectExtent l="0" t="0" r="0" b="7620"/>
                        <wp:docPr id="2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1"/>
                                <pic:cNvPicPr>
                                  <a:picLocks noChangeAspect="1"/>
                                </pic:cNvPicPr>
                              </pic:nvPicPr>
                              <pic:blipFill>
                                <a:blip r:embed="rId32"/>
                                <a:srcRect t="7219" b="13368"/>
                                <a:stretch>
                                  <a:fillRect/>
                                </a:stretch>
                              </pic:blipFill>
                              <pic:spPr>
                                <a:xfrm>
                                  <a:off x="0" y="0"/>
                                  <a:ext cx="838200" cy="754380"/>
                                </a:xfrm>
                                <a:prstGeom prst="rect">
                                  <a:avLst/>
                                </a:prstGeom>
                                <a:noFill/>
                                <a:ln>
                                  <a:noFill/>
                                </a:ln>
                              </pic:spPr>
                            </pic:pic>
                          </a:graphicData>
                        </a:graphic>
                      </wp:inline>
                    </w:drawing>
                  </w:r>
                </w:p>
              </w:tc>
              <w:tc>
                <w:tcPr>
                  <w:tcW w:w="635" w:type="pct"/>
                  <w:noWrap w:val="0"/>
                  <w:vAlign w:val="center"/>
                </w:tcPr>
                <w:p w14:paraId="74900D8C">
                  <w:pPr>
                    <w:pStyle w:val="65"/>
                    <w:keepNext w:val="0"/>
                    <w:keepLines w:val="0"/>
                    <w:pageBreakBefore w:val="0"/>
                    <w:widowControl w:val="0"/>
                    <w:kinsoku/>
                    <w:wordWrap/>
                    <w:overflowPunct/>
                    <w:topLinePunct w:val="0"/>
                    <w:autoSpaceDE/>
                    <w:autoSpaceDN/>
                    <w:bidi w:val="0"/>
                    <w:adjustRightInd/>
                    <w:snapToGrid/>
                    <w:textAlignment w:val="auto"/>
                    <w:rPr>
                      <w:color w:val="000000"/>
                      <w:szCs w:val="21"/>
                    </w:rPr>
                  </w:pPr>
                  <w:r>
                    <w:rPr>
                      <w:color w:val="000000"/>
                      <w:szCs w:val="21"/>
                    </w:rPr>
                    <w:t>危险废物</w:t>
                  </w:r>
                </w:p>
              </w:tc>
              <w:tc>
                <w:tcPr>
                  <w:tcW w:w="808" w:type="pct"/>
                  <w:noWrap w:val="0"/>
                  <w:vAlign w:val="center"/>
                </w:tcPr>
                <w:p w14:paraId="35B4DFE6">
                  <w:pPr>
                    <w:pStyle w:val="65"/>
                    <w:keepNext w:val="0"/>
                    <w:keepLines w:val="0"/>
                    <w:pageBreakBefore w:val="0"/>
                    <w:widowControl w:val="0"/>
                    <w:kinsoku/>
                    <w:wordWrap/>
                    <w:overflowPunct/>
                    <w:topLinePunct w:val="0"/>
                    <w:autoSpaceDE/>
                    <w:autoSpaceDN/>
                    <w:bidi w:val="0"/>
                    <w:adjustRightInd/>
                    <w:snapToGrid/>
                    <w:textAlignment w:val="auto"/>
                    <w:rPr>
                      <w:color w:val="000000"/>
                      <w:szCs w:val="21"/>
                    </w:rPr>
                  </w:pPr>
                  <w:r>
                    <w:rPr>
                      <w:color w:val="000000"/>
                      <w:szCs w:val="21"/>
                    </w:rPr>
                    <w:t>表示危险废物贮存、处置场</w:t>
                  </w:r>
                </w:p>
              </w:tc>
            </w:tr>
            <w:tr w14:paraId="74B1A7DB">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454" w:hRule="atLeast"/>
              </w:trPr>
              <w:tc>
                <w:tcPr>
                  <w:tcW w:w="362" w:type="pct"/>
                  <w:noWrap w:val="0"/>
                  <w:vAlign w:val="center"/>
                </w:tcPr>
                <w:p w14:paraId="2E5C16EF">
                  <w:pPr>
                    <w:pStyle w:val="65"/>
                    <w:keepNext w:val="0"/>
                    <w:keepLines w:val="0"/>
                    <w:pageBreakBefore w:val="0"/>
                    <w:widowControl w:val="0"/>
                    <w:kinsoku/>
                    <w:wordWrap/>
                    <w:overflowPunct/>
                    <w:topLinePunct w:val="0"/>
                    <w:autoSpaceDE/>
                    <w:autoSpaceDN/>
                    <w:bidi w:val="0"/>
                    <w:adjustRightInd/>
                    <w:snapToGrid/>
                    <w:textAlignment w:val="auto"/>
                    <w:rPr>
                      <w:color w:val="000000"/>
                      <w:szCs w:val="21"/>
                    </w:rPr>
                  </w:pPr>
                  <w:r>
                    <w:rPr>
                      <w:color w:val="000000"/>
                      <w:szCs w:val="21"/>
                    </w:rPr>
                    <w:t>5</w:t>
                  </w:r>
                </w:p>
              </w:tc>
              <w:tc>
                <w:tcPr>
                  <w:tcW w:w="1796" w:type="pct"/>
                  <w:noWrap w:val="0"/>
                  <w:vAlign w:val="center"/>
                </w:tcPr>
                <w:p w14:paraId="10F59302">
                  <w:pPr>
                    <w:pStyle w:val="65"/>
                    <w:keepNext w:val="0"/>
                    <w:keepLines w:val="0"/>
                    <w:pageBreakBefore w:val="0"/>
                    <w:widowControl w:val="0"/>
                    <w:kinsoku/>
                    <w:wordWrap/>
                    <w:overflowPunct/>
                    <w:topLinePunct w:val="0"/>
                    <w:autoSpaceDE/>
                    <w:autoSpaceDN/>
                    <w:bidi w:val="0"/>
                    <w:adjustRightInd/>
                    <w:snapToGrid/>
                    <w:textAlignment w:val="auto"/>
                    <w:rPr>
                      <w:color w:val="000000"/>
                      <w:szCs w:val="21"/>
                    </w:rPr>
                  </w:pPr>
                  <w:r>
                    <w:rPr>
                      <w:color w:val="000000"/>
                    </w:rPr>
                    <w:drawing>
                      <wp:inline distT="0" distB="0" distL="114300" distR="114300">
                        <wp:extent cx="1129030" cy="796925"/>
                        <wp:effectExtent l="0" t="0" r="13970" b="3175"/>
                        <wp:docPr id="2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9"/>
                                <pic:cNvPicPr>
                                  <a:picLocks noChangeAspect="1"/>
                                </pic:cNvPicPr>
                              </pic:nvPicPr>
                              <pic:blipFill>
                                <a:blip r:embed="rId33"/>
                                <a:stretch>
                                  <a:fillRect/>
                                </a:stretch>
                              </pic:blipFill>
                              <pic:spPr>
                                <a:xfrm>
                                  <a:off x="0" y="0"/>
                                  <a:ext cx="1129030" cy="796925"/>
                                </a:xfrm>
                                <a:prstGeom prst="rect">
                                  <a:avLst/>
                                </a:prstGeom>
                                <a:noFill/>
                                <a:ln>
                                  <a:noFill/>
                                </a:ln>
                              </pic:spPr>
                            </pic:pic>
                          </a:graphicData>
                        </a:graphic>
                      </wp:inline>
                    </w:drawing>
                  </w:r>
                </w:p>
              </w:tc>
              <w:tc>
                <w:tcPr>
                  <w:tcW w:w="1396" w:type="pct"/>
                  <w:noWrap w:val="0"/>
                  <w:vAlign w:val="center"/>
                </w:tcPr>
                <w:p w14:paraId="093B7A84">
                  <w:pPr>
                    <w:pStyle w:val="65"/>
                    <w:keepNext w:val="0"/>
                    <w:keepLines w:val="0"/>
                    <w:pageBreakBefore w:val="0"/>
                    <w:widowControl w:val="0"/>
                    <w:kinsoku/>
                    <w:wordWrap/>
                    <w:overflowPunct/>
                    <w:topLinePunct w:val="0"/>
                    <w:autoSpaceDE/>
                    <w:autoSpaceDN/>
                    <w:bidi w:val="0"/>
                    <w:adjustRightInd/>
                    <w:snapToGrid/>
                    <w:textAlignment w:val="auto"/>
                    <w:rPr>
                      <w:rFonts w:hint="eastAsia"/>
                      <w:color w:val="000000"/>
                      <w:szCs w:val="21"/>
                    </w:rPr>
                  </w:pPr>
                  <w:r>
                    <w:rPr>
                      <w:color w:val="000000"/>
                    </w:rPr>
                    <w:drawing>
                      <wp:inline distT="0" distB="0" distL="114300" distR="114300">
                        <wp:extent cx="885190" cy="786765"/>
                        <wp:effectExtent l="0" t="0" r="10160" b="13335"/>
                        <wp:docPr id="2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0"/>
                                <pic:cNvPicPr>
                                  <a:picLocks noChangeAspect="1"/>
                                </pic:cNvPicPr>
                              </pic:nvPicPr>
                              <pic:blipFill>
                                <a:blip r:embed="rId34"/>
                                <a:stretch>
                                  <a:fillRect/>
                                </a:stretch>
                              </pic:blipFill>
                              <pic:spPr>
                                <a:xfrm>
                                  <a:off x="0" y="0"/>
                                  <a:ext cx="885190" cy="786765"/>
                                </a:xfrm>
                                <a:prstGeom prst="rect">
                                  <a:avLst/>
                                </a:prstGeom>
                                <a:noFill/>
                                <a:ln>
                                  <a:noFill/>
                                </a:ln>
                              </pic:spPr>
                            </pic:pic>
                          </a:graphicData>
                        </a:graphic>
                      </wp:inline>
                    </w:drawing>
                  </w:r>
                </w:p>
              </w:tc>
              <w:tc>
                <w:tcPr>
                  <w:tcW w:w="635" w:type="pct"/>
                  <w:noWrap w:val="0"/>
                  <w:vAlign w:val="center"/>
                </w:tcPr>
                <w:p w14:paraId="1A7A0713">
                  <w:pPr>
                    <w:pStyle w:val="65"/>
                    <w:keepNext w:val="0"/>
                    <w:keepLines w:val="0"/>
                    <w:pageBreakBefore w:val="0"/>
                    <w:widowControl w:val="0"/>
                    <w:kinsoku/>
                    <w:wordWrap/>
                    <w:overflowPunct/>
                    <w:topLinePunct w:val="0"/>
                    <w:autoSpaceDE/>
                    <w:autoSpaceDN/>
                    <w:bidi w:val="0"/>
                    <w:adjustRightInd/>
                    <w:snapToGrid/>
                    <w:textAlignment w:val="auto"/>
                    <w:rPr>
                      <w:color w:val="000000"/>
                      <w:szCs w:val="21"/>
                    </w:rPr>
                  </w:pPr>
                  <w:r>
                    <w:rPr>
                      <w:color w:val="000000"/>
                      <w:szCs w:val="21"/>
                    </w:rPr>
                    <w:t>噪声排放源</w:t>
                  </w:r>
                </w:p>
              </w:tc>
              <w:tc>
                <w:tcPr>
                  <w:tcW w:w="808" w:type="pct"/>
                  <w:noWrap w:val="0"/>
                  <w:vAlign w:val="center"/>
                </w:tcPr>
                <w:p w14:paraId="6FFDAEF0">
                  <w:pPr>
                    <w:pStyle w:val="65"/>
                    <w:keepNext w:val="0"/>
                    <w:keepLines w:val="0"/>
                    <w:pageBreakBefore w:val="0"/>
                    <w:widowControl w:val="0"/>
                    <w:kinsoku/>
                    <w:wordWrap/>
                    <w:overflowPunct/>
                    <w:topLinePunct w:val="0"/>
                    <w:autoSpaceDE/>
                    <w:autoSpaceDN/>
                    <w:bidi w:val="0"/>
                    <w:adjustRightInd/>
                    <w:snapToGrid/>
                    <w:textAlignment w:val="auto"/>
                    <w:rPr>
                      <w:color w:val="000000"/>
                      <w:szCs w:val="21"/>
                    </w:rPr>
                  </w:pPr>
                  <w:r>
                    <w:rPr>
                      <w:color w:val="000000"/>
                      <w:szCs w:val="21"/>
                    </w:rPr>
                    <w:t>表示噪声向</w:t>
                  </w:r>
                </w:p>
                <w:p w14:paraId="2E8AD413">
                  <w:pPr>
                    <w:pStyle w:val="65"/>
                    <w:keepNext w:val="0"/>
                    <w:keepLines w:val="0"/>
                    <w:pageBreakBefore w:val="0"/>
                    <w:widowControl w:val="0"/>
                    <w:kinsoku/>
                    <w:wordWrap/>
                    <w:overflowPunct/>
                    <w:topLinePunct w:val="0"/>
                    <w:autoSpaceDE/>
                    <w:autoSpaceDN/>
                    <w:bidi w:val="0"/>
                    <w:adjustRightInd/>
                    <w:snapToGrid/>
                    <w:textAlignment w:val="auto"/>
                    <w:rPr>
                      <w:color w:val="000000"/>
                      <w:szCs w:val="21"/>
                    </w:rPr>
                  </w:pPr>
                  <w:r>
                    <w:rPr>
                      <w:color w:val="000000"/>
                      <w:szCs w:val="21"/>
                    </w:rPr>
                    <w:t>外环境排放</w:t>
                  </w:r>
                </w:p>
              </w:tc>
            </w:tr>
          </w:tbl>
          <w:p w14:paraId="6B4A2654">
            <w:pPr>
              <w:adjustRightInd w:val="0"/>
              <w:spacing w:before="120" w:beforeLines="50"/>
              <w:ind w:firstLine="480" w:firstLineChars="200"/>
              <w:rPr>
                <w:color w:val="000000"/>
              </w:rPr>
            </w:pPr>
            <w:r>
              <w:rPr>
                <w:color w:val="000000"/>
              </w:rPr>
              <w:t>按照要求填写由原国家环保部统一印制的《中华人民共和国规范化排污口标志登记证》。规范化设置的排污口有关设置属于环境保护设施，应将其纳入本单位设备管理，并选派具有专业知识的专职或兼职人员对排污口进行管理。</w:t>
            </w:r>
          </w:p>
          <w:p w14:paraId="4562329D">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000000"/>
              </w:rPr>
            </w:pPr>
            <w:r>
              <w:rPr>
                <w:rFonts w:hint="eastAsia"/>
                <w:b/>
                <w:bCs/>
                <w:color w:val="000000"/>
              </w:rPr>
              <w:t>2</w:t>
            </w:r>
            <w:r>
              <w:rPr>
                <w:b/>
                <w:bCs/>
                <w:color w:val="000000"/>
              </w:rPr>
              <w:t>、</w:t>
            </w:r>
            <w:r>
              <w:rPr>
                <w:rFonts w:hint="eastAsia"/>
                <w:b/>
                <w:bCs/>
                <w:color w:val="000000"/>
              </w:rPr>
              <w:t>排污许可衔接要求</w:t>
            </w:r>
          </w:p>
          <w:p w14:paraId="463C4305">
            <w:pPr>
              <w:keepNext w:val="0"/>
              <w:keepLines w:val="0"/>
              <w:pageBreakBefore w:val="0"/>
              <w:widowControl w:val="0"/>
              <w:kinsoku/>
              <w:wordWrap/>
              <w:overflowPunct/>
              <w:topLinePunct w:val="0"/>
              <w:autoSpaceDE/>
              <w:autoSpaceDN/>
              <w:bidi w:val="0"/>
              <w:adjustRightInd/>
              <w:snapToGrid w:val="0"/>
              <w:ind w:firstLine="480" w:firstLineChars="200"/>
              <w:textAlignment w:val="auto"/>
              <w:rPr>
                <w:color w:val="FF0000"/>
              </w:rPr>
            </w:pPr>
            <w:r>
              <w:rPr>
                <w:rFonts w:hint="eastAsia"/>
                <w:color w:val="000000"/>
              </w:rPr>
              <w:t>根据项目备案文件可知，项目国民经济行业属于</w:t>
            </w:r>
            <w:r>
              <w:rPr>
                <w:rFonts w:hint="eastAsia"/>
                <w:color w:val="000000"/>
                <w:lang w:eastAsia="zh-CN"/>
              </w:rPr>
              <w:t>“C2929 塑料零件及其他塑料制品制造”</w:t>
            </w:r>
            <w:r>
              <w:rPr>
                <w:rFonts w:hint="eastAsia"/>
                <w:color w:val="000000"/>
              </w:rPr>
              <w:t>。</w:t>
            </w:r>
            <w:r>
              <w:rPr>
                <w:rFonts w:hint="eastAsia"/>
                <w:color w:val="000000"/>
                <w:lang w:val="en-US" w:eastAsia="zh-CN"/>
              </w:rPr>
              <w:t>项目产品产能少于</w:t>
            </w:r>
            <w:r>
              <w:rPr>
                <w:rFonts w:hint="eastAsia"/>
                <w:color w:val="000000"/>
                <w:sz w:val="24"/>
                <w:szCs w:val="24"/>
              </w:rPr>
              <w:t>1万吨</w:t>
            </w:r>
            <w:r>
              <w:rPr>
                <w:rFonts w:hint="eastAsia"/>
                <w:color w:val="000000"/>
                <w:sz w:val="24"/>
                <w:szCs w:val="24"/>
                <w:lang w:eastAsia="zh-CN"/>
              </w:rPr>
              <w:t>，</w:t>
            </w:r>
            <w:r>
              <w:rPr>
                <w:rFonts w:hint="eastAsia"/>
                <w:color w:val="000000"/>
              </w:rPr>
              <w:t>根据《固定污染源排污许可分类管理名录（2019年版）》可知，</w:t>
            </w:r>
            <w:r>
              <w:rPr>
                <w:rFonts w:hint="eastAsia"/>
                <w:color w:val="000000" w:themeColor="text1"/>
                <w:lang w:val="en-US" w:eastAsia="zh-CN"/>
                <w14:textFill>
                  <w14:solidFill>
                    <w14:schemeClr w14:val="tx1"/>
                  </w14:solidFill>
                </w14:textFill>
              </w:rPr>
              <w:t>其属于名录表中“二十四、橡胶和塑料制品业292”之下的“62.塑料制品业292”的登记管理项：其他。</w:t>
            </w:r>
            <w:r>
              <w:rPr>
                <w:rFonts w:hint="eastAsia"/>
                <w:color w:val="000000" w:themeColor="text1"/>
                <w14:textFill>
                  <w14:solidFill>
                    <w14:schemeClr w14:val="tx1"/>
                  </w14:solidFill>
                </w14:textFill>
              </w:rPr>
              <w:t>因此，本项目在投产前需申请排污许可登记管理。</w:t>
            </w:r>
          </w:p>
          <w:p w14:paraId="4B065FBD">
            <w:pPr>
              <w:ind w:firstLine="482" w:firstLineChars="200"/>
              <w:rPr>
                <w:rFonts w:hint="eastAsia"/>
                <w:b/>
                <w:bCs/>
                <w:color w:val="000000"/>
              </w:rPr>
            </w:pPr>
            <w:r>
              <w:rPr>
                <w:rFonts w:hint="eastAsia"/>
                <w:b/>
                <w:bCs/>
                <w:color w:val="000000"/>
              </w:rPr>
              <w:t>3、竣工环保验收要求</w:t>
            </w:r>
          </w:p>
          <w:p w14:paraId="178EF3F6">
            <w:pPr>
              <w:pStyle w:val="69"/>
              <w:ind w:firstLine="480" w:firstLineChars="200"/>
              <w:rPr>
                <w:rFonts w:hint="eastAsia"/>
                <w:color w:val="000000"/>
              </w:rPr>
            </w:pPr>
            <w:r>
              <w:rPr>
                <w:rFonts w:hint="eastAsia"/>
                <w:color w:val="000000"/>
              </w:rPr>
              <w:t>（1）项目实际的生产地点、主要生产单元、生产工艺、生产设施、污染防治设施应与排污许可证相符，实际情况与排污许可证载明的规模、参数等信息基本相符。所有有组织排放口和各类废水排放口的个数、类别、排放方式和去向等与排污许可证载明信息一致。</w:t>
            </w:r>
          </w:p>
          <w:p w14:paraId="7C29D337">
            <w:pPr>
              <w:pStyle w:val="69"/>
              <w:ind w:firstLine="480" w:firstLineChars="200"/>
              <w:rPr>
                <w:rFonts w:hint="eastAsia"/>
                <w:color w:val="000000"/>
              </w:rPr>
            </w:pPr>
            <w:r>
              <w:rPr>
                <w:rFonts w:hint="eastAsia"/>
                <w:color w:val="000000"/>
              </w:rPr>
              <w:t>（2）企业应强化对环保设施运行监督、管理的职能，建立全厂完善的环保设施运行、维护、维修等技术档案，以及加强对环保设施操作人员的技术培训，确保环保设施处于正常运行情况，污染物排放连续达标。</w:t>
            </w:r>
          </w:p>
          <w:p w14:paraId="52F35BB2">
            <w:pPr>
              <w:adjustRightInd w:val="0"/>
              <w:snapToGrid w:val="0"/>
              <w:ind w:firstLine="480" w:firstLineChars="200"/>
              <w:rPr>
                <w:rFonts w:hint="default" w:ascii="Times New Roman" w:hAnsi="Times New Roman" w:cs="Times New Roman"/>
                <w:color w:val="000000"/>
              </w:rPr>
            </w:pPr>
            <w:r>
              <w:rPr>
                <w:rFonts w:hint="default" w:ascii="Times New Roman" w:hAnsi="Times New Roman" w:cs="Times New Roman"/>
                <w:color w:val="000000"/>
              </w:rPr>
              <w:t>（3）企业应按照</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《排污单位自行监测技术指南 橡胶和塑料制品》（</w:t>
            </w:r>
            <w:r>
              <w:rPr>
                <w:rFonts w:hint="default" w:ascii="Times New Roman" w:hAnsi="Times New Roman" w:cs="Times New Roman"/>
                <w:b w:val="0"/>
                <w:bCs/>
                <w:color w:val="000000" w:themeColor="text1"/>
                <w:sz w:val="24"/>
                <w:szCs w:val="24"/>
                <w:highlight w:val="none"/>
                <w14:textFill>
                  <w14:solidFill>
                    <w14:schemeClr w14:val="tx1"/>
                  </w14:solidFill>
                </w14:textFill>
              </w:rPr>
              <w:t>HJ</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10</w:t>
            </w:r>
            <w:r>
              <w:rPr>
                <w:rFonts w:hint="eastAsia" w:cs="Times New Roman"/>
                <w:b w:val="0"/>
                <w:bCs/>
                <w:color w:val="000000" w:themeColor="text1"/>
                <w:sz w:val="24"/>
                <w:szCs w:val="24"/>
                <w:highlight w:val="none"/>
                <w:lang w:val="en-US" w:eastAsia="zh-CN"/>
                <w14:textFill>
                  <w14:solidFill>
                    <w14:schemeClr w14:val="tx1"/>
                  </w14:solidFill>
                </w14:textFill>
              </w:rPr>
              <w:t>27</w:t>
            </w:r>
            <w:r>
              <w:rPr>
                <w:rFonts w:hint="default" w:ascii="Times New Roman" w:hAnsi="Times New Roman" w:cs="Times New Roman"/>
                <w:b w:val="0"/>
                <w:bCs/>
                <w:color w:val="000000" w:themeColor="text1"/>
                <w:sz w:val="24"/>
                <w:szCs w:val="24"/>
                <w:highlight w:val="none"/>
                <w14:textFill>
                  <w14:solidFill>
                    <w14:schemeClr w14:val="tx1"/>
                  </w14:solidFill>
                </w14:textFill>
              </w:rPr>
              <w:t>-20</w:t>
            </w:r>
            <w:r>
              <w:rPr>
                <w:rFonts w:hint="eastAsia" w:cs="Times New Roman"/>
                <w:b w:val="0"/>
                <w:bCs/>
                <w:color w:val="000000" w:themeColor="text1"/>
                <w:sz w:val="24"/>
                <w:szCs w:val="24"/>
                <w:highlight w:val="none"/>
                <w:lang w:val="en-US" w:eastAsia="zh-CN"/>
                <w14:textFill>
                  <w14:solidFill>
                    <w14:schemeClr w14:val="tx1"/>
                  </w14:solidFill>
                </w14:textFill>
              </w:rPr>
              <w:t>21</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w:t>
            </w:r>
            <w:r>
              <w:rPr>
                <w:rFonts w:hint="eastAsia"/>
                <w:b w:val="0"/>
                <w:bCs/>
                <w:color w:val="000000" w:themeColor="text1"/>
                <w:sz w:val="24"/>
                <w:szCs w:val="24"/>
                <w:highlight w:val="none"/>
                <w14:textFill>
                  <w14:solidFill>
                    <w14:schemeClr w14:val="tx1"/>
                  </w14:solidFill>
                </w14:textFill>
              </w:rPr>
              <w:t>《排污</w:t>
            </w:r>
            <w:r>
              <w:rPr>
                <w:rFonts w:hint="eastAsia" w:ascii="Times New Roman" w:eastAsia="宋体"/>
                <w:b w:val="0"/>
                <w:bCs/>
                <w:color w:val="000000" w:themeColor="text1"/>
                <w:sz w:val="24"/>
                <w:szCs w:val="24"/>
                <w:highlight w:val="none"/>
                <w:lang w:val="en-US" w:eastAsia="zh-CN"/>
                <w14:textFill>
                  <w14:solidFill>
                    <w14:schemeClr w14:val="tx1"/>
                  </w14:solidFill>
                </w14:textFill>
              </w:rPr>
              <w:t>单位自行监测技术指南</w:t>
            </w:r>
            <w:r>
              <w:rPr>
                <w:rFonts w:hint="eastAsia"/>
                <w:b w:val="0"/>
                <w:bCs/>
                <w:color w:val="000000" w:themeColor="text1"/>
                <w:sz w:val="24"/>
                <w:szCs w:val="24"/>
                <w:highlight w:val="none"/>
                <w14:textFill>
                  <w14:solidFill>
                    <w14:schemeClr w14:val="tx1"/>
                  </w14:solidFill>
                </w14:textFill>
              </w:rPr>
              <w:t xml:space="preserve"> </w:t>
            </w:r>
            <w:r>
              <w:rPr>
                <w:rFonts w:hint="eastAsia" w:ascii="Times New Roman" w:eastAsia="宋体"/>
                <w:b w:val="0"/>
                <w:bCs/>
                <w:color w:val="000000" w:themeColor="text1"/>
                <w:sz w:val="24"/>
                <w:szCs w:val="24"/>
                <w:highlight w:val="none"/>
                <w:lang w:val="en-US" w:eastAsia="zh-CN"/>
                <w14:textFill>
                  <w14:solidFill>
                    <w14:schemeClr w14:val="tx1"/>
                  </w14:solidFill>
                </w14:textFill>
              </w:rPr>
              <w:t>橡胶和塑料制品</w:t>
            </w:r>
            <w:r>
              <w:rPr>
                <w:rFonts w:hint="eastAsia"/>
                <w:b w:val="0"/>
                <w:bCs/>
                <w:color w:val="000000" w:themeColor="text1"/>
                <w:sz w:val="24"/>
                <w:szCs w:val="24"/>
                <w:highlight w:val="none"/>
                <w14:textFill>
                  <w14:solidFill>
                    <w14:schemeClr w14:val="tx1"/>
                  </w14:solidFill>
                </w14:textFill>
              </w:rPr>
              <w:t>》（HJ</w:t>
            </w:r>
            <w:r>
              <w:rPr>
                <w:rFonts w:hint="eastAsia" w:ascii="Times New Roman" w:eastAsia="宋体"/>
                <w:b w:val="0"/>
                <w:bCs/>
                <w:color w:val="000000" w:themeColor="text1"/>
                <w:sz w:val="24"/>
                <w:szCs w:val="24"/>
                <w:highlight w:val="none"/>
                <w:lang w:val="en-US" w:eastAsia="zh-CN"/>
                <w14:textFill>
                  <w14:solidFill>
                    <w14:schemeClr w14:val="tx1"/>
                  </w14:solidFill>
                </w14:textFill>
              </w:rPr>
              <w:t>1207</w:t>
            </w:r>
            <w:r>
              <w:rPr>
                <w:rFonts w:hint="eastAsia"/>
                <w:b w:val="0"/>
                <w:bCs/>
                <w:color w:val="000000" w:themeColor="text1"/>
                <w:sz w:val="24"/>
                <w:szCs w:val="24"/>
                <w:highlight w:val="none"/>
                <w14:textFill>
                  <w14:solidFill>
                    <w14:schemeClr w14:val="tx1"/>
                  </w14:solidFill>
                </w14:textFill>
              </w:rPr>
              <w:t>-20</w:t>
            </w:r>
            <w:r>
              <w:rPr>
                <w:rFonts w:hint="eastAsia" w:ascii="Times New Roman" w:eastAsia="宋体"/>
                <w:b w:val="0"/>
                <w:bCs/>
                <w:color w:val="000000" w:themeColor="text1"/>
                <w:sz w:val="24"/>
                <w:szCs w:val="24"/>
                <w:highlight w:val="none"/>
                <w:lang w:val="en-US" w:eastAsia="zh-CN"/>
                <w14:textFill>
                  <w14:solidFill>
                    <w14:schemeClr w14:val="tx1"/>
                  </w14:solidFill>
                </w14:textFill>
              </w:rPr>
              <w:t>21</w:t>
            </w:r>
            <w:r>
              <w:rPr>
                <w:rFonts w:hint="eastAsia"/>
                <w:b w:val="0"/>
                <w:bCs/>
                <w:color w:val="000000" w:themeColor="text1"/>
                <w:sz w:val="24"/>
                <w:szCs w:val="24"/>
                <w:highlight w:val="none"/>
                <w14:textFill>
                  <w14:solidFill>
                    <w14:schemeClr w14:val="tx1"/>
                  </w14:solidFill>
                </w14:textFill>
              </w:rPr>
              <w:t>）</w:t>
            </w:r>
            <w:r>
              <w:rPr>
                <w:rFonts w:hint="default" w:ascii="Times New Roman" w:hAnsi="Times New Roman" w:cs="Times New Roman"/>
                <w:color w:val="000000"/>
              </w:rPr>
              <w:t xml:space="preserve">中的要求落实运营期自行监测计划，接受社会监督。 </w:t>
            </w:r>
          </w:p>
          <w:p w14:paraId="715CFC1D">
            <w:pPr>
              <w:adjustRightInd w:val="0"/>
              <w:snapToGrid w:val="0"/>
              <w:rPr>
                <w:rStyle w:val="34"/>
                <w:color w:val="000000"/>
                <w:sz w:val="24"/>
              </w:rPr>
            </w:pPr>
          </w:p>
          <w:p w14:paraId="416FC0AE">
            <w:pPr>
              <w:adjustRightInd w:val="0"/>
              <w:snapToGrid w:val="0"/>
              <w:ind w:left="480" w:leftChars="200"/>
              <w:rPr>
                <w:rStyle w:val="34"/>
                <w:color w:val="000000"/>
                <w:sz w:val="24"/>
              </w:rPr>
            </w:pPr>
          </w:p>
          <w:p w14:paraId="33124813">
            <w:pPr>
              <w:adjustRightInd w:val="0"/>
              <w:snapToGrid w:val="0"/>
              <w:rPr>
                <w:rStyle w:val="34"/>
                <w:color w:val="000000"/>
                <w:sz w:val="24"/>
              </w:rPr>
            </w:pPr>
          </w:p>
        </w:tc>
      </w:tr>
    </w:tbl>
    <w:p w14:paraId="01469AA4">
      <w:pPr>
        <w:pStyle w:val="24"/>
        <w:spacing w:before="0" w:beforeAutospacing="0" w:after="0" w:afterAutospacing="0"/>
        <w:jc w:val="center"/>
        <w:outlineLvl w:val="0"/>
        <w:rPr>
          <w:rStyle w:val="39"/>
          <w:color w:val="000000"/>
        </w:rPr>
      </w:pPr>
      <w:r>
        <w:rPr>
          <w:rFonts w:ascii="Times New Roman" w:hAnsi="Times New Roman"/>
          <w:snapToGrid w:val="0"/>
          <w:color w:val="000000"/>
        </w:rPr>
        <w:br w:type="page"/>
      </w:r>
      <w:r>
        <w:rPr>
          <w:rStyle w:val="39"/>
          <w:rFonts w:hint="eastAsia"/>
          <w:color w:val="000000"/>
        </w:rPr>
        <w:t>六、结论</w:t>
      </w: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311A0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06" w:hRule="atLeast"/>
          <w:jc w:val="center"/>
        </w:trPr>
        <w:tc>
          <w:tcPr>
            <w:tcW w:w="5000" w:type="pct"/>
            <w:noWrap w:val="0"/>
            <w:vAlign w:val="top"/>
          </w:tcPr>
          <w:p w14:paraId="7B3697C9">
            <w:pPr>
              <w:widowControl/>
              <w:ind w:firstLine="480" w:firstLineChars="200"/>
              <w:rPr>
                <w:color w:val="000000"/>
              </w:rPr>
            </w:pPr>
            <w:r>
              <w:rPr>
                <w:rFonts w:hint="eastAsia"/>
                <w:color w:val="000000"/>
              </w:rPr>
              <w:t>本项目选址符合规划，建设符合国家相关产业政策，市场前景广阔，具有较好的经济效益。项目对废气、废水、噪声和固体废物等污染物采取了较为妥善的处理处置措施，各污染物均能达标排放，对周围环境影响较小。</w:t>
            </w:r>
            <w:r>
              <w:rPr>
                <w:rFonts w:hint="eastAsia"/>
                <w:color w:val="000000"/>
                <w:lang w:val="en-US" w:eastAsia="zh-CN"/>
              </w:rPr>
              <w:t>综上所述</w:t>
            </w:r>
            <w:r>
              <w:rPr>
                <w:rFonts w:hint="eastAsia" w:ascii="宋体" w:hAnsi="宋体" w:cs="宋体"/>
                <w:color w:val="000000"/>
                <w:kern w:val="0"/>
                <w:lang w:bidi="ar"/>
              </w:rPr>
              <w:t>，从环境保护角度分析，本项目的建设是可行的。</w:t>
            </w:r>
          </w:p>
          <w:p w14:paraId="748D74EA">
            <w:pPr>
              <w:ind w:firstLine="480" w:firstLineChars="200"/>
              <w:rPr>
                <w:rFonts w:cs="宋体"/>
                <w:color w:val="000000"/>
              </w:rPr>
            </w:pPr>
          </w:p>
        </w:tc>
      </w:tr>
    </w:tbl>
    <w:p w14:paraId="7971E455">
      <w:pPr>
        <w:rPr>
          <w:color w:val="000000"/>
        </w:rPr>
        <w:sectPr>
          <w:pgSz w:w="11906" w:h="16838"/>
          <w:pgMar w:top="1531" w:right="1531" w:bottom="1531" w:left="1531" w:header="851" w:footer="851" w:gutter="0"/>
          <w:pgBorders>
            <w:top w:val="none" w:sz="0" w:space="0"/>
            <w:left w:val="none" w:sz="0" w:space="0"/>
            <w:bottom w:val="none" w:sz="0" w:space="0"/>
            <w:right w:val="none" w:sz="0" w:space="0"/>
          </w:pgBorders>
          <w:cols w:space="720" w:num="1"/>
          <w:docGrid w:linePitch="312" w:charSpace="0"/>
        </w:sectPr>
      </w:pPr>
    </w:p>
    <w:p w14:paraId="01857220">
      <w:pPr>
        <w:outlineLvl w:val="0"/>
        <w:rPr>
          <w:rFonts w:hint="eastAsia"/>
          <w:b/>
          <w:bCs/>
          <w:color w:val="000000"/>
        </w:rPr>
      </w:pPr>
      <w:r>
        <w:rPr>
          <w:rFonts w:hint="eastAsia"/>
          <w:b/>
          <w:bCs/>
          <w:color w:val="000000"/>
        </w:rPr>
        <w:t>附表1：建设项目污染物排放量汇总表</w:t>
      </w:r>
    </w:p>
    <w:p w14:paraId="793951A0">
      <w:pPr>
        <w:pStyle w:val="61"/>
        <w:ind w:firstLine="240"/>
        <w:rPr>
          <w:rFonts w:hint="eastAsia"/>
          <w:b w:val="0"/>
          <w:bCs/>
          <w:color w:val="000000"/>
          <w:sz w:val="24"/>
          <w:szCs w:val="22"/>
        </w:rPr>
      </w:pPr>
      <w:r>
        <w:rPr>
          <w:rFonts w:hint="eastAsia"/>
          <w:b/>
          <w:bCs w:val="0"/>
          <w:color w:val="000000"/>
          <w:sz w:val="28"/>
          <w:szCs w:val="24"/>
        </w:rPr>
        <w:t>建设项目污染物排放量汇总表</w:t>
      </w:r>
    </w:p>
    <w:tbl>
      <w:tblPr>
        <w:tblStyle w:val="29"/>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2033"/>
        <w:gridCol w:w="1261"/>
        <w:gridCol w:w="1153"/>
        <w:gridCol w:w="1383"/>
        <w:gridCol w:w="1531"/>
        <w:gridCol w:w="1612"/>
        <w:gridCol w:w="1812"/>
        <w:gridCol w:w="1536"/>
      </w:tblGrid>
      <w:tr w14:paraId="3825F2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tcBorders>
              <w:tl2br w:val="single" w:color="auto" w:sz="4" w:space="0"/>
            </w:tcBorders>
            <w:noWrap w:val="0"/>
            <w:tcMar>
              <w:left w:w="28" w:type="dxa"/>
              <w:right w:w="28" w:type="dxa"/>
            </w:tcMar>
            <w:vAlign w:val="center"/>
          </w:tcPr>
          <w:p w14:paraId="018CBBE7">
            <w:pPr>
              <w:pStyle w:val="61"/>
              <w:keepNext w:val="0"/>
              <w:keepLines w:val="0"/>
              <w:pageBreakBefore w:val="0"/>
              <w:kinsoku/>
              <w:wordWrap/>
              <w:overflowPunct/>
              <w:topLinePunct w:val="0"/>
              <w:bidi w:val="0"/>
              <w:spacing w:line="240" w:lineRule="auto"/>
              <w:ind w:firstLine="0"/>
              <w:jc w:val="center"/>
              <w:rPr>
                <w:b w:val="0"/>
                <w:bCs/>
                <w:snapToGrid w:val="0"/>
                <w:color w:val="000000"/>
                <w:spacing w:val="-6"/>
                <w:kern w:val="21"/>
                <w:sz w:val="21"/>
                <w:szCs w:val="21"/>
              </w:rPr>
            </w:pPr>
            <w:r>
              <w:rPr>
                <w:b w:val="0"/>
                <w:bCs/>
                <w:snapToGrid w:val="0"/>
                <w:color w:val="000000"/>
                <w:spacing w:val="-6"/>
                <w:kern w:val="21"/>
                <w:sz w:val="21"/>
                <w:szCs w:val="21"/>
              </w:rPr>
              <w:t>项目</w:t>
            </w:r>
          </w:p>
          <w:p w14:paraId="55431938">
            <w:pPr>
              <w:pStyle w:val="61"/>
              <w:keepNext w:val="0"/>
              <w:keepLines w:val="0"/>
              <w:pageBreakBefore w:val="0"/>
              <w:kinsoku/>
              <w:wordWrap/>
              <w:overflowPunct/>
              <w:topLinePunct w:val="0"/>
              <w:bidi w:val="0"/>
              <w:spacing w:line="240" w:lineRule="auto"/>
              <w:ind w:firstLine="0"/>
              <w:jc w:val="center"/>
              <w:rPr>
                <w:b w:val="0"/>
                <w:bCs/>
                <w:snapToGrid w:val="0"/>
                <w:color w:val="000000"/>
                <w:spacing w:val="-6"/>
                <w:kern w:val="21"/>
                <w:sz w:val="21"/>
                <w:szCs w:val="21"/>
              </w:rPr>
            </w:pPr>
          </w:p>
          <w:p w14:paraId="48C600D3">
            <w:pPr>
              <w:pStyle w:val="61"/>
              <w:keepNext w:val="0"/>
              <w:keepLines w:val="0"/>
              <w:pageBreakBefore w:val="0"/>
              <w:kinsoku/>
              <w:wordWrap/>
              <w:overflowPunct/>
              <w:topLinePunct w:val="0"/>
              <w:bidi w:val="0"/>
              <w:spacing w:line="240" w:lineRule="auto"/>
              <w:ind w:firstLine="0"/>
              <w:jc w:val="center"/>
              <w:rPr>
                <w:b w:val="0"/>
                <w:bCs/>
                <w:snapToGrid w:val="0"/>
                <w:color w:val="000000"/>
                <w:spacing w:val="-6"/>
                <w:kern w:val="21"/>
                <w:sz w:val="21"/>
                <w:szCs w:val="21"/>
              </w:rPr>
            </w:pPr>
            <w:r>
              <w:rPr>
                <w:b w:val="0"/>
                <w:bCs/>
                <w:snapToGrid w:val="0"/>
                <w:color w:val="000000"/>
                <w:spacing w:val="-6"/>
                <w:kern w:val="21"/>
                <w:sz w:val="21"/>
                <w:szCs w:val="21"/>
              </w:rPr>
              <w:t>分类</w:t>
            </w:r>
          </w:p>
        </w:tc>
        <w:tc>
          <w:tcPr>
            <w:tcW w:w="753" w:type="pct"/>
            <w:noWrap w:val="0"/>
            <w:tcMar>
              <w:left w:w="28" w:type="dxa"/>
              <w:right w:w="28" w:type="dxa"/>
            </w:tcMar>
            <w:vAlign w:val="center"/>
          </w:tcPr>
          <w:p w14:paraId="39B7799B">
            <w:pPr>
              <w:pStyle w:val="61"/>
              <w:keepNext w:val="0"/>
              <w:keepLines w:val="0"/>
              <w:pageBreakBefore w:val="0"/>
              <w:kinsoku/>
              <w:wordWrap/>
              <w:overflowPunct/>
              <w:topLinePunct w:val="0"/>
              <w:bidi w:val="0"/>
              <w:spacing w:line="240" w:lineRule="auto"/>
              <w:ind w:firstLine="0"/>
              <w:jc w:val="center"/>
              <w:rPr>
                <w:b w:val="0"/>
                <w:bCs/>
                <w:snapToGrid w:val="0"/>
                <w:color w:val="000000"/>
                <w:spacing w:val="-6"/>
                <w:kern w:val="21"/>
                <w:sz w:val="21"/>
                <w:szCs w:val="21"/>
              </w:rPr>
            </w:pPr>
            <w:r>
              <w:rPr>
                <w:b w:val="0"/>
                <w:bCs/>
                <w:snapToGrid w:val="0"/>
                <w:color w:val="000000"/>
                <w:spacing w:val="-6"/>
                <w:kern w:val="21"/>
                <w:sz w:val="21"/>
                <w:szCs w:val="21"/>
              </w:rPr>
              <w:t>污染物名称</w:t>
            </w:r>
          </w:p>
        </w:tc>
        <w:tc>
          <w:tcPr>
            <w:tcW w:w="467" w:type="pct"/>
            <w:noWrap w:val="0"/>
            <w:tcMar>
              <w:left w:w="28" w:type="dxa"/>
              <w:right w:w="28" w:type="dxa"/>
            </w:tcMar>
            <w:vAlign w:val="center"/>
          </w:tcPr>
          <w:p w14:paraId="43B33CDA">
            <w:pPr>
              <w:pStyle w:val="61"/>
              <w:keepNext w:val="0"/>
              <w:keepLines w:val="0"/>
              <w:pageBreakBefore w:val="0"/>
              <w:kinsoku/>
              <w:wordWrap/>
              <w:overflowPunct/>
              <w:topLinePunct w:val="0"/>
              <w:bidi w:val="0"/>
              <w:spacing w:line="240" w:lineRule="auto"/>
              <w:ind w:firstLine="0"/>
              <w:jc w:val="center"/>
              <w:rPr>
                <w:b w:val="0"/>
                <w:bCs/>
                <w:snapToGrid w:val="0"/>
                <w:color w:val="000000"/>
                <w:spacing w:val="-6"/>
                <w:kern w:val="21"/>
                <w:sz w:val="21"/>
                <w:szCs w:val="21"/>
              </w:rPr>
            </w:pPr>
            <w:r>
              <w:rPr>
                <w:b w:val="0"/>
                <w:bCs/>
                <w:snapToGrid w:val="0"/>
                <w:color w:val="000000"/>
                <w:spacing w:val="-6"/>
                <w:kern w:val="21"/>
                <w:sz w:val="21"/>
                <w:szCs w:val="21"/>
              </w:rPr>
              <w:t>现有工程排放量（固体废物产生量）</w:t>
            </w:r>
            <w:r>
              <w:rPr>
                <w:b w:val="0"/>
                <w:bCs/>
                <w:snapToGrid w:val="0"/>
                <w:color w:val="000000"/>
                <w:spacing w:val="-6"/>
                <w:kern w:val="21"/>
                <w:sz w:val="21"/>
                <w:szCs w:val="21"/>
              </w:rPr>
              <w:fldChar w:fldCharType="begin"/>
            </w:r>
            <w:r>
              <w:rPr>
                <w:b w:val="0"/>
                <w:bCs/>
                <w:snapToGrid w:val="0"/>
                <w:color w:val="000000"/>
                <w:spacing w:val="-6"/>
                <w:kern w:val="21"/>
                <w:sz w:val="21"/>
                <w:szCs w:val="21"/>
              </w:rPr>
              <w:instrText xml:space="preserve"> = 1 \* GB3 \* MERGEFORMAT </w:instrText>
            </w:r>
            <w:r>
              <w:rPr>
                <w:b w:val="0"/>
                <w:bCs/>
                <w:snapToGrid w:val="0"/>
                <w:color w:val="000000"/>
                <w:spacing w:val="-6"/>
                <w:kern w:val="21"/>
                <w:sz w:val="21"/>
                <w:szCs w:val="21"/>
              </w:rPr>
              <w:fldChar w:fldCharType="separate"/>
            </w:r>
            <w:r>
              <w:rPr>
                <w:b w:val="0"/>
                <w:bCs/>
                <w:color w:val="000000"/>
                <w:kern w:val="2"/>
                <w:sz w:val="21"/>
                <w:szCs w:val="21"/>
              </w:rPr>
              <w:t>①</w:t>
            </w:r>
            <w:r>
              <w:rPr>
                <w:b w:val="0"/>
                <w:bCs/>
                <w:snapToGrid w:val="0"/>
                <w:color w:val="000000"/>
                <w:spacing w:val="-6"/>
                <w:kern w:val="21"/>
                <w:sz w:val="21"/>
                <w:szCs w:val="21"/>
              </w:rPr>
              <w:fldChar w:fldCharType="end"/>
            </w:r>
          </w:p>
        </w:tc>
        <w:tc>
          <w:tcPr>
            <w:tcW w:w="427" w:type="pct"/>
            <w:noWrap w:val="0"/>
            <w:tcMar>
              <w:left w:w="28" w:type="dxa"/>
              <w:right w:w="28" w:type="dxa"/>
            </w:tcMar>
            <w:vAlign w:val="center"/>
          </w:tcPr>
          <w:p w14:paraId="710F89FA">
            <w:pPr>
              <w:pStyle w:val="61"/>
              <w:keepNext w:val="0"/>
              <w:keepLines w:val="0"/>
              <w:pageBreakBefore w:val="0"/>
              <w:kinsoku/>
              <w:wordWrap/>
              <w:overflowPunct/>
              <w:topLinePunct w:val="0"/>
              <w:bidi w:val="0"/>
              <w:spacing w:line="240" w:lineRule="auto"/>
              <w:ind w:firstLine="0"/>
              <w:jc w:val="center"/>
              <w:rPr>
                <w:b w:val="0"/>
                <w:bCs/>
                <w:snapToGrid w:val="0"/>
                <w:color w:val="000000"/>
                <w:spacing w:val="-6"/>
                <w:kern w:val="21"/>
                <w:sz w:val="21"/>
                <w:szCs w:val="21"/>
              </w:rPr>
            </w:pPr>
            <w:r>
              <w:rPr>
                <w:b w:val="0"/>
                <w:bCs/>
                <w:snapToGrid w:val="0"/>
                <w:color w:val="000000"/>
                <w:spacing w:val="-6"/>
                <w:kern w:val="21"/>
                <w:sz w:val="21"/>
                <w:szCs w:val="21"/>
              </w:rPr>
              <w:t>现有工程许可排放量</w:t>
            </w:r>
          </w:p>
          <w:p w14:paraId="41F227FD">
            <w:pPr>
              <w:pStyle w:val="61"/>
              <w:keepNext w:val="0"/>
              <w:keepLines w:val="0"/>
              <w:pageBreakBefore w:val="0"/>
              <w:kinsoku/>
              <w:wordWrap/>
              <w:overflowPunct/>
              <w:topLinePunct w:val="0"/>
              <w:bidi w:val="0"/>
              <w:spacing w:line="240" w:lineRule="auto"/>
              <w:ind w:firstLine="0"/>
              <w:jc w:val="center"/>
              <w:rPr>
                <w:b w:val="0"/>
                <w:bCs/>
                <w:snapToGrid w:val="0"/>
                <w:color w:val="000000"/>
                <w:spacing w:val="-6"/>
                <w:kern w:val="21"/>
                <w:sz w:val="21"/>
                <w:szCs w:val="21"/>
              </w:rPr>
            </w:pPr>
            <w:r>
              <w:rPr>
                <w:b w:val="0"/>
                <w:bCs/>
                <w:snapToGrid w:val="0"/>
                <w:color w:val="000000"/>
                <w:spacing w:val="-6"/>
                <w:kern w:val="21"/>
                <w:sz w:val="21"/>
                <w:szCs w:val="21"/>
              </w:rPr>
              <w:fldChar w:fldCharType="begin"/>
            </w:r>
            <w:r>
              <w:rPr>
                <w:b w:val="0"/>
                <w:bCs/>
                <w:snapToGrid w:val="0"/>
                <w:color w:val="000000"/>
                <w:spacing w:val="-6"/>
                <w:kern w:val="21"/>
                <w:sz w:val="21"/>
                <w:szCs w:val="21"/>
              </w:rPr>
              <w:instrText xml:space="preserve"> = 2 \* GB3 \* MERGEFORMAT </w:instrText>
            </w:r>
            <w:r>
              <w:rPr>
                <w:b w:val="0"/>
                <w:bCs/>
                <w:snapToGrid w:val="0"/>
                <w:color w:val="000000"/>
                <w:spacing w:val="-6"/>
                <w:kern w:val="21"/>
                <w:sz w:val="21"/>
                <w:szCs w:val="21"/>
              </w:rPr>
              <w:fldChar w:fldCharType="separate"/>
            </w:r>
            <w:r>
              <w:rPr>
                <w:b w:val="0"/>
                <w:bCs/>
                <w:snapToGrid w:val="0"/>
                <w:color w:val="000000"/>
                <w:spacing w:val="-6"/>
                <w:kern w:val="21"/>
                <w:sz w:val="21"/>
                <w:szCs w:val="21"/>
              </w:rPr>
              <w:t>②</w:t>
            </w:r>
            <w:r>
              <w:rPr>
                <w:b w:val="0"/>
                <w:bCs/>
                <w:snapToGrid w:val="0"/>
                <w:color w:val="000000"/>
                <w:spacing w:val="-6"/>
                <w:kern w:val="21"/>
                <w:sz w:val="21"/>
                <w:szCs w:val="21"/>
              </w:rPr>
              <w:fldChar w:fldCharType="end"/>
            </w:r>
          </w:p>
        </w:tc>
        <w:tc>
          <w:tcPr>
            <w:tcW w:w="512" w:type="pct"/>
            <w:noWrap w:val="0"/>
            <w:tcMar>
              <w:left w:w="28" w:type="dxa"/>
              <w:right w:w="28" w:type="dxa"/>
            </w:tcMar>
            <w:vAlign w:val="center"/>
          </w:tcPr>
          <w:p w14:paraId="7A1DEF1A">
            <w:pPr>
              <w:pStyle w:val="61"/>
              <w:keepNext w:val="0"/>
              <w:keepLines w:val="0"/>
              <w:pageBreakBefore w:val="0"/>
              <w:kinsoku/>
              <w:wordWrap/>
              <w:overflowPunct/>
              <w:topLinePunct w:val="0"/>
              <w:bidi w:val="0"/>
              <w:spacing w:line="240" w:lineRule="auto"/>
              <w:ind w:firstLine="0"/>
              <w:jc w:val="center"/>
              <w:rPr>
                <w:b w:val="0"/>
                <w:bCs/>
                <w:snapToGrid w:val="0"/>
                <w:color w:val="000000"/>
                <w:spacing w:val="-6"/>
                <w:kern w:val="21"/>
                <w:sz w:val="21"/>
                <w:szCs w:val="21"/>
              </w:rPr>
            </w:pPr>
            <w:r>
              <w:rPr>
                <w:b w:val="0"/>
                <w:bCs/>
                <w:snapToGrid w:val="0"/>
                <w:color w:val="000000"/>
                <w:spacing w:val="-6"/>
                <w:kern w:val="21"/>
                <w:sz w:val="21"/>
                <w:szCs w:val="21"/>
              </w:rPr>
              <w:t>在建工程排放量（固体废物产生量）</w:t>
            </w:r>
            <w:r>
              <w:rPr>
                <w:b w:val="0"/>
                <w:bCs/>
                <w:snapToGrid w:val="0"/>
                <w:color w:val="000000"/>
                <w:spacing w:val="-6"/>
                <w:kern w:val="21"/>
                <w:sz w:val="21"/>
                <w:szCs w:val="21"/>
              </w:rPr>
              <w:fldChar w:fldCharType="begin"/>
            </w:r>
            <w:r>
              <w:rPr>
                <w:b w:val="0"/>
                <w:bCs/>
                <w:snapToGrid w:val="0"/>
                <w:color w:val="000000"/>
                <w:spacing w:val="-6"/>
                <w:kern w:val="21"/>
                <w:sz w:val="21"/>
                <w:szCs w:val="21"/>
              </w:rPr>
              <w:instrText xml:space="preserve"> = 3 \* GB3 \* MERGEFORMAT </w:instrText>
            </w:r>
            <w:r>
              <w:rPr>
                <w:b w:val="0"/>
                <w:bCs/>
                <w:snapToGrid w:val="0"/>
                <w:color w:val="000000"/>
                <w:spacing w:val="-6"/>
                <w:kern w:val="21"/>
                <w:sz w:val="21"/>
                <w:szCs w:val="21"/>
              </w:rPr>
              <w:fldChar w:fldCharType="separate"/>
            </w:r>
            <w:r>
              <w:rPr>
                <w:b w:val="0"/>
                <w:bCs/>
                <w:color w:val="000000"/>
                <w:kern w:val="2"/>
                <w:sz w:val="21"/>
                <w:szCs w:val="21"/>
              </w:rPr>
              <w:t>③</w:t>
            </w:r>
            <w:r>
              <w:rPr>
                <w:b w:val="0"/>
                <w:bCs/>
                <w:snapToGrid w:val="0"/>
                <w:color w:val="000000"/>
                <w:spacing w:val="-6"/>
                <w:kern w:val="21"/>
                <w:sz w:val="21"/>
                <w:szCs w:val="21"/>
              </w:rPr>
              <w:fldChar w:fldCharType="end"/>
            </w:r>
          </w:p>
        </w:tc>
        <w:tc>
          <w:tcPr>
            <w:tcW w:w="567" w:type="pct"/>
            <w:noWrap w:val="0"/>
            <w:tcMar>
              <w:left w:w="28" w:type="dxa"/>
              <w:right w:w="28" w:type="dxa"/>
            </w:tcMar>
            <w:vAlign w:val="center"/>
          </w:tcPr>
          <w:p w14:paraId="364EBA8C">
            <w:pPr>
              <w:pStyle w:val="61"/>
              <w:keepNext w:val="0"/>
              <w:keepLines w:val="0"/>
              <w:pageBreakBefore w:val="0"/>
              <w:kinsoku/>
              <w:wordWrap/>
              <w:overflowPunct/>
              <w:topLinePunct w:val="0"/>
              <w:bidi w:val="0"/>
              <w:spacing w:line="240" w:lineRule="auto"/>
              <w:ind w:firstLine="0"/>
              <w:jc w:val="center"/>
              <w:rPr>
                <w:b w:val="0"/>
                <w:bCs/>
                <w:snapToGrid w:val="0"/>
                <w:color w:val="000000"/>
                <w:spacing w:val="-6"/>
                <w:kern w:val="21"/>
                <w:sz w:val="21"/>
                <w:szCs w:val="21"/>
              </w:rPr>
            </w:pPr>
            <w:r>
              <w:rPr>
                <w:b w:val="0"/>
                <w:bCs/>
                <w:snapToGrid w:val="0"/>
                <w:color w:val="000000"/>
                <w:spacing w:val="-6"/>
                <w:kern w:val="21"/>
                <w:sz w:val="21"/>
                <w:szCs w:val="21"/>
              </w:rPr>
              <w:t>本项目排放量（固体废物产生量）</w:t>
            </w:r>
            <w:r>
              <w:rPr>
                <w:b w:val="0"/>
                <w:bCs/>
                <w:snapToGrid w:val="0"/>
                <w:color w:val="000000"/>
                <w:spacing w:val="-6"/>
                <w:kern w:val="21"/>
                <w:sz w:val="21"/>
                <w:szCs w:val="21"/>
              </w:rPr>
              <w:fldChar w:fldCharType="begin"/>
            </w:r>
            <w:r>
              <w:rPr>
                <w:b w:val="0"/>
                <w:bCs/>
                <w:snapToGrid w:val="0"/>
                <w:color w:val="000000"/>
                <w:spacing w:val="-6"/>
                <w:kern w:val="21"/>
                <w:sz w:val="21"/>
                <w:szCs w:val="21"/>
              </w:rPr>
              <w:instrText xml:space="preserve"> = 4 \* GB3 \* MERGEFORMAT </w:instrText>
            </w:r>
            <w:r>
              <w:rPr>
                <w:b w:val="0"/>
                <w:bCs/>
                <w:snapToGrid w:val="0"/>
                <w:color w:val="000000"/>
                <w:spacing w:val="-6"/>
                <w:kern w:val="21"/>
                <w:sz w:val="21"/>
                <w:szCs w:val="21"/>
              </w:rPr>
              <w:fldChar w:fldCharType="separate"/>
            </w:r>
            <w:r>
              <w:rPr>
                <w:b w:val="0"/>
                <w:bCs/>
                <w:color w:val="000000"/>
                <w:kern w:val="2"/>
                <w:sz w:val="21"/>
                <w:szCs w:val="21"/>
              </w:rPr>
              <w:t>④</w:t>
            </w:r>
            <w:r>
              <w:rPr>
                <w:b w:val="0"/>
                <w:bCs/>
                <w:snapToGrid w:val="0"/>
                <w:color w:val="000000"/>
                <w:spacing w:val="-6"/>
                <w:kern w:val="21"/>
                <w:sz w:val="21"/>
                <w:szCs w:val="21"/>
              </w:rPr>
              <w:fldChar w:fldCharType="end"/>
            </w:r>
          </w:p>
        </w:tc>
        <w:tc>
          <w:tcPr>
            <w:tcW w:w="597" w:type="pct"/>
            <w:noWrap w:val="0"/>
            <w:tcMar>
              <w:left w:w="28" w:type="dxa"/>
              <w:right w:w="28" w:type="dxa"/>
            </w:tcMar>
            <w:vAlign w:val="center"/>
          </w:tcPr>
          <w:p w14:paraId="48B99167">
            <w:pPr>
              <w:pStyle w:val="61"/>
              <w:keepNext w:val="0"/>
              <w:keepLines w:val="0"/>
              <w:pageBreakBefore w:val="0"/>
              <w:kinsoku/>
              <w:wordWrap/>
              <w:overflowPunct/>
              <w:topLinePunct w:val="0"/>
              <w:bidi w:val="0"/>
              <w:spacing w:line="240" w:lineRule="auto"/>
              <w:ind w:firstLine="0"/>
              <w:jc w:val="center"/>
              <w:rPr>
                <w:b w:val="0"/>
                <w:bCs/>
                <w:snapToGrid w:val="0"/>
                <w:color w:val="000000"/>
                <w:spacing w:val="-16"/>
                <w:kern w:val="21"/>
                <w:sz w:val="21"/>
                <w:szCs w:val="21"/>
              </w:rPr>
            </w:pPr>
            <w:r>
              <w:rPr>
                <w:b w:val="0"/>
                <w:bCs/>
                <w:snapToGrid w:val="0"/>
                <w:color w:val="000000"/>
                <w:spacing w:val="-16"/>
                <w:kern w:val="21"/>
                <w:sz w:val="21"/>
                <w:szCs w:val="21"/>
              </w:rPr>
              <w:t>以新带老削减量（新建项目不填）</w:t>
            </w:r>
            <w:r>
              <w:rPr>
                <w:b w:val="0"/>
                <w:bCs/>
                <w:snapToGrid w:val="0"/>
                <w:color w:val="000000"/>
                <w:spacing w:val="-16"/>
                <w:kern w:val="21"/>
                <w:sz w:val="21"/>
                <w:szCs w:val="21"/>
              </w:rPr>
              <w:fldChar w:fldCharType="begin"/>
            </w:r>
            <w:r>
              <w:rPr>
                <w:b w:val="0"/>
                <w:bCs/>
                <w:snapToGrid w:val="0"/>
                <w:color w:val="000000"/>
                <w:spacing w:val="-16"/>
                <w:kern w:val="21"/>
                <w:sz w:val="21"/>
                <w:szCs w:val="21"/>
              </w:rPr>
              <w:instrText xml:space="preserve"> = 5 \* GB3 \* MERGEFORMAT </w:instrText>
            </w:r>
            <w:r>
              <w:rPr>
                <w:b w:val="0"/>
                <w:bCs/>
                <w:snapToGrid w:val="0"/>
                <w:color w:val="000000"/>
                <w:spacing w:val="-16"/>
                <w:kern w:val="21"/>
                <w:sz w:val="21"/>
                <w:szCs w:val="21"/>
              </w:rPr>
              <w:fldChar w:fldCharType="separate"/>
            </w:r>
            <w:r>
              <w:rPr>
                <w:b w:val="0"/>
                <w:bCs/>
                <w:color w:val="000000"/>
                <w:kern w:val="2"/>
                <w:sz w:val="21"/>
                <w:szCs w:val="21"/>
              </w:rPr>
              <w:t>⑤</w:t>
            </w:r>
            <w:r>
              <w:rPr>
                <w:b w:val="0"/>
                <w:bCs/>
                <w:snapToGrid w:val="0"/>
                <w:color w:val="000000"/>
                <w:spacing w:val="-16"/>
                <w:kern w:val="21"/>
                <w:sz w:val="21"/>
                <w:szCs w:val="21"/>
              </w:rPr>
              <w:fldChar w:fldCharType="end"/>
            </w:r>
          </w:p>
        </w:tc>
        <w:tc>
          <w:tcPr>
            <w:tcW w:w="671" w:type="pct"/>
            <w:noWrap w:val="0"/>
            <w:tcMar>
              <w:left w:w="28" w:type="dxa"/>
              <w:right w:w="28" w:type="dxa"/>
            </w:tcMar>
            <w:vAlign w:val="center"/>
          </w:tcPr>
          <w:p w14:paraId="1A24BE40">
            <w:pPr>
              <w:pStyle w:val="61"/>
              <w:keepNext w:val="0"/>
              <w:keepLines w:val="0"/>
              <w:pageBreakBefore w:val="0"/>
              <w:kinsoku/>
              <w:wordWrap/>
              <w:overflowPunct/>
              <w:topLinePunct w:val="0"/>
              <w:bidi w:val="0"/>
              <w:spacing w:line="240" w:lineRule="auto"/>
              <w:ind w:firstLine="0"/>
              <w:jc w:val="center"/>
              <w:rPr>
                <w:b w:val="0"/>
                <w:bCs/>
                <w:snapToGrid w:val="0"/>
                <w:color w:val="000000"/>
                <w:spacing w:val="-16"/>
                <w:kern w:val="21"/>
                <w:sz w:val="21"/>
                <w:szCs w:val="21"/>
              </w:rPr>
            </w:pPr>
            <w:r>
              <w:rPr>
                <w:b w:val="0"/>
                <w:bCs/>
                <w:snapToGrid w:val="0"/>
                <w:color w:val="000000"/>
                <w:spacing w:val="-16"/>
                <w:kern w:val="21"/>
                <w:sz w:val="21"/>
                <w:szCs w:val="21"/>
              </w:rPr>
              <w:t>本项目建成后全厂排放量（固体废物产生量）</w:t>
            </w:r>
            <w:r>
              <w:rPr>
                <w:b w:val="0"/>
                <w:bCs/>
                <w:snapToGrid w:val="0"/>
                <w:color w:val="000000"/>
                <w:spacing w:val="-16"/>
                <w:kern w:val="21"/>
                <w:sz w:val="21"/>
                <w:szCs w:val="21"/>
              </w:rPr>
              <w:fldChar w:fldCharType="begin"/>
            </w:r>
            <w:r>
              <w:rPr>
                <w:b w:val="0"/>
                <w:bCs/>
                <w:snapToGrid w:val="0"/>
                <w:color w:val="000000"/>
                <w:spacing w:val="-16"/>
                <w:kern w:val="21"/>
                <w:sz w:val="21"/>
                <w:szCs w:val="21"/>
              </w:rPr>
              <w:instrText xml:space="preserve"> = 6 \* GB3 \* MERGEFORMAT </w:instrText>
            </w:r>
            <w:r>
              <w:rPr>
                <w:b w:val="0"/>
                <w:bCs/>
                <w:snapToGrid w:val="0"/>
                <w:color w:val="000000"/>
                <w:spacing w:val="-16"/>
                <w:kern w:val="21"/>
                <w:sz w:val="21"/>
                <w:szCs w:val="21"/>
              </w:rPr>
              <w:fldChar w:fldCharType="separate"/>
            </w:r>
            <w:r>
              <w:rPr>
                <w:b w:val="0"/>
                <w:bCs/>
                <w:color w:val="000000"/>
                <w:kern w:val="2"/>
                <w:sz w:val="21"/>
                <w:szCs w:val="21"/>
              </w:rPr>
              <w:t>⑥</w:t>
            </w:r>
            <w:r>
              <w:rPr>
                <w:b w:val="0"/>
                <w:bCs/>
                <w:snapToGrid w:val="0"/>
                <w:color w:val="000000"/>
                <w:spacing w:val="-16"/>
                <w:kern w:val="21"/>
                <w:sz w:val="21"/>
                <w:szCs w:val="21"/>
              </w:rPr>
              <w:fldChar w:fldCharType="end"/>
            </w:r>
          </w:p>
        </w:tc>
        <w:tc>
          <w:tcPr>
            <w:tcW w:w="569" w:type="pct"/>
            <w:noWrap w:val="0"/>
            <w:tcMar>
              <w:left w:w="28" w:type="dxa"/>
              <w:right w:w="28" w:type="dxa"/>
            </w:tcMar>
            <w:vAlign w:val="center"/>
          </w:tcPr>
          <w:p w14:paraId="48A04798">
            <w:pPr>
              <w:pStyle w:val="61"/>
              <w:keepNext w:val="0"/>
              <w:keepLines w:val="0"/>
              <w:pageBreakBefore w:val="0"/>
              <w:kinsoku/>
              <w:wordWrap/>
              <w:overflowPunct/>
              <w:topLinePunct w:val="0"/>
              <w:bidi w:val="0"/>
              <w:spacing w:line="240" w:lineRule="auto"/>
              <w:ind w:firstLine="0"/>
              <w:jc w:val="center"/>
              <w:rPr>
                <w:b w:val="0"/>
                <w:bCs/>
                <w:snapToGrid w:val="0"/>
                <w:color w:val="000000"/>
                <w:spacing w:val="-6"/>
                <w:kern w:val="21"/>
                <w:sz w:val="21"/>
                <w:szCs w:val="21"/>
              </w:rPr>
            </w:pPr>
            <w:r>
              <w:rPr>
                <w:b w:val="0"/>
                <w:bCs/>
                <w:snapToGrid w:val="0"/>
                <w:color w:val="000000"/>
                <w:spacing w:val="-6"/>
                <w:kern w:val="21"/>
                <w:sz w:val="21"/>
                <w:szCs w:val="21"/>
              </w:rPr>
              <w:t>变化量</w:t>
            </w:r>
          </w:p>
          <w:p w14:paraId="657AA90D">
            <w:pPr>
              <w:pStyle w:val="61"/>
              <w:keepNext w:val="0"/>
              <w:keepLines w:val="0"/>
              <w:pageBreakBefore w:val="0"/>
              <w:kinsoku/>
              <w:wordWrap/>
              <w:overflowPunct/>
              <w:topLinePunct w:val="0"/>
              <w:bidi w:val="0"/>
              <w:spacing w:line="240" w:lineRule="auto"/>
              <w:ind w:firstLine="0"/>
              <w:jc w:val="center"/>
              <w:rPr>
                <w:b w:val="0"/>
                <w:bCs/>
                <w:snapToGrid w:val="0"/>
                <w:color w:val="000000"/>
                <w:spacing w:val="-6"/>
                <w:kern w:val="21"/>
                <w:sz w:val="21"/>
                <w:szCs w:val="21"/>
              </w:rPr>
            </w:pPr>
            <w:r>
              <w:rPr>
                <w:b w:val="0"/>
                <w:bCs/>
                <w:snapToGrid w:val="0"/>
                <w:color w:val="000000"/>
                <w:spacing w:val="-6"/>
                <w:kern w:val="21"/>
                <w:sz w:val="21"/>
                <w:szCs w:val="21"/>
              </w:rPr>
              <w:fldChar w:fldCharType="begin"/>
            </w:r>
            <w:r>
              <w:rPr>
                <w:b w:val="0"/>
                <w:bCs/>
                <w:snapToGrid w:val="0"/>
                <w:color w:val="000000"/>
                <w:spacing w:val="-6"/>
                <w:kern w:val="21"/>
                <w:sz w:val="21"/>
                <w:szCs w:val="21"/>
              </w:rPr>
              <w:instrText xml:space="preserve"> = 7 \* GB3 \* MERGEFORMAT </w:instrText>
            </w:r>
            <w:r>
              <w:rPr>
                <w:b w:val="0"/>
                <w:bCs/>
                <w:snapToGrid w:val="0"/>
                <w:color w:val="000000"/>
                <w:spacing w:val="-6"/>
                <w:kern w:val="21"/>
                <w:sz w:val="21"/>
                <w:szCs w:val="21"/>
              </w:rPr>
              <w:fldChar w:fldCharType="separate"/>
            </w:r>
            <w:r>
              <w:rPr>
                <w:b w:val="0"/>
                <w:bCs/>
                <w:color w:val="000000"/>
                <w:kern w:val="2"/>
                <w:sz w:val="21"/>
                <w:szCs w:val="21"/>
              </w:rPr>
              <w:t>⑦</w:t>
            </w:r>
            <w:r>
              <w:rPr>
                <w:b w:val="0"/>
                <w:bCs/>
                <w:snapToGrid w:val="0"/>
                <w:color w:val="000000"/>
                <w:spacing w:val="-6"/>
                <w:kern w:val="21"/>
                <w:sz w:val="21"/>
                <w:szCs w:val="21"/>
              </w:rPr>
              <w:fldChar w:fldCharType="end"/>
            </w:r>
          </w:p>
        </w:tc>
      </w:tr>
      <w:tr w14:paraId="62F800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restart"/>
            <w:noWrap w:val="0"/>
            <w:vAlign w:val="center"/>
          </w:tcPr>
          <w:p w14:paraId="42F733F8">
            <w:pPr>
              <w:pStyle w:val="61"/>
              <w:keepNext w:val="0"/>
              <w:keepLines w:val="0"/>
              <w:pageBreakBefore w:val="0"/>
              <w:kinsoku/>
              <w:wordWrap/>
              <w:overflowPunct/>
              <w:topLinePunct w:val="0"/>
              <w:bidi w:val="0"/>
              <w:spacing w:line="240" w:lineRule="auto"/>
              <w:ind w:firstLine="0"/>
              <w:jc w:val="center"/>
              <w:rPr>
                <w:rFonts w:hint="eastAsia" w:eastAsia="宋体"/>
                <w:b w:val="0"/>
                <w:bCs/>
                <w:snapToGrid w:val="0"/>
                <w:color w:val="000000"/>
                <w:kern w:val="21"/>
                <w:sz w:val="21"/>
                <w:szCs w:val="21"/>
                <w:lang w:val="en-US" w:eastAsia="zh-CN"/>
              </w:rPr>
            </w:pPr>
            <w:r>
              <w:rPr>
                <w:rFonts w:hint="eastAsia"/>
                <w:b w:val="0"/>
                <w:bCs/>
                <w:snapToGrid w:val="0"/>
                <w:color w:val="000000"/>
                <w:kern w:val="21"/>
                <w:sz w:val="21"/>
                <w:szCs w:val="21"/>
                <w:lang w:val="en-US" w:eastAsia="zh-CN"/>
              </w:rPr>
              <w:t>废气</w:t>
            </w:r>
          </w:p>
        </w:tc>
        <w:tc>
          <w:tcPr>
            <w:tcW w:w="753" w:type="pct"/>
            <w:noWrap w:val="0"/>
            <w:vAlign w:val="center"/>
          </w:tcPr>
          <w:p w14:paraId="06309A18">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非甲烷总烃</w:t>
            </w:r>
          </w:p>
        </w:tc>
        <w:tc>
          <w:tcPr>
            <w:tcW w:w="467" w:type="pct"/>
            <w:noWrap w:val="0"/>
            <w:vAlign w:val="center"/>
          </w:tcPr>
          <w:p w14:paraId="408C8DC1">
            <w:pPr>
              <w:keepNext w:val="0"/>
              <w:keepLines w:val="0"/>
              <w:pageBreakBefore w:val="0"/>
              <w:kinsoku/>
              <w:wordWrap/>
              <w:overflowPunct/>
              <w:topLinePunct w:val="0"/>
              <w:bidi w:val="0"/>
              <w:spacing w:line="240" w:lineRule="auto"/>
              <w:jc w:val="center"/>
              <w:rPr>
                <w:rFonts w:hint="eastAsia" w:eastAsia="宋体"/>
                <w:color w:val="000000"/>
                <w:sz w:val="21"/>
                <w:szCs w:val="21"/>
                <w:highlight w:val="none"/>
                <w:lang w:val="en-US" w:eastAsia="zh-CN"/>
              </w:rPr>
            </w:pPr>
            <w:r>
              <w:rPr>
                <w:rFonts w:hint="eastAsia"/>
                <w:color w:val="000000"/>
                <w:sz w:val="21"/>
                <w:szCs w:val="21"/>
                <w:highlight w:val="none"/>
                <w:lang w:val="en-US" w:eastAsia="zh-CN"/>
              </w:rPr>
              <w:t>/</w:t>
            </w:r>
          </w:p>
        </w:tc>
        <w:tc>
          <w:tcPr>
            <w:tcW w:w="427" w:type="pct"/>
            <w:noWrap w:val="0"/>
            <w:vAlign w:val="center"/>
          </w:tcPr>
          <w:p w14:paraId="1D3EBB7B">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highlight w:val="none"/>
              </w:rPr>
            </w:pPr>
            <w:r>
              <w:rPr>
                <w:rFonts w:hint="eastAsia"/>
                <w:color w:val="000000"/>
                <w:sz w:val="21"/>
                <w:szCs w:val="21"/>
                <w:highlight w:val="none"/>
                <w:lang w:val="en-US" w:eastAsia="zh-CN"/>
              </w:rPr>
              <w:t>/</w:t>
            </w:r>
          </w:p>
        </w:tc>
        <w:tc>
          <w:tcPr>
            <w:tcW w:w="512" w:type="pct"/>
            <w:noWrap w:val="0"/>
            <w:vAlign w:val="center"/>
          </w:tcPr>
          <w:p w14:paraId="55229590">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highlight w:val="none"/>
              </w:rPr>
            </w:pPr>
            <w:r>
              <w:rPr>
                <w:rFonts w:hint="eastAsia"/>
                <w:color w:val="000000"/>
                <w:sz w:val="21"/>
                <w:szCs w:val="21"/>
                <w:highlight w:val="none"/>
                <w:lang w:val="en-US" w:eastAsia="zh-CN"/>
              </w:rPr>
              <w:t>/</w:t>
            </w:r>
          </w:p>
        </w:tc>
        <w:tc>
          <w:tcPr>
            <w:tcW w:w="567" w:type="pct"/>
            <w:noWrap w:val="0"/>
            <w:vAlign w:val="center"/>
          </w:tcPr>
          <w:p w14:paraId="680DBA9E">
            <w:pPr>
              <w:spacing w:line="240" w:lineRule="auto"/>
              <w:jc w:val="center"/>
              <w:rPr>
                <w:rFonts w:hint="default" w:eastAsia="宋体"/>
                <w:b w:val="0"/>
                <w:bCs/>
                <w:color w:val="000000"/>
                <w:kern w:val="2"/>
                <w:sz w:val="21"/>
                <w:szCs w:val="21"/>
                <w:lang w:val="en-US" w:eastAsia="zh-CN" w:bidi="ar-SA"/>
              </w:rPr>
            </w:pPr>
            <w:r>
              <w:rPr>
                <w:rFonts w:hint="eastAsia"/>
                <w:b w:val="0"/>
                <w:bCs/>
                <w:color w:val="000000"/>
                <w:kern w:val="2"/>
                <w:sz w:val="21"/>
                <w:szCs w:val="21"/>
                <w:lang w:val="en-US" w:eastAsia="zh-CN" w:bidi="ar-SA"/>
              </w:rPr>
              <w:t>0.0552</w:t>
            </w:r>
            <w:r>
              <w:rPr>
                <w:rFonts w:hint="eastAsia"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c>
          <w:tcPr>
            <w:tcW w:w="597" w:type="pct"/>
            <w:noWrap w:val="0"/>
            <w:vAlign w:val="center"/>
          </w:tcPr>
          <w:p w14:paraId="6666C6D4">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highlight w:val="none"/>
              </w:rPr>
            </w:pPr>
            <w:r>
              <w:rPr>
                <w:rFonts w:hint="eastAsia"/>
                <w:color w:val="000000"/>
                <w:sz w:val="21"/>
                <w:szCs w:val="21"/>
                <w:highlight w:val="none"/>
                <w:lang w:val="en-US" w:eastAsia="zh-CN"/>
              </w:rPr>
              <w:t>/</w:t>
            </w:r>
          </w:p>
        </w:tc>
        <w:tc>
          <w:tcPr>
            <w:tcW w:w="671" w:type="pct"/>
            <w:noWrap w:val="0"/>
            <w:vAlign w:val="center"/>
          </w:tcPr>
          <w:p w14:paraId="18485642">
            <w:pPr>
              <w:spacing w:line="240" w:lineRule="auto"/>
              <w:jc w:val="center"/>
              <w:rPr>
                <w:rFonts w:hint="eastAsia"/>
                <w:b w:val="0"/>
                <w:bCs/>
                <w:color w:val="000000"/>
                <w:sz w:val="21"/>
                <w:szCs w:val="21"/>
                <w:lang w:val="en-US" w:eastAsia="zh-CN"/>
              </w:rPr>
            </w:pPr>
            <w:r>
              <w:rPr>
                <w:rFonts w:hint="eastAsia"/>
                <w:b w:val="0"/>
                <w:bCs/>
                <w:color w:val="000000"/>
                <w:kern w:val="2"/>
                <w:sz w:val="21"/>
                <w:szCs w:val="21"/>
                <w:lang w:val="en-US" w:eastAsia="zh-CN" w:bidi="ar-SA"/>
              </w:rPr>
              <w:t>0.0552</w:t>
            </w:r>
            <w:r>
              <w:rPr>
                <w:rFonts w:hint="eastAsia"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c>
          <w:tcPr>
            <w:tcW w:w="569" w:type="pct"/>
            <w:noWrap w:val="0"/>
            <w:vAlign w:val="center"/>
          </w:tcPr>
          <w:p w14:paraId="0E633D1B">
            <w:pPr>
              <w:spacing w:line="240" w:lineRule="auto"/>
              <w:jc w:val="center"/>
              <w:rPr>
                <w:rFonts w:hint="eastAsia" w:eastAsia="宋体"/>
                <w:b w:val="0"/>
                <w:bCs/>
                <w:color w:val="000000"/>
                <w:kern w:val="2"/>
                <w:sz w:val="21"/>
                <w:szCs w:val="21"/>
                <w:lang w:val="en-US" w:eastAsia="zh-CN" w:bidi="ar-SA"/>
              </w:rPr>
            </w:pPr>
            <w:r>
              <w:rPr>
                <w:rFonts w:hint="eastAsia"/>
                <w:b w:val="0"/>
                <w:bCs/>
                <w:color w:val="000000"/>
                <w:kern w:val="2"/>
                <w:sz w:val="21"/>
                <w:szCs w:val="21"/>
                <w:lang w:val="en-US" w:eastAsia="zh-CN" w:bidi="ar-SA"/>
              </w:rPr>
              <w:t>+0.0552</w:t>
            </w:r>
            <w:r>
              <w:rPr>
                <w:rFonts w:hint="eastAsia"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r>
      <w:tr w14:paraId="64BC6B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6BB08C21">
            <w:pPr>
              <w:pStyle w:val="61"/>
              <w:keepNext w:val="0"/>
              <w:keepLines w:val="0"/>
              <w:pageBreakBefore w:val="0"/>
              <w:kinsoku/>
              <w:wordWrap/>
              <w:overflowPunct/>
              <w:topLinePunct w:val="0"/>
              <w:bidi w:val="0"/>
              <w:spacing w:line="240" w:lineRule="auto"/>
              <w:ind w:firstLine="0"/>
              <w:jc w:val="center"/>
              <w:rPr>
                <w:rFonts w:hint="eastAsia"/>
                <w:b w:val="0"/>
                <w:bCs/>
                <w:snapToGrid w:val="0"/>
                <w:color w:val="000000"/>
                <w:kern w:val="21"/>
                <w:sz w:val="21"/>
                <w:szCs w:val="21"/>
                <w:lang w:val="en-US" w:eastAsia="zh-CN"/>
              </w:rPr>
            </w:pPr>
          </w:p>
        </w:tc>
        <w:tc>
          <w:tcPr>
            <w:tcW w:w="753" w:type="pct"/>
            <w:noWrap w:val="0"/>
            <w:vAlign w:val="center"/>
          </w:tcPr>
          <w:p w14:paraId="0E9F21D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苯乙烯</w:t>
            </w:r>
          </w:p>
        </w:tc>
        <w:tc>
          <w:tcPr>
            <w:tcW w:w="467" w:type="pct"/>
            <w:noWrap w:val="0"/>
            <w:vAlign w:val="center"/>
          </w:tcPr>
          <w:p w14:paraId="623432A7">
            <w:pPr>
              <w:keepNext w:val="0"/>
              <w:keepLines w:val="0"/>
              <w:pageBreakBefore w:val="0"/>
              <w:kinsoku/>
              <w:wordWrap/>
              <w:overflowPunct/>
              <w:topLinePunct w:val="0"/>
              <w:bidi w:val="0"/>
              <w:spacing w:line="240" w:lineRule="auto"/>
              <w:jc w:val="center"/>
              <w:rPr>
                <w:color w:val="000000"/>
                <w:sz w:val="21"/>
                <w:szCs w:val="21"/>
                <w:highlight w:val="none"/>
              </w:rPr>
            </w:pPr>
            <w:r>
              <w:rPr>
                <w:rFonts w:hint="eastAsia"/>
                <w:color w:val="000000"/>
                <w:sz w:val="21"/>
                <w:szCs w:val="21"/>
                <w:highlight w:val="none"/>
                <w:lang w:val="en-US" w:eastAsia="zh-CN"/>
              </w:rPr>
              <w:t>/</w:t>
            </w:r>
          </w:p>
        </w:tc>
        <w:tc>
          <w:tcPr>
            <w:tcW w:w="427" w:type="pct"/>
            <w:noWrap w:val="0"/>
            <w:vAlign w:val="center"/>
          </w:tcPr>
          <w:p w14:paraId="049497C7">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highlight w:val="none"/>
              </w:rPr>
            </w:pPr>
            <w:r>
              <w:rPr>
                <w:rFonts w:hint="eastAsia"/>
                <w:color w:val="000000"/>
                <w:sz w:val="21"/>
                <w:szCs w:val="21"/>
                <w:highlight w:val="none"/>
                <w:lang w:val="en-US" w:eastAsia="zh-CN"/>
              </w:rPr>
              <w:t>/</w:t>
            </w:r>
          </w:p>
        </w:tc>
        <w:tc>
          <w:tcPr>
            <w:tcW w:w="512" w:type="pct"/>
            <w:noWrap w:val="0"/>
            <w:vAlign w:val="center"/>
          </w:tcPr>
          <w:p w14:paraId="585353FC">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highlight w:val="none"/>
              </w:rPr>
            </w:pPr>
            <w:r>
              <w:rPr>
                <w:rFonts w:hint="eastAsia"/>
                <w:color w:val="000000"/>
                <w:sz w:val="21"/>
                <w:szCs w:val="21"/>
                <w:highlight w:val="none"/>
                <w:lang w:val="en-US" w:eastAsia="zh-CN"/>
              </w:rPr>
              <w:t>/</w:t>
            </w:r>
          </w:p>
        </w:tc>
        <w:tc>
          <w:tcPr>
            <w:tcW w:w="567" w:type="pct"/>
            <w:noWrap w:val="0"/>
            <w:vAlign w:val="center"/>
          </w:tcPr>
          <w:p w14:paraId="43628CE9">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b w:val="0"/>
                <w:bCs/>
                <w:color w:val="000000"/>
                <w:kern w:val="2"/>
                <w:sz w:val="21"/>
                <w:szCs w:val="21"/>
                <w:lang w:val="en-US" w:eastAsia="zh-CN" w:bidi="ar-SA"/>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1.45</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×10</w:t>
            </w:r>
            <w:r>
              <w:rPr>
                <w:rFonts w:hint="default"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-4</w:t>
            </w:r>
            <w:r>
              <w:rPr>
                <w:rFonts w:hint="default"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c>
          <w:tcPr>
            <w:tcW w:w="597" w:type="pct"/>
            <w:noWrap w:val="0"/>
            <w:vAlign w:val="center"/>
          </w:tcPr>
          <w:p w14:paraId="2B176703">
            <w:pPr>
              <w:keepNext w:val="0"/>
              <w:keepLines w:val="0"/>
              <w:pageBreakBefore w:val="0"/>
              <w:kinsoku/>
              <w:wordWrap/>
              <w:overflowPunct/>
              <w:topLinePunct w:val="0"/>
              <w:bidi w:val="0"/>
              <w:spacing w:line="240" w:lineRule="auto"/>
              <w:ind w:firstLine="0" w:firstLineChars="0"/>
              <w:jc w:val="center"/>
              <w:rPr>
                <w:b w:val="0"/>
                <w:bCs/>
                <w:snapToGrid w:val="0"/>
                <w:color w:val="000000"/>
                <w:kern w:val="21"/>
                <w:sz w:val="21"/>
                <w:szCs w:val="21"/>
                <w:highlight w:val="none"/>
              </w:rPr>
            </w:pPr>
            <w:r>
              <w:rPr>
                <w:rFonts w:hint="eastAsia"/>
                <w:color w:val="000000"/>
                <w:sz w:val="21"/>
                <w:szCs w:val="21"/>
                <w:highlight w:val="none"/>
                <w:lang w:val="en-US" w:eastAsia="zh-CN"/>
              </w:rPr>
              <w:t>/</w:t>
            </w:r>
          </w:p>
        </w:tc>
        <w:tc>
          <w:tcPr>
            <w:tcW w:w="671" w:type="pct"/>
            <w:noWrap w:val="0"/>
            <w:vAlign w:val="center"/>
          </w:tcPr>
          <w:p w14:paraId="20CD7FCB">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b w:val="0"/>
                <w:bCs/>
                <w:color w:val="000000"/>
                <w:kern w:val="2"/>
                <w:sz w:val="21"/>
                <w:szCs w:val="21"/>
                <w:lang w:val="en-US" w:eastAsia="zh-CN" w:bidi="ar-SA"/>
              </w:rPr>
            </w:pPr>
            <w:r>
              <w:rPr>
                <w:rFonts w:hint="eastAsia" w:cs="Times New Roman"/>
                <w:b w:val="0"/>
                <w:bCs/>
                <w:color w:val="000000" w:themeColor="text1"/>
                <w:sz w:val="21"/>
                <w:szCs w:val="21"/>
                <w:highlight w:val="none"/>
                <w:lang w:val="en-US" w:eastAsia="zh-CN"/>
                <w14:textFill>
                  <w14:solidFill>
                    <w14:schemeClr w14:val="tx1"/>
                  </w14:solidFill>
                </w14:textFill>
              </w:rPr>
              <w:t>1.45</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×10</w:t>
            </w:r>
            <w:r>
              <w:rPr>
                <w:rFonts w:hint="default"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-4</w:t>
            </w:r>
            <w:r>
              <w:rPr>
                <w:rFonts w:hint="default"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c>
          <w:tcPr>
            <w:tcW w:w="569" w:type="pct"/>
            <w:noWrap w:val="0"/>
            <w:vAlign w:val="center"/>
          </w:tcPr>
          <w:p w14:paraId="54459DB4">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b w:val="0"/>
                <w:bCs/>
                <w:color w:val="000000"/>
                <w:kern w:val="2"/>
                <w:sz w:val="21"/>
                <w:szCs w:val="21"/>
                <w:lang w:val="en-US" w:eastAsia="zh-CN" w:bidi="ar-SA"/>
              </w:rPr>
            </w:pPr>
            <w:r>
              <w:rPr>
                <w:rFonts w:hint="eastAsia" w:cs="Times New Roman"/>
                <w:b w:val="0"/>
                <w:bCs/>
                <w:color w:val="000000" w:themeColor="text1"/>
                <w:sz w:val="21"/>
                <w:szCs w:val="21"/>
                <w:highlight w:val="none"/>
                <w:lang w:val="en-US" w:eastAsia="zh-CN"/>
                <w14:textFill>
                  <w14:solidFill>
                    <w14:schemeClr w14:val="tx1"/>
                  </w14:solidFill>
                </w14:textFill>
              </w:rPr>
              <w:t>+1.45</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×10</w:t>
            </w:r>
            <w:r>
              <w:rPr>
                <w:rFonts w:hint="default"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-4</w:t>
            </w:r>
            <w:r>
              <w:rPr>
                <w:rFonts w:hint="default"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r>
      <w:tr w14:paraId="762AFA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5C2C7522">
            <w:pPr>
              <w:pStyle w:val="61"/>
              <w:keepNext w:val="0"/>
              <w:keepLines w:val="0"/>
              <w:pageBreakBefore w:val="0"/>
              <w:kinsoku/>
              <w:wordWrap/>
              <w:overflowPunct/>
              <w:topLinePunct w:val="0"/>
              <w:bidi w:val="0"/>
              <w:spacing w:line="240" w:lineRule="auto"/>
              <w:ind w:firstLine="0"/>
              <w:jc w:val="center"/>
              <w:rPr>
                <w:rFonts w:hint="eastAsia"/>
                <w:b w:val="0"/>
                <w:bCs/>
                <w:snapToGrid w:val="0"/>
                <w:color w:val="000000"/>
                <w:kern w:val="21"/>
                <w:sz w:val="21"/>
                <w:szCs w:val="21"/>
                <w:lang w:val="en-US" w:eastAsia="zh-CN"/>
              </w:rPr>
            </w:pPr>
          </w:p>
        </w:tc>
        <w:tc>
          <w:tcPr>
            <w:tcW w:w="753" w:type="pct"/>
            <w:noWrap w:val="0"/>
            <w:vAlign w:val="center"/>
          </w:tcPr>
          <w:p w14:paraId="1028C6C8">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丙烯腈</w:t>
            </w:r>
          </w:p>
        </w:tc>
        <w:tc>
          <w:tcPr>
            <w:tcW w:w="467" w:type="pct"/>
            <w:noWrap w:val="0"/>
            <w:vAlign w:val="center"/>
          </w:tcPr>
          <w:p w14:paraId="4E252BE6">
            <w:pPr>
              <w:keepNext w:val="0"/>
              <w:keepLines w:val="0"/>
              <w:pageBreakBefore w:val="0"/>
              <w:kinsoku/>
              <w:wordWrap/>
              <w:overflowPunct/>
              <w:topLinePunct w:val="0"/>
              <w:bidi w:val="0"/>
              <w:spacing w:line="240" w:lineRule="auto"/>
              <w:jc w:val="center"/>
              <w:rPr>
                <w:color w:val="000000"/>
                <w:sz w:val="21"/>
                <w:szCs w:val="21"/>
                <w:highlight w:val="none"/>
              </w:rPr>
            </w:pPr>
            <w:r>
              <w:rPr>
                <w:rFonts w:hint="eastAsia"/>
                <w:color w:val="000000"/>
                <w:sz w:val="21"/>
                <w:szCs w:val="21"/>
                <w:highlight w:val="none"/>
                <w:lang w:val="en-US" w:eastAsia="zh-CN"/>
              </w:rPr>
              <w:t>/</w:t>
            </w:r>
          </w:p>
        </w:tc>
        <w:tc>
          <w:tcPr>
            <w:tcW w:w="427" w:type="pct"/>
            <w:noWrap w:val="0"/>
            <w:vAlign w:val="center"/>
          </w:tcPr>
          <w:p w14:paraId="2C0E4CC6">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highlight w:val="none"/>
              </w:rPr>
            </w:pPr>
            <w:r>
              <w:rPr>
                <w:rFonts w:hint="eastAsia"/>
                <w:color w:val="000000"/>
                <w:sz w:val="21"/>
                <w:szCs w:val="21"/>
                <w:highlight w:val="none"/>
                <w:lang w:val="en-US" w:eastAsia="zh-CN"/>
              </w:rPr>
              <w:t>/</w:t>
            </w:r>
          </w:p>
        </w:tc>
        <w:tc>
          <w:tcPr>
            <w:tcW w:w="512" w:type="pct"/>
            <w:noWrap w:val="0"/>
            <w:vAlign w:val="center"/>
          </w:tcPr>
          <w:p w14:paraId="3C41FF66">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highlight w:val="none"/>
              </w:rPr>
            </w:pPr>
            <w:r>
              <w:rPr>
                <w:rFonts w:hint="eastAsia"/>
                <w:color w:val="000000"/>
                <w:sz w:val="21"/>
                <w:szCs w:val="21"/>
                <w:highlight w:val="none"/>
                <w:lang w:val="en-US" w:eastAsia="zh-CN"/>
              </w:rPr>
              <w:t>/</w:t>
            </w:r>
          </w:p>
        </w:tc>
        <w:tc>
          <w:tcPr>
            <w:tcW w:w="567" w:type="pct"/>
            <w:noWrap w:val="0"/>
            <w:vAlign w:val="center"/>
          </w:tcPr>
          <w:p w14:paraId="256D5B76">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b w:val="0"/>
                <w:bCs/>
                <w:color w:val="000000"/>
                <w:kern w:val="2"/>
                <w:sz w:val="21"/>
                <w:szCs w:val="21"/>
                <w:lang w:val="en-US" w:eastAsia="zh-CN" w:bidi="ar-SA"/>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5.8</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×10</w:t>
            </w:r>
            <w:r>
              <w:rPr>
                <w:rFonts w:hint="default"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w:t>
            </w:r>
            <w:r>
              <w:rPr>
                <w:rFonts w:hint="eastAsia"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5</w:t>
            </w:r>
            <w:r>
              <w:rPr>
                <w:rFonts w:hint="default"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c>
          <w:tcPr>
            <w:tcW w:w="597" w:type="pct"/>
            <w:noWrap w:val="0"/>
            <w:vAlign w:val="center"/>
          </w:tcPr>
          <w:p w14:paraId="04BAF36B">
            <w:pPr>
              <w:keepNext w:val="0"/>
              <w:keepLines w:val="0"/>
              <w:pageBreakBefore w:val="0"/>
              <w:kinsoku/>
              <w:wordWrap/>
              <w:overflowPunct/>
              <w:topLinePunct w:val="0"/>
              <w:bidi w:val="0"/>
              <w:spacing w:line="240" w:lineRule="auto"/>
              <w:ind w:firstLine="0" w:firstLineChars="0"/>
              <w:jc w:val="center"/>
              <w:rPr>
                <w:b w:val="0"/>
                <w:bCs/>
                <w:snapToGrid w:val="0"/>
                <w:color w:val="000000"/>
                <w:kern w:val="21"/>
                <w:sz w:val="21"/>
                <w:szCs w:val="21"/>
                <w:highlight w:val="none"/>
              </w:rPr>
            </w:pPr>
            <w:r>
              <w:rPr>
                <w:rFonts w:hint="eastAsia"/>
                <w:color w:val="000000"/>
                <w:sz w:val="21"/>
                <w:szCs w:val="21"/>
                <w:highlight w:val="none"/>
                <w:lang w:val="en-US" w:eastAsia="zh-CN"/>
              </w:rPr>
              <w:t>/</w:t>
            </w:r>
          </w:p>
        </w:tc>
        <w:tc>
          <w:tcPr>
            <w:tcW w:w="671" w:type="pct"/>
            <w:noWrap w:val="0"/>
            <w:vAlign w:val="center"/>
          </w:tcPr>
          <w:p w14:paraId="4A5DE5F9">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b w:val="0"/>
                <w:bCs/>
                <w:color w:val="000000"/>
                <w:kern w:val="2"/>
                <w:sz w:val="21"/>
                <w:szCs w:val="21"/>
                <w:lang w:val="en-US" w:eastAsia="zh-CN" w:bidi="ar-SA"/>
              </w:rPr>
            </w:pPr>
            <w:r>
              <w:rPr>
                <w:rFonts w:hint="eastAsia" w:cs="Times New Roman"/>
                <w:b w:val="0"/>
                <w:bCs/>
                <w:color w:val="000000" w:themeColor="text1"/>
                <w:sz w:val="21"/>
                <w:szCs w:val="21"/>
                <w:highlight w:val="none"/>
                <w:lang w:val="en-US" w:eastAsia="zh-CN"/>
                <w14:textFill>
                  <w14:solidFill>
                    <w14:schemeClr w14:val="tx1"/>
                  </w14:solidFill>
                </w14:textFill>
              </w:rPr>
              <w:t>5.8</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×10</w:t>
            </w:r>
            <w:r>
              <w:rPr>
                <w:rFonts w:hint="default"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w:t>
            </w:r>
            <w:r>
              <w:rPr>
                <w:rFonts w:hint="eastAsia" w:cs="Times New Roman"/>
                <w:b w:val="0"/>
                <w:bCs/>
                <w:color w:val="000000" w:themeColor="text1"/>
                <w:sz w:val="21"/>
                <w:szCs w:val="21"/>
                <w:highlight w:val="none"/>
                <w:vertAlign w:val="superscript"/>
                <w:lang w:val="en-US" w:eastAsia="zh-CN"/>
                <w14:textFill>
                  <w14:solidFill>
                    <w14:schemeClr w14:val="tx1"/>
                  </w14:solidFill>
                </w14:textFill>
              </w:rPr>
              <w:t>5</w:t>
            </w:r>
            <w:r>
              <w:rPr>
                <w:rFonts w:hint="default"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c>
          <w:tcPr>
            <w:tcW w:w="569" w:type="pct"/>
            <w:noWrap w:val="0"/>
            <w:vAlign w:val="center"/>
          </w:tcPr>
          <w:p w14:paraId="3EF5D3C1">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b w:val="0"/>
                <w:bCs/>
                <w:color w:val="000000"/>
                <w:kern w:val="2"/>
                <w:sz w:val="21"/>
                <w:szCs w:val="21"/>
                <w:lang w:val="en-US" w:eastAsia="zh-CN" w:bidi="ar-SA"/>
              </w:rPr>
            </w:pPr>
            <w:r>
              <w:rPr>
                <w:rFonts w:hint="eastAsia" w:cs="Times New Roman"/>
                <w:b w:val="0"/>
                <w:bCs/>
                <w:color w:val="000000" w:themeColor="text1"/>
                <w:sz w:val="21"/>
                <w:szCs w:val="21"/>
                <w:highlight w:val="none"/>
                <w:lang w:val="en-US" w:eastAsia="zh-CN"/>
                <w14:textFill>
                  <w14:solidFill>
                    <w14:schemeClr w14:val="tx1"/>
                  </w14:solidFill>
                </w14:textFill>
              </w:rPr>
              <w:t>+5.8</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×10</w:t>
            </w:r>
            <w:r>
              <w:rPr>
                <w:rFonts w:hint="default"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w:t>
            </w:r>
            <w:r>
              <w:rPr>
                <w:rFonts w:hint="eastAsia" w:cs="Times New Roman"/>
                <w:b w:val="0"/>
                <w:bCs/>
                <w:color w:val="000000" w:themeColor="text1"/>
                <w:sz w:val="21"/>
                <w:szCs w:val="21"/>
                <w:highlight w:val="none"/>
                <w:vertAlign w:val="superscript"/>
                <w:lang w:val="en-US" w:eastAsia="zh-CN"/>
                <w14:textFill>
                  <w14:solidFill>
                    <w14:schemeClr w14:val="tx1"/>
                  </w14:solidFill>
                </w14:textFill>
              </w:rPr>
              <w:t>5</w:t>
            </w:r>
            <w:r>
              <w:rPr>
                <w:rFonts w:hint="default"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r>
      <w:tr w14:paraId="403CE5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4E162D09">
            <w:pPr>
              <w:pStyle w:val="61"/>
              <w:keepNext w:val="0"/>
              <w:keepLines w:val="0"/>
              <w:pageBreakBefore w:val="0"/>
              <w:kinsoku/>
              <w:wordWrap/>
              <w:overflowPunct/>
              <w:topLinePunct w:val="0"/>
              <w:bidi w:val="0"/>
              <w:spacing w:line="240" w:lineRule="auto"/>
              <w:ind w:firstLine="0"/>
              <w:jc w:val="center"/>
              <w:rPr>
                <w:rFonts w:hint="eastAsia"/>
                <w:b w:val="0"/>
                <w:bCs/>
                <w:snapToGrid w:val="0"/>
                <w:color w:val="000000"/>
                <w:kern w:val="21"/>
                <w:sz w:val="21"/>
                <w:szCs w:val="21"/>
                <w:lang w:val="en-US" w:eastAsia="zh-CN"/>
              </w:rPr>
            </w:pPr>
          </w:p>
        </w:tc>
        <w:tc>
          <w:tcPr>
            <w:tcW w:w="753" w:type="pct"/>
            <w:noWrap w:val="0"/>
            <w:vAlign w:val="center"/>
          </w:tcPr>
          <w:p w14:paraId="54C3250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乙苯</w:t>
            </w:r>
          </w:p>
        </w:tc>
        <w:tc>
          <w:tcPr>
            <w:tcW w:w="467" w:type="pct"/>
            <w:noWrap w:val="0"/>
            <w:vAlign w:val="center"/>
          </w:tcPr>
          <w:p w14:paraId="3EFCCA09">
            <w:pPr>
              <w:keepNext w:val="0"/>
              <w:keepLines w:val="0"/>
              <w:pageBreakBefore w:val="0"/>
              <w:kinsoku/>
              <w:wordWrap/>
              <w:overflowPunct/>
              <w:topLinePunct w:val="0"/>
              <w:bidi w:val="0"/>
              <w:spacing w:line="240" w:lineRule="auto"/>
              <w:jc w:val="center"/>
              <w:rPr>
                <w:color w:val="000000"/>
                <w:sz w:val="21"/>
                <w:szCs w:val="21"/>
                <w:highlight w:val="none"/>
              </w:rPr>
            </w:pPr>
            <w:r>
              <w:rPr>
                <w:rFonts w:hint="eastAsia"/>
                <w:color w:val="000000"/>
                <w:sz w:val="21"/>
                <w:szCs w:val="21"/>
                <w:highlight w:val="none"/>
                <w:lang w:val="en-US" w:eastAsia="zh-CN"/>
              </w:rPr>
              <w:t>/</w:t>
            </w:r>
          </w:p>
        </w:tc>
        <w:tc>
          <w:tcPr>
            <w:tcW w:w="427" w:type="pct"/>
            <w:noWrap w:val="0"/>
            <w:vAlign w:val="center"/>
          </w:tcPr>
          <w:p w14:paraId="2B64728E">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highlight w:val="none"/>
              </w:rPr>
            </w:pPr>
            <w:r>
              <w:rPr>
                <w:rFonts w:hint="eastAsia"/>
                <w:color w:val="000000"/>
                <w:sz w:val="21"/>
                <w:szCs w:val="21"/>
                <w:highlight w:val="none"/>
                <w:lang w:val="en-US" w:eastAsia="zh-CN"/>
              </w:rPr>
              <w:t>/</w:t>
            </w:r>
          </w:p>
        </w:tc>
        <w:tc>
          <w:tcPr>
            <w:tcW w:w="512" w:type="pct"/>
            <w:noWrap w:val="0"/>
            <w:vAlign w:val="center"/>
          </w:tcPr>
          <w:p w14:paraId="2CBB4819">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highlight w:val="none"/>
              </w:rPr>
            </w:pPr>
            <w:r>
              <w:rPr>
                <w:rFonts w:hint="eastAsia"/>
                <w:color w:val="000000"/>
                <w:sz w:val="21"/>
                <w:szCs w:val="21"/>
                <w:highlight w:val="none"/>
                <w:lang w:val="en-US" w:eastAsia="zh-CN"/>
              </w:rPr>
              <w:t>/</w:t>
            </w:r>
          </w:p>
        </w:tc>
        <w:tc>
          <w:tcPr>
            <w:tcW w:w="567" w:type="pct"/>
            <w:noWrap w:val="0"/>
            <w:vAlign w:val="center"/>
          </w:tcPr>
          <w:p w14:paraId="2E60E551">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b w:val="0"/>
                <w:bCs/>
                <w:color w:val="000000"/>
                <w:kern w:val="2"/>
                <w:sz w:val="21"/>
                <w:szCs w:val="21"/>
                <w:lang w:val="en-US" w:eastAsia="zh-CN" w:bidi="ar-SA"/>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8.7</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×10</w:t>
            </w:r>
            <w:r>
              <w:rPr>
                <w:rFonts w:hint="default"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w:t>
            </w:r>
            <w:r>
              <w:rPr>
                <w:rFonts w:hint="eastAsia"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5</w:t>
            </w:r>
            <w:r>
              <w:rPr>
                <w:rFonts w:hint="default"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c>
          <w:tcPr>
            <w:tcW w:w="597" w:type="pct"/>
            <w:noWrap w:val="0"/>
            <w:vAlign w:val="center"/>
          </w:tcPr>
          <w:p w14:paraId="49703BEA">
            <w:pPr>
              <w:keepNext w:val="0"/>
              <w:keepLines w:val="0"/>
              <w:pageBreakBefore w:val="0"/>
              <w:kinsoku/>
              <w:wordWrap/>
              <w:overflowPunct/>
              <w:topLinePunct w:val="0"/>
              <w:bidi w:val="0"/>
              <w:spacing w:line="240" w:lineRule="auto"/>
              <w:ind w:firstLine="0" w:firstLineChars="0"/>
              <w:jc w:val="center"/>
              <w:rPr>
                <w:b w:val="0"/>
                <w:bCs/>
                <w:snapToGrid w:val="0"/>
                <w:color w:val="000000"/>
                <w:kern w:val="21"/>
                <w:sz w:val="21"/>
                <w:szCs w:val="21"/>
                <w:highlight w:val="none"/>
              </w:rPr>
            </w:pPr>
            <w:r>
              <w:rPr>
                <w:rFonts w:hint="eastAsia"/>
                <w:color w:val="000000"/>
                <w:sz w:val="21"/>
                <w:szCs w:val="21"/>
                <w:highlight w:val="none"/>
                <w:lang w:val="en-US" w:eastAsia="zh-CN"/>
              </w:rPr>
              <w:t>/</w:t>
            </w:r>
          </w:p>
        </w:tc>
        <w:tc>
          <w:tcPr>
            <w:tcW w:w="671" w:type="pct"/>
            <w:noWrap w:val="0"/>
            <w:vAlign w:val="center"/>
          </w:tcPr>
          <w:p w14:paraId="35A3B29C">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b w:val="0"/>
                <w:bCs/>
                <w:color w:val="000000"/>
                <w:kern w:val="2"/>
                <w:sz w:val="21"/>
                <w:szCs w:val="21"/>
                <w:lang w:val="en-US" w:eastAsia="zh-CN" w:bidi="ar-SA"/>
              </w:rPr>
            </w:pPr>
            <w:r>
              <w:rPr>
                <w:rFonts w:hint="eastAsia" w:cs="Times New Roman"/>
                <w:b w:val="0"/>
                <w:bCs/>
                <w:color w:val="000000" w:themeColor="text1"/>
                <w:sz w:val="21"/>
                <w:szCs w:val="21"/>
                <w:highlight w:val="none"/>
                <w:lang w:val="en-US" w:eastAsia="zh-CN"/>
                <w14:textFill>
                  <w14:solidFill>
                    <w14:schemeClr w14:val="tx1"/>
                  </w14:solidFill>
                </w14:textFill>
              </w:rPr>
              <w:t>8.7</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×10</w:t>
            </w:r>
            <w:r>
              <w:rPr>
                <w:rFonts w:hint="default"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w:t>
            </w:r>
            <w:r>
              <w:rPr>
                <w:rFonts w:hint="eastAsia" w:cs="Times New Roman"/>
                <w:b w:val="0"/>
                <w:bCs/>
                <w:color w:val="000000" w:themeColor="text1"/>
                <w:sz w:val="21"/>
                <w:szCs w:val="21"/>
                <w:highlight w:val="none"/>
                <w:vertAlign w:val="superscript"/>
                <w:lang w:val="en-US" w:eastAsia="zh-CN"/>
                <w14:textFill>
                  <w14:solidFill>
                    <w14:schemeClr w14:val="tx1"/>
                  </w14:solidFill>
                </w14:textFill>
              </w:rPr>
              <w:t>5</w:t>
            </w:r>
            <w:r>
              <w:rPr>
                <w:rFonts w:hint="default"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c>
          <w:tcPr>
            <w:tcW w:w="569" w:type="pct"/>
            <w:noWrap w:val="0"/>
            <w:vAlign w:val="center"/>
          </w:tcPr>
          <w:p w14:paraId="70D092B6">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b w:val="0"/>
                <w:bCs/>
                <w:color w:val="000000"/>
                <w:kern w:val="2"/>
                <w:sz w:val="21"/>
                <w:szCs w:val="21"/>
                <w:lang w:val="en-US" w:eastAsia="zh-CN" w:bidi="ar-SA"/>
              </w:rPr>
            </w:pPr>
            <w:r>
              <w:rPr>
                <w:rFonts w:hint="eastAsia" w:cs="Times New Roman"/>
                <w:b w:val="0"/>
                <w:bCs/>
                <w:color w:val="000000" w:themeColor="text1"/>
                <w:sz w:val="21"/>
                <w:szCs w:val="21"/>
                <w:highlight w:val="none"/>
                <w:lang w:val="en-US" w:eastAsia="zh-CN"/>
                <w14:textFill>
                  <w14:solidFill>
                    <w14:schemeClr w14:val="tx1"/>
                  </w14:solidFill>
                </w14:textFill>
              </w:rPr>
              <w:t>+8.7</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×10</w:t>
            </w:r>
            <w:r>
              <w:rPr>
                <w:rFonts w:hint="default"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w:t>
            </w:r>
            <w:r>
              <w:rPr>
                <w:rFonts w:hint="eastAsia" w:cs="Times New Roman"/>
                <w:b w:val="0"/>
                <w:bCs/>
                <w:color w:val="000000" w:themeColor="text1"/>
                <w:sz w:val="21"/>
                <w:szCs w:val="21"/>
                <w:highlight w:val="none"/>
                <w:vertAlign w:val="superscript"/>
                <w:lang w:val="en-US" w:eastAsia="zh-CN"/>
                <w14:textFill>
                  <w14:solidFill>
                    <w14:schemeClr w14:val="tx1"/>
                  </w14:solidFill>
                </w14:textFill>
              </w:rPr>
              <w:t>5</w:t>
            </w:r>
            <w:r>
              <w:rPr>
                <w:rFonts w:hint="default"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r>
      <w:tr w14:paraId="4CDE63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34DBBDBD">
            <w:pPr>
              <w:pStyle w:val="61"/>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p>
        </w:tc>
        <w:tc>
          <w:tcPr>
            <w:tcW w:w="753" w:type="pct"/>
            <w:noWrap w:val="0"/>
            <w:vAlign w:val="center"/>
          </w:tcPr>
          <w:p w14:paraId="0D944BA3">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颗粒物</w:t>
            </w:r>
          </w:p>
        </w:tc>
        <w:tc>
          <w:tcPr>
            <w:tcW w:w="467" w:type="pct"/>
            <w:noWrap w:val="0"/>
            <w:vAlign w:val="center"/>
          </w:tcPr>
          <w:p w14:paraId="57DC91DB">
            <w:pPr>
              <w:keepNext w:val="0"/>
              <w:keepLines w:val="0"/>
              <w:pageBreakBefore w:val="0"/>
              <w:kinsoku/>
              <w:wordWrap/>
              <w:overflowPunct/>
              <w:topLinePunct w:val="0"/>
              <w:bidi w:val="0"/>
              <w:spacing w:line="240" w:lineRule="auto"/>
              <w:jc w:val="center"/>
              <w:rPr>
                <w:color w:val="000000"/>
                <w:sz w:val="21"/>
                <w:szCs w:val="21"/>
                <w:highlight w:val="none"/>
              </w:rPr>
            </w:pPr>
            <w:r>
              <w:rPr>
                <w:rFonts w:hint="eastAsia"/>
                <w:color w:val="000000"/>
                <w:sz w:val="21"/>
                <w:szCs w:val="21"/>
                <w:highlight w:val="none"/>
                <w:lang w:val="en-US" w:eastAsia="zh-CN"/>
              </w:rPr>
              <w:t>/</w:t>
            </w:r>
          </w:p>
        </w:tc>
        <w:tc>
          <w:tcPr>
            <w:tcW w:w="427" w:type="pct"/>
            <w:noWrap w:val="0"/>
            <w:vAlign w:val="center"/>
          </w:tcPr>
          <w:p w14:paraId="35A5850E">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highlight w:val="none"/>
              </w:rPr>
            </w:pPr>
            <w:r>
              <w:rPr>
                <w:rFonts w:hint="eastAsia"/>
                <w:color w:val="000000"/>
                <w:sz w:val="21"/>
                <w:szCs w:val="21"/>
                <w:highlight w:val="none"/>
                <w:lang w:val="en-US" w:eastAsia="zh-CN"/>
              </w:rPr>
              <w:t>/</w:t>
            </w:r>
          </w:p>
        </w:tc>
        <w:tc>
          <w:tcPr>
            <w:tcW w:w="512" w:type="pct"/>
            <w:noWrap w:val="0"/>
            <w:vAlign w:val="center"/>
          </w:tcPr>
          <w:p w14:paraId="0477B3AE">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highlight w:val="none"/>
              </w:rPr>
            </w:pPr>
            <w:r>
              <w:rPr>
                <w:rFonts w:hint="eastAsia"/>
                <w:color w:val="000000"/>
                <w:sz w:val="21"/>
                <w:szCs w:val="21"/>
                <w:highlight w:val="none"/>
                <w:lang w:val="en-US" w:eastAsia="zh-CN"/>
              </w:rPr>
              <w:t>/</w:t>
            </w:r>
          </w:p>
        </w:tc>
        <w:tc>
          <w:tcPr>
            <w:tcW w:w="567" w:type="pct"/>
            <w:noWrap w:val="0"/>
            <w:vAlign w:val="center"/>
          </w:tcPr>
          <w:p w14:paraId="0DDA8650">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1.2</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×10</w:t>
            </w:r>
            <w:r>
              <w:rPr>
                <w:rFonts w:hint="default"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-4</w:t>
            </w:r>
            <w:r>
              <w:rPr>
                <w:rFonts w:hint="default"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c>
          <w:tcPr>
            <w:tcW w:w="597" w:type="pct"/>
            <w:noWrap w:val="0"/>
            <w:vAlign w:val="center"/>
          </w:tcPr>
          <w:p w14:paraId="02B13629">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highlight w:val="none"/>
              </w:rPr>
            </w:pPr>
            <w:r>
              <w:rPr>
                <w:rFonts w:hint="eastAsia"/>
                <w:color w:val="000000"/>
                <w:sz w:val="21"/>
                <w:szCs w:val="21"/>
                <w:highlight w:val="none"/>
                <w:lang w:val="en-US" w:eastAsia="zh-CN"/>
              </w:rPr>
              <w:t>/</w:t>
            </w:r>
          </w:p>
        </w:tc>
        <w:tc>
          <w:tcPr>
            <w:tcW w:w="671" w:type="pct"/>
            <w:noWrap w:val="0"/>
            <w:vAlign w:val="center"/>
          </w:tcPr>
          <w:p w14:paraId="36BCED83">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b w:val="0"/>
                <w:bCs/>
                <w:color w:val="000000"/>
                <w:sz w:val="21"/>
                <w:szCs w:val="21"/>
                <w:lang w:val="en-US" w:eastAsia="zh-CN"/>
              </w:rPr>
            </w:pPr>
            <w:r>
              <w:rPr>
                <w:rFonts w:hint="eastAsia" w:cs="Times New Roman"/>
                <w:b w:val="0"/>
                <w:bCs/>
                <w:color w:val="000000" w:themeColor="text1"/>
                <w:sz w:val="21"/>
                <w:szCs w:val="21"/>
                <w:highlight w:val="none"/>
                <w:lang w:val="en-US" w:eastAsia="zh-CN"/>
                <w14:textFill>
                  <w14:solidFill>
                    <w14:schemeClr w14:val="tx1"/>
                  </w14:solidFill>
                </w14:textFill>
              </w:rPr>
              <w:t>1.2</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×10</w:t>
            </w:r>
            <w:r>
              <w:rPr>
                <w:rFonts w:hint="default"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-4</w:t>
            </w:r>
            <w:r>
              <w:rPr>
                <w:rFonts w:hint="default"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c>
          <w:tcPr>
            <w:tcW w:w="569" w:type="pct"/>
            <w:noWrap w:val="0"/>
            <w:vAlign w:val="center"/>
          </w:tcPr>
          <w:p w14:paraId="7783B578">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b w:val="0"/>
                <w:bCs/>
                <w:color w:val="000000"/>
                <w:kern w:val="2"/>
                <w:sz w:val="21"/>
                <w:szCs w:val="21"/>
                <w:lang w:val="en-US" w:eastAsia="zh-CN" w:bidi="ar-SA"/>
              </w:rPr>
            </w:pPr>
            <w:r>
              <w:rPr>
                <w:rFonts w:hint="eastAsia" w:cs="Times New Roman"/>
                <w:b w:val="0"/>
                <w:bCs/>
                <w:color w:val="000000" w:themeColor="text1"/>
                <w:sz w:val="21"/>
                <w:szCs w:val="21"/>
                <w:highlight w:val="none"/>
                <w:lang w:val="en-US" w:eastAsia="zh-CN"/>
                <w14:textFill>
                  <w14:solidFill>
                    <w14:schemeClr w14:val="tx1"/>
                  </w14:solidFill>
                </w14:textFill>
              </w:rPr>
              <w:t>+1.2</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×10</w:t>
            </w:r>
            <w:r>
              <w:rPr>
                <w:rFonts w:hint="default"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-4</w:t>
            </w:r>
            <w:r>
              <w:rPr>
                <w:rFonts w:hint="default"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r>
      <w:tr w14:paraId="625E94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restart"/>
            <w:noWrap w:val="0"/>
            <w:vAlign w:val="center"/>
          </w:tcPr>
          <w:p w14:paraId="7FE94BA7">
            <w:pPr>
              <w:pStyle w:val="61"/>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b w:val="0"/>
                <w:bCs/>
                <w:snapToGrid w:val="0"/>
                <w:color w:val="000000"/>
                <w:kern w:val="21"/>
                <w:sz w:val="21"/>
                <w:szCs w:val="21"/>
              </w:rPr>
              <w:t>废水</w:t>
            </w:r>
          </w:p>
        </w:tc>
        <w:tc>
          <w:tcPr>
            <w:tcW w:w="753" w:type="pct"/>
            <w:noWrap w:val="0"/>
            <w:vAlign w:val="center"/>
          </w:tcPr>
          <w:p w14:paraId="36170FB8">
            <w:pPr>
              <w:keepNext w:val="0"/>
              <w:keepLines w:val="0"/>
              <w:pageBreakBefore w:val="0"/>
              <w:kinsoku/>
              <w:wordWrap/>
              <w:overflowPunct/>
              <w:topLinePunct w:val="0"/>
              <w:bidi w:val="0"/>
              <w:spacing w:line="240" w:lineRule="auto"/>
              <w:jc w:val="center"/>
              <w:rPr>
                <w:color w:val="000000"/>
                <w:sz w:val="21"/>
                <w:szCs w:val="21"/>
              </w:rPr>
            </w:pPr>
            <w:r>
              <w:rPr>
                <w:color w:val="000000"/>
                <w:sz w:val="21"/>
                <w:szCs w:val="21"/>
              </w:rPr>
              <w:t>COD</w:t>
            </w:r>
          </w:p>
        </w:tc>
        <w:tc>
          <w:tcPr>
            <w:tcW w:w="467" w:type="pct"/>
            <w:noWrap w:val="0"/>
            <w:vAlign w:val="center"/>
          </w:tcPr>
          <w:p w14:paraId="10C29018">
            <w:pPr>
              <w:keepNext w:val="0"/>
              <w:keepLines w:val="0"/>
              <w:pageBreakBefore w:val="0"/>
              <w:widowControl/>
              <w:kinsoku/>
              <w:wordWrap/>
              <w:overflowPunct/>
              <w:topLinePunct w:val="0"/>
              <w:bidi w:val="0"/>
              <w:spacing w:line="240" w:lineRule="auto"/>
              <w:jc w:val="center"/>
              <w:textAlignment w:val="center"/>
              <w:rPr>
                <w:bCs/>
                <w:color w:val="000000"/>
                <w:sz w:val="21"/>
                <w:szCs w:val="21"/>
              </w:rPr>
            </w:pPr>
            <w:r>
              <w:rPr>
                <w:rFonts w:hint="eastAsia"/>
                <w:color w:val="000000"/>
                <w:sz w:val="21"/>
                <w:szCs w:val="21"/>
                <w:highlight w:val="none"/>
                <w:lang w:val="en-US" w:eastAsia="zh-CN"/>
              </w:rPr>
              <w:t>/</w:t>
            </w:r>
          </w:p>
        </w:tc>
        <w:tc>
          <w:tcPr>
            <w:tcW w:w="427" w:type="pct"/>
            <w:noWrap w:val="0"/>
            <w:vAlign w:val="center"/>
          </w:tcPr>
          <w:p w14:paraId="3311AB82">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512" w:type="pct"/>
            <w:noWrap w:val="0"/>
            <w:vAlign w:val="center"/>
          </w:tcPr>
          <w:p w14:paraId="08AD8229">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567" w:type="pct"/>
            <w:noWrap w:val="0"/>
            <w:vAlign w:val="center"/>
          </w:tcPr>
          <w:p w14:paraId="5715C1D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0.100</w:t>
            </w:r>
            <w:r>
              <w:rPr>
                <w:rFonts w:hint="eastAsia" w:cs="Times New Roman"/>
                <w:i w:val="0"/>
                <w:iCs w:val="0"/>
                <w:color w:val="000000"/>
                <w:kern w:val="0"/>
                <w:sz w:val="21"/>
                <w:szCs w:val="21"/>
                <w:u w:val="none"/>
                <w:lang w:val="en-US" w:eastAsia="zh-CN" w:bidi="ar"/>
              </w:rPr>
              <w:t>3t/a</w:t>
            </w:r>
          </w:p>
        </w:tc>
        <w:tc>
          <w:tcPr>
            <w:tcW w:w="597" w:type="pct"/>
            <w:noWrap w:val="0"/>
            <w:vAlign w:val="center"/>
          </w:tcPr>
          <w:p w14:paraId="3BEF256D">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671" w:type="pct"/>
            <w:noWrap w:val="0"/>
            <w:vAlign w:val="center"/>
          </w:tcPr>
          <w:p w14:paraId="6BE84FF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0.100</w:t>
            </w:r>
            <w:r>
              <w:rPr>
                <w:rFonts w:hint="eastAsia" w:cs="Times New Roman"/>
                <w:i w:val="0"/>
                <w:iCs w:val="0"/>
                <w:color w:val="000000"/>
                <w:kern w:val="0"/>
                <w:sz w:val="21"/>
                <w:szCs w:val="21"/>
                <w:u w:val="none"/>
                <w:lang w:val="en-US" w:eastAsia="zh-CN" w:bidi="ar"/>
              </w:rPr>
              <w:t>3t/a</w:t>
            </w:r>
          </w:p>
        </w:tc>
        <w:tc>
          <w:tcPr>
            <w:tcW w:w="569" w:type="pct"/>
            <w:noWrap w:val="0"/>
            <w:vAlign w:val="center"/>
          </w:tcPr>
          <w:p w14:paraId="6A01850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kern w:val="2"/>
                <w:sz w:val="21"/>
                <w:szCs w:val="21"/>
                <w:lang w:val="en-US" w:eastAsia="zh-CN" w:bidi="ar-SA"/>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0.100</w:t>
            </w:r>
            <w:r>
              <w:rPr>
                <w:rFonts w:hint="eastAsia" w:cs="Times New Roman"/>
                <w:i w:val="0"/>
                <w:iCs w:val="0"/>
                <w:color w:val="000000"/>
                <w:kern w:val="0"/>
                <w:sz w:val="21"/>
                <w:szCs w:val="21"/>
                <w:u w:val="none"/>
                <w:lang w:val="en-US" w:eastAsia="zh-CN" w:bidi="ar"/>
              </w:rPr>
              <w:t>3t/a</w:t>
            </w:r>
          </w:p>
        </w:tc>
      </w:tr>
      <w:tr w14:paraId="5ED0B9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65715B11">
            <w:pPr>
              <w:pStyle w:val="61"/>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p>
        </w:tc>
        <w:tc>
          <w:tcPr>
            <w:tcW w:w="753" w:type="pct"/>
            <w:noWrap w:val="0"/>
            <w:vAlign w:val="center"/>
          </w:tcPr>
          <w:p w14:paraId="32BEB5DE">
            <w:pPr>
              <w:keepNext w:val="0"/>
              <w:keepLines w:val="0"/>
              <w:pageBreakBefore w:val="0"/>
              <w:kinsoku/>
              <w:wordWrap/>
              <w:overflowPunct/>
              <w:topLinePunct w:val="0"/>
              <w:bidi w:val="0"/>
              <w:spacing w:line="240" w:lineRule="auto"/>
              <w:jc w:val="center"/>
              <w:rPr>
                <w:color w:val="000000"/>
                <w:sz w:val="21"/>
                <w:szCs w:val="21"/>
              </w:rPr>
            </w:pPr>
            <w:r>
              <w:rPr>
                <w:color w:val="000000"/>
                <w:sz w:val="21"/>
                <w:szCs w:val="21"/>
              </w:rPr>
              <w:t>BOD</w:t>
            </w:r>
            <w:r>
              <w:rPr>
                <w:color w:val="000000"/>
                <w:sz w:val="21"/>
                <w:szCs w:val="21"/>
                <w:vertAlign w:val="subscript"/>
              </w:rPr>
              <w:t>5</w:t>
            </w:r>
          </w:p>
        </w:tc>
        <w:tc>
          <w:tcPr>
            <w:tcW w:w="467" w:type="pct"/>
            <w:noWrap w:val="0"/>
            <w:vAlign w:val="center"/>
          </w:tcPr>
          <w:p w14:paraId="55610E99">
            <w:pPr>
              <w:keepNext w:val="0"/>
              <w:keepLines w:val="0"/>
              <w:pageBreakBefore w:val="0"/>
              <w:widowControl/>
              <w:kinsoku/>
              <w:wordWrap/>
              <w:overflowPunct/>
              <w:topLinePunct w:val="0"/>
              <w:bidi w:val="0"/>
              <w:spacing w:line="240" w:lineRule="auto"/>
              <w:jc w:val="center"/>
              <w:textAlignment w:val="center"/>
              <w:rPr>
                <w:bCs/>
                <w:color w:val="000000"/>
                <w:sz w:val="21"/>
                <w:szCs w:val="21"/>
              </w:rPr>
            </w:pPr>
            <w:r>
              <w:rPr>
                <w:rFonts w:hint="eastAsia"/>
                <w:color w:val="000000"/>
                <w:sz w:val="21"/>
                <w:szCs w:val="21"/>
                <w:highlight w:val="none"/>
                <w:lang w:val="en-US" w:eastAsia="zh-CN"/>
              </w:rPr>
              <w:t>/</w:t>
            </w:r>
          </w:p>
        </w:tc>
        <w:tc>
          <w:tcPr>
            <w:tcW w:w="427" w:type="pct"/>
            <w:noWrap w:val="0"/>
            <w:vAlign w:val="center"/>
          </w:tcPr>
          <w:p w14:paraId="369E76A2">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512" w:type="pct"/>
            <w:noWrap w:val="0"/>
            <w:vAlign w:val="center"/>
          </w:tcPr>
          <w:p w14:paraId="4A62A698">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567" w:type="pct"/>
            <w:noWrap w:val="0"/>
            <w:vAlign w:val="center"/>
          </w:tcPr>
          <w:p w14:paraId="1D8C257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0.038</w:t>
            </w:r>
            <w:r>
              <w:rPr>
                <w:rFonts w:hint="eastAsia" w:cs="Times New Roman"/>
                <w:i w:val="0"/>
                <w:iCs w:val="0"/>
                <w:color w:val="000000"/>
                <w:kern w:val="0"/>
                <w:sz w:val="21"/>
                <w:szCs w:val="21"/>
                <w:u w:val="none"/>
                <w:lang w:val="en-US" w:eastAsia="zh-CN" w:bidi="ar"/>
              </w:rPr>
              <w:t>6t/a</w:t>
            </w:r>
          </w:p>
        </w:tc>
        <w:tc>
          <w:tcPr>
            <w:tcW w:w="597" w:type="pct"/>
            <w:noWrap w:val="0"/>
            <w:vAlign w:val="center"/>
          </w:tcPr>
          <w:p w14:paraId="2D5D193C">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671" w:type="pct"/>
            <w:noWrap w:val="0"/>
            <w:vAlign w:val="center"/>
          </w:tcPr>
          <w:p w14:paraId="0BFF920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0.038</w:t>
            </w:r>
            <w:r>
              <w:rPr>
                <w:rFonts w:hint="eastAsia" w:cs="Times New Roman"/>
                <w:i w:val="0"/>
                <w:iCs w:val="0"/>
                <w:color w:val="000000"/>
                <w:kern w:val="0"/>
                <w:sz w:val="21"/>
                <w:szCs w:val="21"/>
                <w:u w:val="none"/>
                <w:lang w:val="en-US" w:eastAsia="zh-CN" w:bidi="ar"/>
              </w:rPr>
              <w:t>6t/a</w:t>
            </w:r>
          </w:p>
        </w:tc>
        <w:tc>
          <w:tcPr>
            <w:tcW w:w="569" w:type="pct"/>
            <w:noWrap w:val="0"/>
            <w:vAlign w:val="center"/>
          </w:tcPr>
          <w:p w14:paraId="019F58B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kern w:val="2"/>
                <w:sz w:val="21"/>
                <w:szCs w:val="21"/>
                <w:lang w:val="en-US" w:eastAsia="zh-CN" w:bidi="ar-SA"/>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0.038</w:t>
            </w:r>
            <w:r>
              <w:rPr>
                <w:rFonts w:hint="eastAsia" w:cs="Times New Roman"/>
                <w:i w:val="0"/>
                <w:iCs w:val="0"/>
                <w:color w:val="000000"/>
                <w:kern w:val="0"/>
                <w:sz w:val="21"/>
                <w:szCs w:val="21"/>
                <w:u w:val="none"/>
                <w:lang w:val="en-US" w:eastAsia="zh-CN" w:bidi="ar"/>
              </w:rPr>
              <w:t>6t/a</w:t>
            </w:r>
          </w:p>
        </w:tc>
      </w:tr>
      <w:tr w14:paraId="2E3F0B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0CA1F76C">
            <w:pPr>
              <w:pStyle w:val="61"/>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p>
        </w:tc>
        <w:tc>
          <w:tcPr>
            <w:tcW w:w="753" w:type="pct"/>
            <w:noWrap w:val="0"/>
            <w:vAlign w:val="center"/>
          </w:tcPr>
          <w:p w14:paraId="0154F523">
            <w:pPr>
              <w:keepNext w:val="0"/>
              <w:keepLines w:val="0"/>
              <w:pageBreakBefore w:val="0"/>
              <w:kinsoku/>
              <w:wordWrap/>
              <w:overflowPunct/>
              <w:topLinePunct w:val="0"/>
              <w:bidi w:val="0"/>
              <w:spacing w:line="240" w:lineRule="auto"/>
              <w:jc w:val="center"/>
              <w:rPr>
                <w:color w:val="000000"/>
                <w:sz w:val="21"/>
                <w:szCs w:val="21"/>
              </w:rPr>
            </w:pPr>
            <w:r>
              <w:rPr>
                <w:color w:val="000000"/>
                <w:sz w:val="21"/>
                <w:szCs w:val="21"/>
              </w:rPr>
              <w:t>SS</w:t>
            </w:r>
          </w:p>
        </w:tc>
        <w:tc>
          <w:tcPr>
            <w:tcW w:w="467" w:type="pct"/>
            <w:noWrap w:val="0"/>
            <w:vAlign w:val="center"/>
          </w:tcPr>
          <w:p w14:paraId="45E2CD09">
            <w:pPr>
              <w:keepNext w:val="0"/>
              <w:keepLines w:val="0"/>
              <w:pageBreakBefore w:val="0"/>
              <w:widowControl/>
              <w:kinsoku/>
              <w:wordWrap/>
              <w:overflowPunct/>
              <w:topLinePunct w:val="0"/>
              <w:bidi w:val="0"/>
              <w:spacing w:line="240" w:lineRule="auto"/>
              <w:jc w:val="center"/>
              <w:textAlignment w:val="center"/>
              <w:rPr>
                <w:bCs/>
                <w:color w:val="000000"/>
                <w:sz w:val="21"/>
                <w:szCs w:val="21"/>
              </w:rPr>
            </w:pPr>
            <w:r>
              <w:rPr>
                <w:rFonts w:hint="eastAsia"/>
                <w:color w:val="000000"/>
                <w:sz w:val="21"/>
                <w:szCs w:val="21"/>
                <w:highlight w:val="none"/>
                <w:lang w:val="en-US" w:eastAsia="zh-CN"/>
              </w:rPr>
              <w:t>/</w:t>
            </w:r>
          </w:p>
        </w:tc>
        <w:tc>
          <w:tcPr>
            <w:tcW w:w="427" w:type="pct"/>
            <w:noWrap w:val="0"/>
            <w:vAlign w:val="center"/>
          </w:tcPr>
          <w:p w14:paraId="0132A45C">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512" w:type="pct"/>
            <w:noWrap w:val="0"/>
            <w:vAlign w:val="center"/>
          </w:tcPr>
          <w:p w14:paraId="17C76FCA">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567" w:type="pct"/>
            <w:noWrap w:val="0"/>
            <w:vAlign w:val="center"/>
          </w:tcPr>
          <w:p w14:paraId="304B4A9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0.043</w:t>
            </w:r>
            <w:r>
              <w:rPr>
                <w:rFonts w:hint="eastAsia" w:cs="Times New Roman"/>
                <w:i w:val="0"/>
                <w:iCs w:val="0"/>
                <w:color w:val="000000"/>
                <w:kern w:val="0"/>
                <w:sz w:val="21"/>
                <w:szCs w:val="21"/>
                <w:u w:val="none"/>
                <w:lang w:val="en-US" w:eastAsia="zh-CN" w:bidi="ar"/>
              </w:rPr>
              <w:t>2t/a</w:t>
            </w:r>
          </w:p>
        </w:tc>
        <w:tc>
          <w:tcPr>
            <w:tcW w:w="597" w:type="pct"/>
            <w:noWrap w:val="0"/>
            <w:vAlign w:val="center"/>
          </w:tcPr>
          <w:p w14:paraId="7972AB41">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671" w:type="pct"/>
            <w:noWrap w:val="0"/>
            <w:vAlign w:val="center"/>
          </w:tcPr>
          <w:p w14:paraId="086D76A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0.043</w:t>
            </w:r>
            <w:r>
              <w:rPr>
                <w:rFonts w:hint="eastAsia" w:cs="Times New Roman"/>
                <w:i w:val="0"/>
                <w:iCs w:val="0"/>
                <w:color w:val="000000"/>
                <w:kern w:val="0"/>
                <w:sz w:val="21"/>
                <w:szCs w:val="21"/>
                <w:u w:val="none"/>
                <w:lang w:val="en-US" w:eastAsia="zh-CN" w:bidi="ar"/>
              </w:rPr>
              <w:t>2t/a</w:t>
            </w:r>
          </w:p>
        </w:tc>
        <w:tc>
          <w:tcPr>
            <w:tcW w:w="569" w:type="pct"/>
            <w:noWrap w:val="0"/>
            <w:vAlign w:val="center"/>
          </w:tcPr>
          <w:p w14:paraId="5A7FD4C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kern w:val="2"/>
                <w:sz w:val="21"/>
                <w:szCs w:val="21"/>
                <w:lang w:val="en-US" w:eastAsia="zh-CN" w:bidi="ar-SA"/>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0.043</w:t>
            </w:r>
            <w:r>
              <w:rPr>
                <w:rFonts w:hint="eastAsia" w:cs="Times New Roman"/>
                <w:i w:val="0"/>
                <w:iCs w:val="0"/>
                <w:color w:val="000000"/>
                <w:kern w:val="0"/>
                <w:sz w:val="21"/>
                <w:szCs w:val="21"/>
                <w:u w:val="none"/>
                <w:lang w:val="en-US" w:eastAsia="zh-CN" w:bidi="ar"/>
              </w:rPr>
              <w:t>2t/a</w:t>
            </w:r>
          </w:p>
        </w:tc>
      </w:tr>
      <w:tr w14:paraId="48CF54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79AF060B">
            <w:pPr>
              <w:pStyle w:val="61"/>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p>
        </w:tc>
        <w:tc>
          <w:tcPr>
            <w:tcW w:w="753" w:type="pct"/>
            <w:noWrap w:val="0"/>
            <w:vAlign w:val="center"/>
          </w:tcPr>
          <w:p w14:paraId="50D3D009">
            <w:pPr>
              <w:keepNext w:val="0"/>
              <w:keepLines w:val="0"/>
              <w:pageBreakBefore w:val="0"/>
              <w:kinsoku/>
              <w:wordWrap/>
              <w:overflowPunct/>
              <w:topLinePunct w:val="0"/>
              <w:bidi w:val="0"/>
              <w:spacing w:line="240" w:lineRule="auto"/>
              <w:jc w:val="center"/>
              <w:rPr>
                <w:color w:val="000000"/>
                <w:sz w:val="21"/>
                <w:szCs w:val="21"/>
              </w:rPr>
            </w:pPr>
            <w:r>
              <w:rPr>
                <w:color w:val="000000"/>
                <w:sz w:val="21"/>
                <w:szCs w:val="21"/>
              </w:rPr>
              <w:t>NH</w:t>
            </w:r>
            <w:r>
              <w:rPr>
                <w:color w:val="000000"/>
                <w:sz w:val="21"/>
                <w:szCs w:val="21"/>
                <w:vertAlign w:val="subscript"/>
              </w:rPr>
              <w:t>3</w:t>
            </w:r>
            <w:r>
              <w:rPr>
                <w:color w:val="000000"/>
                <w:sz w:val="21"/>
                <w:szCs w:val="21"/>
              </w:rPr>
              <w:t>-N</w:t>
            </w:r>
          </w:p>
        </w:tc>
        <w:tc>
          <w:tcPr>
            <w:tcW w:w="467" w:type="pct"/>
            <w:noWrap w:val="0"/>
            <w:vAlign w:val="center"/>
          </w:tcPr>
          <w:p w14:paraId="4DD74ECC">
            <w:pPr>
              <w:keepNext w:val="0"/>
              <w:keepLines w:val="0"/>
              <w:pageBreakBefore w:val="0"/>
              <w:widowControl/>
              <w:kinsoku/>
              <w:wordWrap/>
              <w:overflowPunct/>
              <w:topLinePunct w:val="0"/>
              <w:bidi w:val="0"/>
              <w:spacing w:line="240" w:lineRule="auto"/>
              <w:jc w:val="center"/>
              <w:textAlignment w:val="center"/>
              <w:rPr>
                <w:bCs/>
                <w:color w:val="000000"/>
                <w:sz w:val="21"/>
                <w:szCs w:val="21"/>
              </w:rPr>
            </w:pPr>
            <w:r>
              <w:rPr>
                <w:rFonts w:hint="eastAsia"/>
                <w:color w:val="000000"/>
                <w:sz w:val="21"/>
                <w:szCs w:val="21"/>
                <w:highlight w:val="none"/>
                <w:lang w:val="en-US" w:eastAsia="zh-CN"/>
              </w:rPr>
              <w:t>/</w:t>
            </w:r>
          </w:p>
        </w:tc>
        <w:tc>
          <w:tcPr>
            <w:tcW w:w="427" w:type="pct"/>
            <w:noWrap w:val="0"/>
            <w:vAlign w:val="center"/>
          </w:tcPr>
          <w:p w14:paraId="0255F8BB">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512" w:type="pct"/>
            <w:noWrap w:val="0"/>
            <w:vAlign w:val="center"/>
          </w:tcPr>
          <w:p w14:paraId="109E01B4">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567" w:type="pct"/>
            <w:noWrap w:val="0"/>
            <w:vAlign w:val="center"/>
          </w:tcPr>
          <w:p w14:paraId="58674D8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0.00629</w:t>
            </w:r>
            <w:r>
              <w:rPr>
                <w:rFonts w:hint="eastAsia" w:cs="Times New Roman"/>
                <w:i w:val="0"/>
                <w:iCs w:val="0"/>
                <w:color w:val="000000"/>
                <w:kern w:val="0"/>
                <w:sz w:val="21"/>
                <w:szCs w:val="21"/>
                <w:u w:val="none"/>
                <w:lang w:val="en-US" w:eastAsia="zh-CN" w:bidi="ar"/>
              </w:rPr>
              <w:t>t/a</w:t>
            </w:r>
          </w:p>
        </w:tc>
        <w:tc>
          <w:tcPr>
            <w:tcW w:w="597" w:type="pct"/>
            <w:noWrap w:val="0"/>
            <w:vAlign w:val="center"/>
          </w:tcPr>
          <w:p w14:paraId="61B3D79C">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671" w:type="pct"/>
            <w:noWrap w:val="0"/>
            <w:vAlign w:val="center"/>
          </w:tcPr>
          <w:p w14:paraId="2CED09E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0.00629</w:t>
            </w:r>
            <w:r>
              <w:rPr>
                <w:rFonts w:hint="eastAsia" w:cs="Times New Roman"/>
                <w:i w:val="0"/>
                <w:iCs w:val="0"/>
                <w:color w:val="000000"/>
                <w:kern w:val="0"/>
                <w:sz w:val="21"/>
                <w:szCs w:val="21"/>
                <w:u w:val="none"/>
                <w:lang w:val="en-US" w:eastAsia="zh-CN" w:bidi="ar"/>
              </w:rPr>
              <w:t>t/a</w:t>
            </w:r>
          </w:p>
        </w:tc>
        <w:tc>
          <w:tcPr>
            <w:tcW w:w="569" w:type="pct"/>
            <w:noWrap w:val="0"/>
            <w:vAlign w:val="center"/>
          </w:tcPr>
          <w:p w14:paraId="3F502E7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000000"/>
                <w:kern w:val="2"/>
                <w:sz w:val="21"/>
                <w:szCs w:val="21"/>
                <w:lang w:val="en-US" w:eastAsia="zh-CN" w:bidi="ar-SA"/>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0.00629</w:t>
            </w:r>
            <w:r>
              <w:rPr>
                <w:rFonts w:hint="eastAsia" w:cs="Times New Roman"/>
                <w:i w:val="0"/>
                <w:iCs w:val="0"/>
                <w:color w:val="000000"/>
                <w:kern w:val="0"/>
                <w:sz w:val="21"/>
                <w:szCs w:val="21"/>
                <w:u w:val="none"/>
                <w:lang w:val="en-US" w:eastAsia="zh-CN" w:bidi="ar"/>
              </w:rPr>
              <w:t>t/a</w:t>
            </w:r>
          </w:p>
        </w:tc>
      </w:tr>
      <w:tr w14:paraId="7AB647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restart"/>
            <w:noWrap w:val="0"/>
            <w:vAlign w:val="center"/>
          </w:tcPr>
          <w:p w14:paraId="5DED63A1">
            <w:pPr>
              <w:pStyle w:val="61"/>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b w:val="0"/>
                <w:bCs/>
                <w:snapToGrid w:val="0"/>
                <w:color w:val="000000"/>
                <w:kern w:val="21"/>
                <w:sz w:val="21"/>
                <w:szCs w:val="21"/>
              </w:rPr>
              <w:t>一般工业固体废物</w:t>
            </w:r>
          </w:p>
        </w:tc>
        <w:tc>
          <w:tcPr>
            <w:tcW w:w="753" w:type="pct"/>
            <w:noWrap w:val="0"/>
            <w:vAlign w:val="center"/>
          </w:tcPr>
          <w:p w14:paraId="7D68DF0B">
            <w:pPr>
              <w:keepNext w:val="0"/>
              <w:keepLines w:val="0"/>
              <w:pageBreakBefore w:val="0"/>
              <w:tabs>
                <w:tab w:val="left" w:pos="855"/>
              </w:tabs>
              <w:kinsoku/>
              <w:wordWrap/>
              <w:overflowPunct/>
              <w:topLinePunct w:val="0"/>
              <w:bidi w:val="0"/>
              <w:snapToGrid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废包装袋</w:t>
            </w:r>
          </w:p>
        </w:tc>
        <w:tc>
          <w:tcPr>
            <w:tcW w:w="467" w:type="pct"/>
            <w:noWrap w:val="0"/>
            <w:vAlign w:val="center"/>
          </w:tcPr>
          <w:p w14:paraId="7DFE925B">
            <w:pPr>
              <w:keepNext w:val="0"/>
              <w:keepLines w:val="0"/>
              <w:pageBreakBefore w:val="0"/>
              <w:kinsoku/>
              <w:wordWrap/>
              <w:overflowPunct/>
              <w:topLinePunct w:val="0"/>
              <w:bidi w:val="0"/>
              <w:snapToGrid w:val="0"/>
              <w:spacing w:line="240" w:lineRule="auto"/>
              <w:jc w:val="center"/>
              <w:rPr>
                <w:color w:val="000000"/>
                <w:sz w:val="21"/>
                <w:szCs w:val="21"/>
              </w:rPr>
            </w:pPr>
            <w:r>
              <w:rPr>
                <w:rFonts w:hint="eastAsia"/>
                <w:color w:val="000000"/>
                <w:sz w:val="21"/>
                <w:szCs w:val="21"/>
                <w:highlight w:val="none"/>
                <w:lang w:val="en-US" w:eastAsia="zh-CN"/>
              </w:rPr>
              <w:t>/</w:t>
            </w:r>
          </w:p>
        </w:tc>
        <w:tc>
          <w:tcPr>
            <w:tcW w:w="427" w:type="pct"/>
            <w:noWrap w:val="0"/>
            <w:vAlign w:val="center"/>
          </w:tcPr>
          <w:p w14:paraId="55FD62BE">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512" w:type="pct"/>
            <w:noWrap w:val="0"/>
            <w:vAlign w:val="center"/>
          </w:tcPr>
          <w:p w14:paraId="59E9497E">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567" w:type="pct"/>
            <w:noWrap w:val="0"/>
            <w:vAlign w:val="center"/>
          </w:tcPr>
          <w:p w14:paraId="7A78E788">
            <w:pPr>
              <w:spacing w:line="240" w:lineRule="auto"/>
              <w:jc w:val="center"/>
              <w:rPr>
                <w:rFonts w:hint="default" w:eastAsia="宋体"/>
                <w:b w:val="0"/>
                <w:bCs w:val="0"/>
                <w:color w:val="000000"/>
                <w:kern w:val="2"/>
                <w:sz w:val="21"/>
                <w:szCs w:val="21"/>
                <w:lang w:val="en-US" w:eastAsia="zh-CN" w:bidi="ar-SA"/>
              </w:rPr>
            </w:pPr>
            <w:r>
              <w:rPr>
                <w:rFonts w:hint="eastAsia"/>
                <w:b w:val="0"/>
                <w:bCs w:val="0"/>
                <w:color w:val="000000"/>
                <w:kern w:val="2"/>
                <w:sz w:val="21"/>
                <w:szCs w:val="21"/>
                <w:lang w:val="en-US" w:eastAsia="zh-CN" w:bidi="ar-SA"/>
              </w:rPr>
              <w:t>0.568</w:t>
            </w:r>
            <w:r>
              <w:rPr>
                <w:rFonts w:hint="eastAsia"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c>
          <w:tcPr>
            <w:tcW w:w="597" w:type="pct"/>
            <w:noWrap w:val="0"/>
            <w:vAlign w:val="center"/>
          </w:tcPr>
          <w:p w14:paraId="1873CDCF">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671" w:type="pct"/>
            <w:noWrap w:val="0"/>
            <w:vAlign w:val="center"/>
          </w:tcPr>
          <w:p w14:paraId="670A9E06">
            <w:pPr>
              <w:spacing w:line="240" w:lineRule="auto"/>
              <w:jc w:val="center"/>
              <w:rPr>
                <w:color w:val="000000"/>
                <w:sz w:val="21"/>
                <w:szCs w:val="21"/>
              </w:rPr>
            </w:pPr>
            <w:r>
              <w:rPr>
                <w:rFonts w:hint="eastAsia"/>
                <w:b w:val="0"/>
                <w:bCs w:val="0"/>
                <w:color w:val="000000"/>
                <w:kern w:val="2"/>
                <w:sz w:val="21"/>
                <w:szCs w:val="21"/>
                <w:lang w:val="en-US" w:eastAsia="zh-CN" w:bidi="ar-SA"/>
              </w:rPr>
              <w:t>0.568</w:t>
            </w:r>
            <w:r>
              <w:rPr>
                <w:rFonts w:hint="eastAsia"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c>
          <w:tcPr>
            <w:tcW w:w="569" w:type="pct"/>
            <w:noWrap w:val="0"/>
            <w:vAlign w:val="center"/>
          </w:tcPr>
          <w:p w14:paraId="6A60401D">
            <w:pPr>
              <w:spacing w:line="240" w:lineRule="auto"/>
              <w:jc w:val="center"/>
              <w:rPr>
                <w:rFonts w:hint="eastAsia" w:eastAsia="宋体"/>
                <w:b w:val="0"/>
                <w:bCs w:val="0"/>
                <w:color w:val="000000"/>
                <w:kern w:val="2"/>
                <w:sz w:val="21"/>
                <w:szCs w:val="21"/>
                <w:lang w:val="en-US" w:eastAsia="zh-CN" w:bidi="ar-SA"/>
              </w:rPr>
            </w:pPr>
            <w:r>
              <w:rPr>
                <w:rFonts w:hint="eastAsia"/>
                <w:b w:val="0"/>
                <w:bCs w:val="0"/>
                <w:color w:val="000000"/>
                <w:kern w:val="2"/>
                <w:sz w:val="21"/>
                <w:szCs w:val="21"/>
                <w:lang w:val="en-US" w:eastAsia="zh-CN" w:bidi="ar-SA"/>
              </w:rPr>
              <w:t>+0.568</w:t>
            </w:r>
            <w:r>
              <w:rPr>
                <w:rFonts w:hint="eastAsia"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r>
      <w:tr w14:paraId="21B1C7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2004B4AA">
            <w:pPr>
              <w:pStyle w:val="61"/>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p>
        </w:tc>
        <w:tc>
          <w:tcPr>
            <w:tcW w:w="753" w:type="pct"/>
            <w:noWrap w:val="0"/>
            <w:vAlign w:val="center"/>
          </w:tcPr>
          <w:p w14:paraId="57C518BC">
            <w:pPr>
              <w:keepNext w:val="0"/>
              <w:keepLines w:val="0"/>
              <w:pageBreakBefore w:val="0"/>
              <w:tabs>
                <w:tab w:val="left" w:pos="855"/>
              </w:tabs>
              <w:kinsoku/>
              <w:wordWrap/>
              <w:overflowPunct/>
              <w:topLinePunct w:val="0"/>
              <w:bidi w:val="0"/>
              <w:snapToGrid w:val="0"/>
              <w:spacing w:line="240" w:lineRule="auto"/>
              <w:jc w:val="center"/>
              <w:rPr>
                <w:rFonts w:hint="eastAsia"/>
                <w:color w:val="000000"/>
                <w:sz w:val="21"/>
                <w:szCs w:val="21"/>
                <w:lang w:val="en-US" w:eastAsia="zh-CN"/>
              </w:rPr>
            </w:pPr>
            <w:r>
              <w:rPr>
                <w:rFonts w:hint="eastAsia"/>
                <w:color w:val="000000"/>
                <w:sz w:val="21"/>
                <w:szCs w:val="21"/>
                <w:lang w:val="en-US" w:eastAsia="zh-CN"/>
              </w:rPr>
              <w:t>除尘器收集的粉尘</w:t>
            </w:r>
          </w:p>
        </w:tc>
        <w:tc>
          <w:tcPr>
            <w:tcW w:w="467" w:type="pct"/>
            <w:noWrap w:val="0"/>
            <w:vAlign w:val="center"/>
          </w:tcPr>
          <w:p w14:paraId="1C82D056">
            <w:pPr>
              <w:keepNext w:val="0"/>
              <w:keepLines w:val="0"/>
              <w:pageBreakBefore w:val="0"/>
              <w:kinsoku/>
              <w:wordWrap/>
              <w:overflowPunct/>
              <w:topLinePunct w:val="0"/>
              <w:bidi w:val="0"/>
              <w:snapToGrid w:val="0"/>
              <w:spacing w:line="240" w:lineRule="auto"/>
              <w:jc w:val="center"/>
              <w:rPr>
                <w:color w:val="000000"/>
                <w:sz w:val="21"/>
                <w:szCs w:val="21"/>
              </w:rPr>
            </w:pPr>
            <w:r>
              <w:rPr>
                <w:rFonts w:hint="eastAsia"/>
                <w:color w:val="000000"/>
                <w:sz w:val="21"/>
                <w:szCs w:val="21"/>
                <w:highlight w:val="none"/>
                <w:lang w:val="en-US" w:eastAsia="zh-CN"/>
              </w:rPr>
              <w:t>/</w:t>
            </w:r>
          </w:p>
        </w:tc>
        <w:tc>
          <w:tcPr>
            <w:tcW w:w="427" w:type="pct"/>
            <w:noWrap w:val="0"/>
            <w:vAlign w:val="center"/>
          </w:tcPr>
          <w:p w14:paraId="051A0B1D">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512" w:type="pct"/>
            <w:noWrap w:val="0"/>
            <w:vAlign w:val="center"/>
          </w:tcPr>
          <w:p w14:paraId="22F32031">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567" w:type="pct"/>
            <w:noWrap w:val="0"/>
            <w:vAlign w:val="center"/>
          </w:tcPr>
          <w:p w14:paraId="1EBA8555">
            <w:pPr>
              <w:spacing w:line="240" w:lineRule="auto"/>
              <w:jc w:val="center"/>
              <w:rPr>
                <w:rFonts w:hint="default"/>
                <w:b w:val="0"/>
                <w:bCs w:val="0"/>
                <w:color w:val="000000"/>
                <w:kern w:val="2"/>
                <w:sz w:val="21"/>
                <w:szCs w:val="21"/>
                <w:lang w:val="en-US" w:eastAsia="zh-CN" w:bidi="ar-SA"/>
              </w:rPr>
            </w:pPr>
            <w:r>
              <w:rPr>
                <w:rFonts w:hint="eastAsia"/>
                <w:b w:val="0"/>
                <w:bCs w:val="0"/>
                <w:color w:val="000000"/>
                <w:kern w:val="2"/>
                <w:sz w:val="21"/>
                <w:szCs w:val="21"/>
                <w:lang w:val="en-US" w:eastAsia="zh-CN" w:bidi="ar-SA"/>
              </w:rPr>
              <w:t>0.001t/a</w:t>
            </w:r>
          </w:p>
        </w:tc>
        <w:tc>
          <w:tcPr>
            <w:tcW w:w="597" w:type="pct"/>
            <w:noWrap w:val="0"/>
            <w:vAlign w:val="center"/>
          </w:tcPr>
          <w:p w14:paraId="42BE2900">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671" w:type="pct"/>
            <w:noWrap w:val="0"/>
            <w:vAlign w:val="center"/>
          </w:tcPr>
          <w:p w14:paraId="33288EF5">
            <w:pPr>
              <w:spacing w:line="240" w:lineRule="auto"/>
              <w:jc w:val="center"/>
              <w:rPr>
                <w:rFonts w:hint="eastAsia"/>
                <w:b w:val="0"/>
                <w:bCs w:val="0"/>
                <w:color w:val="000000"/>
                <w:kern w:val="2"/>
                <w:sz w:val="21"/>
                <w:szCs w:val="21"/>
                <w:lang w:val="en-US" w:eastAsia="zh-CN" w:bidi="ar-SA"/>
              </w:rPr>
            </w:pPr>
            <w:r>
              <w:rPr>
                <w:rFonts w:hint="eastAsia"/>
                <w:b w:val="0"/>
                <w:bCs w:val="0"/>
                <w:color w:val="000000"/>
                <w:kern w:val="2"/>
                <w:sz w:val="21"/>
                <w:szCs w:val="21"/>
                <w:lang w:val="en-US" w:eastAsia="zh-CN" w:bidi="ar-SA"/>
              </w:rPr>
              <w:t>0.001t/a</w:t>
            </w:r>
          </w:p>
        </w:tc>
        <w:tc>
          <w:tcPr>
            <w:tcW w:w="569" w:type="pct"/>
            <w:noWrap w:val="0"/>
            <w:vAlign w:val="center"/>
          </w:tcPr>
          <w:p w14:paraId="007E4900">
            <w:pPr>
              <w:spacing w:line="240" w:lineRule="auto"/>
              <w:jc w:val="center"/>
              <w:rPr>
                <w:rFonts w:hint="eastAsia"/>
                <w:b w:val="0"/>
                <w:bCs w:val="0"/>
                <w:color w:val="000000"/>
                <w:kern w:val="2"/>
                <w:sz w:val="21"/>
                <w:szCs w:val="21"/>
                <w:lang w:val="en-US" w:eastAsia="zh-CN" w:bidi="ar-SA"/>
              </w:rPr>
            </w:pPr>
            <w:r>
              <w:rPr>
                <w:rFonts w:hint="eastAsia"/>
                <w:b w:val="0"/>
                <w:bCs w:val="0"/>
                <w:color w:val="000000"/>
                <w:kern w:val="2"/>
                <w:sz w:val="21"/>
                <w:szCs w:val="21"/>
                <w:lang w:val="en-US" w:eastAsia="zh-CN" w:bidi="ar-SA"/>
              </w:rPr>
              <w:t>+0.001t/a</w:t>
            </w:r>
          </w:p>
        </w:tc>
      </w:tr>
      <w:tr w14:paraId="3756D2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5697B3DE">
            <w:pPr>
              <w:pStyle w:val="61"/>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p>
        </w:tc>
        <w:tc>
          <w:tcPr>
            <w:tcW w:w="753" w:type="pct"/>
            <w:noWrap w:val="0"/>
            <w:vAlign w:val="center"/>
          </w:tcPr>
          <w:p w14:paraId="27CDFCDB">
            <w:pPr>
              <w:keepNext w:val="0"/>
              <w:keepLines w:val="0"/>
              <w:pageBreakBefore w:val="0"/>
              <w:tabs>
                <w:tab w:val="left" w:pos="855"/>
              </w:tabs>
              <w:kinsoku/>
              <w:wordWrap/>
              <w:overflowPunct/>
              <w:topLinePunct w:val="0"/>
              <w:bidi w:val="0"/>
              <w:snapToGrid w:val="0"/>
              <w:spacing w:line="240" w:lineRule="auto"/>
              <w:jc w:val="center"/>
              <w:rPr>
                <w:rFonts w:hint="eastAsia"/>
                <w:color w:val="000000"/>
                <w:sz w:val="21"/>
                <w:szCs w:val="21"/>
                <w:lang w:val="en-US" w:eastAsia="zh-CN"/>
              </w:rPr>
            </w:pPr>
            <w:r>
              <w:rPr>
                <w:rFonts w:hint="eastAsia"/>
                <w:color w:val="000000"/>
                <w:sz w:val="21"/>
                <w:szCs w:val="21"/>
                <w:lang w:val="en-US" w:eastAsia="zh-CN"/>
              </w:rPr>
              <w:t>含尘布袋</w:t>
            </w:r>
          </w:p>
        </w:tc>
        <w:tc>
          <w:tcPr>
            <w:tcW w:w="467" w:type="pct"/>
            <w:noWrap w:val="0"/>
            <w:vAlign w:val="center"/>
          </w:tcPr>
          <w:p w14:paraId="13EB502D">
            <w:pPr>
              <w:keepNext w:val="0"/>
              <w:keepLines w:val="0"/>
              <w:pageBreakBefore w:val="0"/>
              <w:kinsoku/>
              <w:wordWrap/>
              <w:overflowPunct/>
              <w:topLinePunct w:val="0"/>
              <w:bidi w:val="0"/>
              <w:snapToGrid w:val="0"/>
              <w:spacing w:line="240" w:lineRule="auto"/>
              <w:jc w:val="center"/>
              <w:rPr>
                <w:color w:val="000000"/>
                <w:sz w:val="21"/>
                <w:szCs w:val="21"/>
              </w:rPr>
            </w:pPr>
            <w:r>
              <w:rPr>
                <w:rFonts w:hint="eastAsia"/>
                <w:color w:val="000000"/>
                <w:sz w:val="21"/>
                <w:szCs w:val="21"/>
                <w:highlight w:val="none"/>
                <w:lang w:val="en-US" w:eastAsia="zh-CN"/>
              </w:rPr>
              <w:t>/</w:t>
            </w:r>
          </w:p>
        </w:tc>
        <w:tc>
          <w:tcPr>
            <w:tcW w:w="427" w:type="pct"/>
            <w:noWrap w:val="0"/>
            <w:vAlign w:val="center"/>
          </w:tcPr>
          <w:p w14:paraId="60BAFB24">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512" w:type="pct"/>
            <w:noWrap w:val="0"/>
            <w:vAlign w:val="center"/>
          </w:tcPr>
          <w:p w14:paraId="46191622">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567" w:type="pct"/>
            <w:noWrap w:val="0"/>
            <w:vAlign w:val="center"/>
          </w:tcPr>
          <w:p w14:paraId="0A4DCF75">
            <w:pPr>
              <w:spacing w:line="240" w:lineRule="auto"/>
              <w:jc w:val="center"/>
              <w:rPr>
                <w:rFonts w:hint="default"/>
                <w:b w:val="0"/>
                <w:bCs w:val="0"/>
                <w:color w:val="000000"/>
                <w:kern w:val="2"/>
                <w:sz w:val="21"/>
                <w:szCs w:val="21"/>
                <w:lang w:val="en-US" w:eastAsia="zh-CN" w:bidi="ar-SA"/>
              </w:rPr>
            </w:pPr>
            <w:r>
              <w:rPr>
                <w:rFonts w:hint="eastAsia"/>
                <w:b w:val="0"/>
                <w:bCs w:val="0"/>
                <w:color w:val="000000"/>
                <w:kern w:val="2"/>
                <w:sz w:val="21"/>
                <w:szCs w:val="21"/>
                <w:lang w:val="en-US" w:eastAsia="zh-CN" w:bidi="ar-SA"/>
              </w:rPr>
              <w:t>0.15t/a</w:t>
            </w:r>
          </w:p>
        </w:tc>
        <w:tc>
          <w:tcPr>
            <w:tcW w:w="597" w:type="pct"/>
            <w:noWrap w:val="0"/>
            <w:vAlign w:val="center"/>
          </w:tcPr>
          <w:p w14:paraId="4A1FD59E">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671" w:type="pct"/>
            <w:noWrap w:val="0"/>
            <w:vAlign w:val="center"/>
          </w:tcPr>
          <w:p w14:paraId="440BAB56">
            <w:pPr>
              <w:spacing w:line="240" w:lineRule="auto"/>
              <w:jc w:val="center"/>
              <w:rPr>
                <w:rFonts w:hint="eastAsia"/>
                <w:b w:val="0"/>
                <w:bCs w:val="0"/>
                <w:color w:val="000000"/>
                <w:kern w:val="2"/>
                <w:sz w:val="21"/>
                <w:szCs w:val="21"/>
                <w:lang w:val="en-US" w:eastAsia="zh-CN" w:bidi="ar-SA"/>
              </w:rPr>
            </w:pPr>
            <w:r>
              <w:rPr>
                <w:rFonts w:hint="eastAsia"/>
                <w:b w:val="0"/>
                <w:bCs w:val="0"/>
                <w:color w:val="000000"/>
                <w:kern w:val="2"/>
                <w:sz w:val="21"/>
                <w:szCs w:val="21"/>
                <w:lang w:val="en-US" w:eastAsia="zh-CN" w:bidi="ar-SA"/>
              </w:rPr>
              <w:t>0.15t/a</w:t>
            </w:r>
          </w:p>
        </w:tc>
        <w:tc>
          <w:tcPr>
            <w:tcW w:w="569" w:type="pct"/>
            <w:noWrap w:val="0"/>
            <w:vAlign w:val="center"/>
          </w:tcPr>
          <w:p w14:paraId="7AEA1E67">
            <w:pPr>
              <w:spacing w:line="240" w:lineRule="auto"/>
              <w:jc w:val="center"/>
              <w:rPr>
                <w:rFonts w:hint="eastAsia"/>
                <w:b w:val="0"/>
                <w:bCs w:val="0"/>
                <w:color w:val="000000"/>
                <w:kern w:val="2"/>
                <w:sz w:val="21"/>
                <w:szCs w:val="21"/>
                <w:lang w:val="en-US" w:eastAsia="zh-CN" w:bidi="ar-SA"/>
              </w:rPr>
            </w:pPr>
            <w:r>
              <w:rPr>
                <w:rFonts w:hint="eastAsia"/>
                <w:b w:val="0"/>
                <w:bCs w:val="0"/>
                <w:color w:val="000000"/>
                <w:kern w:val="2"/>
                <w:sz w:val="21"/>
                <w:szCs w:val="21"/>
                <w:lang w:val="en-US" w:eastAsia="zh-CN" w:bidi="ar-SA"/>
              </w:rPr>
              <w:t>+0.15t/a</w:t>
            </w:r>
          </w:p>
        </w:tc>
      </w:tr>
      <w:tr w14:paraId="4AC01D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restart"/>
            <w:noWrap w:val="0"/>
            <w:vAlign w:val="center"/>
          </w:tcPr>
          <w:p w14:paraId="4FDF956E">
            <w:pPr>
              <w:pStyle w:val="61"/>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b w:val="0"/>
                <w:bCs/>
                <w:snapToGrid w:val="0"/>
                <w:color w:val="000000"/>
                <w:kern w:val="21"/>
                <w:sz w:val="21"/>
                <w:szCs w:val="21"/>
              </w:rPr>
              <w:t>危废废物</w:t>
            </w:r>
          </w:p>
        </w:tc>
        <w:tc>
          <w:tcPr>
            <w:tcW w:w="753" w:type="pct"/>
            <w:noWrap w:val="0"/>
            <w:vAlign w:val="center"/>
          </w:tcPr>
          <w:p w14:paraId="631BA215">
            <w:pPr>
              <w:keepNext w:val="0"/>
              <w:keepLines w:val="0"/>
              <w:pageBreakBefore w:val="0"/>
              <w:tabs>
                <w:tab w:val="left" w:pos="855"/>
              </w:tabs>
              <w:kinsoku/>
              <w:wordWrap/>
              <w:overflowPunct/>
              <w:topLinePunct w:val="0"/>
              <w:bidi w:val="0"/>
              <w:snapToGrid w:val="0"/>
              <w:spacing w:line="240" w:lineRule="auto"/>
              <w:jc w:val="center"/>
              <w:rPr>
                <w:rFonts w:hint="default"/>
                <w:color w:val="000000"/>
                <w:sz w:val="21"/>
                <w:szCs w:val="21"/>
                <w:lang w:val="en-US" w:eastAsia="zh-CN"/>
              </w:rPr>
            </w:pPr>
            <w:r>
              <w:rPr>
                <w:rFonts w:hint="eastAsia"/>
                <w:color w:val="000000"/>
                <w:sz w:val="21"/>
                <w:szCs w:val="21"/>
                <w:lang w:val="en-US" w:eastAsia="zh-CN"/>
              </w:rPr>
              <w:t>废液压油</w:t>
            </w:r>
          </w:p>
        </w:tc>
        <w:tc>
          <w:tcPr>
            <w:tcW w:w="467" w:type="pct"/>
            <w:noWrap w:val="0"/>
            <w:vAlign w:val="center"/>
          </w:tcPr>
          <w:p w14:paraId="275B4038">
            <w:pPr>
              <w:keepNext w:val="0"/>
              <w:keepLines w:val="0"/>
              <w:pageBreakBefore w:val="0"/>
              <w:kinsoku/>
              <w:wordWrap/>
              <w:overflowPunct/>
              <w:topLinePunct w:val="0"/>
              <w:bidi w:val="0"/>
              <w:snapToGrid w:val="0"/>
              <w:spacing w:line="240" w:lineRule="auto"/>
              <w:jc w:val="center"/>
              <w:rPr>
                <w:color w:val="000000"/>
                <w:sz w:val="21"/>
                <w:szCs w:val="21"/>
              </w:rPr>
            </w:pPr>
            <w:r>
              <w:rPr>
                <w:rFonts w:hint="eastAsia"/>
                <w:color w:val="000000"/>
                <w:sz w:val="21"/>
                <w:szCs w:val="21"/>
                <w:highlight w:val="none"/>
                <w:lang w:val="en-US" w:eastAsia="zh-CN"/>
              </w:rPr>
              <w:t>/</w:t>
            </w:r>
          </w:p>
        </w:tc>
        <w:tc>
          <w:tcPr>
            <w:tcW w:w="427" w:type="pct"/>
            <w:noWrap w:val="0"/>
            <w:vAlign w:val="center"/>
          </w:tcPr>
          <w:p w14:paraId="6B9B6A8F">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512" w:type="pct"/>
            <w:noWrap w:val="0"/>
            <w:vAlign w:val="center"/>
          </w:tcPr>
          <w:p w14:paraId="6CE83DD8">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567" w:type="pct"/>
            <w:noWrap w:val="0"/>
            <w:vAlign w:val="center"/>
          </w:tcPr>
          <w:p w14:paraId="0C5559A9">
            <w:pPr>
              <w:spacing w:line="240" w:lineRule="auto"/>
              <w:jc w:val="center"/>
              <w:rPr>
                <w:rFonts w:hint="default" w:eastAsia="宋体"/>
                <w:b w:val="0"/>
                <w:bCs w:val="0"/>
                <w:color w:val="000000"/>
                <w:kern w:val="2"/>
                <w:sz w:val="21"/>
                <w:szCs w:val="21"/>
                <w:lang w:val="en-US" w:eastAsia="zh-CN" w:bidi="ar-SA"/>
              </w:rPr>
            </w:pPr>
            <w:r>
              <w:rPr>
                <w:rFonts w:hint="eastAsia"/>
                <w:b w:val="0"/>
                <w:bCs w:val="0"/>
                <w:color w:val="000000"/>
                <w:kern w:val="2"/>
                <w:sz w:val="21"/>
                <w:szCs w:val="21"/>
                <w:lang w:val="en-US" w:eastAsia="zh-CN" w:bidi="ar-SA"/>
              </w:rPr>
              <w:t>1</w:t>
            </w:r>
            <w:r>
              <w:rPr>
                <w:rFonts w:hint="eastAsia"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c>
          <w:tcPr>
            <w:tcW w:w="597" w:type="pct"/>
            <w:noWrap w:val="0"/>
            <w:vAlign w:val="center"/>
          </w:tcPr>
          <w:p w14:paraId="492A6190">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671" w:type="pct"/>
            <w:noWrap w:val="0"/>
            <w:vAlign w:val="center"/>
          </w:tcPr>
          <w:p w14:paraId="797BB178">
            <w:pPr>
              <w:spacing w:line="240" w:lineRule="auto"/>
              <w:jc w:val="center"/>
              <w:rPr>
                <w:color w:val="000000"/>
                <w:sz w:val="21"/>
                <w:szCs w:val="21"/>
              </w:rPr>
            </w:pPr>
            <w:r>
              <w:rPr>
                <w:rFonts w:hint="eastAsia"/>
                <w:b w:val="0"/>
                <w:bCs w:val="0"/>
                <w:color w:val="000000"/>
                <w:kern w:val="2"/>
                <w:sz w:val="21"/>
                <w:szCs w:val="21"/>
                <w:lang w:val="en-US" w:eastAsia="zh-CN" w:bidi="ar-SA"/>
              </w:rPr>
              <w:t>1</w:t>
            </w:r>
            <w:r>
              <w:rPr>
                <w:rFonts w:hint="eastAsia"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c>
          <w:tcPr>
            <w:tcW w:w="569" w:type="pct"/>
            <w:noWrap w:val="0"/>
            <w:vAlign w:val="center"/>
          </w:tcPr>
          <w:p w14:paraId="515A759A">
            <w:pPr>
              <w:spacing w:line="240" w:lineRule="auto"/>
              <w:jc w:val="center"/>
              <w:rPr>
                <w:rFonts w:hint="default" w:eastAsia="宋体"/>
                <w:b w:val="0"/>
                <w:bCs w:val="0"/>
                <w:color w:val="000000"/>
                <w:kern w:val="2"/>
                <w:sz w:val="21"/>
                <w:szCs w:val="21"/>
                <w:lang w:val="en-US" w:eastAsia="zh-CN" w:bidi="ar-SA"/>
              </w:rPr>
            </w:pPr>
            <w:r>
              <w:rPr>
                <w:rFonts w:hint="eastAsia"/>
                <w:b w:val="0"/>
                <w:bCs w:val="0"/>
                <w:color w:val="000000"/>
                <w:kern w:val="2"/>
                <w:sz w:val="21"/>
                <w:szCs w:val="21"/>
                <w:lang w:val="en-US" w:eastAsia="zh-CN" w:bidi="ar-SA"/>
              </w:rPr>
              <w:t>+1</w:t>
            </w:r>
            <w:r>
              <w:rPr>
                <w:rFonts w:hint="eastAsia"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r>
      <w:tr w14:paraId="2F7753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64699554">
            <w:pPr>
              <w:pStyle w:val="61"/>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p>
        </w:tc>
        <w:tc>
          <w:tcPr>
            <w:tcW w:w="753" w:type="pct"/>
            <w:noWrap w:val="0"/>
            <w:vAlign w:val="center"/>
          </w:tcPr>
          <w:p w14:paraId="216FAB6E">
            <w:pPr>
              <w:keepNext w:val="0"/>
              <w:keepLines w:val="0"/>
              <w:pageBreakBefore w:val="0"/>
              <w:tabs>
                <w:tab w:val="left" w:pos="855"/>
              </w:tabs>
              <w:kinsoku/>
              <w:wordWrap/>
              <w:overflowPunct/>
              <w:topLinePunct w:val="0"/>
              <w:bidi w:val="0"/>
              <w:snapToGrid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废油桶</w:t>
            </w:r>
          </w:p>
        </w:tc>
        <w:tc>
          <w:tcPr>
            <w:tcW w:w="467" w:type="pct"/>
            <w:noWrap w:val="0"/>
            <w:vAlign w:val="center"/>
          </w:tcPr>
          <w:p w14:paraId="70546899">
            <w:pPr>
              <w:keepNext w:val="0"/>
              <w:keepLines w:val="0"/>
              <w:pageBreakBefore w:val="0"/>
              <w:kinsoku/>
              <w:wordWrap/>
              <w:overflowPunct/>
              <w:topLinePunct w:val="0"/>
              <w:bidi w:val="0"/>
              <w:snapToGrid w:val="0"/>
              <w:spacing w:line="240" w:lineRule="auto"/>
              <w:jc w:val="center"/>
              <w:rPr>
                <w:color w:val="000000"/>
                <w:sz w:val="21"/>
                <w:szCs w:val="21"/>
              </w:rPr>
            </w:pPr>
            <w:r>
              <w:rPr>
                <w:rFonts w:hint="eastAsia"/>
                <w:color w:val="000000"/>
                <w:sz w:val="21"/>
                <w:szCs w:val="21"/>
                <w:highlight w:val="none"/>
                <w:lang w:val="en-US" w:eastAsia="zh-CN"/>
              </w:rPr>
              <w:t>/</w:t>
            </w:r>
          </w:p>
        </w:tc>
        <w:tc>
          <w:tcPr>
            <w:tcW w:w="427" w:type="pct"/>
            <w:noWrap w:val="0"/>
            <w:vAlign w:val="center"/>
          </w:tcPr>
          <w:p w14:paraId="49B7D024">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512" w:type="pct"/>
            <w:noWrap w:val="0"/>
            <w:vAlign w:val="center"/>
          </w:tcPr>
          <w:p w14:paraId="1C44B66D">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567" w:type="pct"/>
            <w:noWrap w:val="0"/>
            <w:vAlign w:val="center"/>
          </w:tcPr>
          <w:p w14:paraId="178EEB92">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0.124</w:t>
            </w:r>
            <w:r>
              <w:rPr>
                <w:rFonts w:hint="eastAsia"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c>
          <w:tcPr>
            <w:tcW w:w="597" w:type="pct"/>
            <w:noWrap w:val="0"/>
            <w:vAlign w:val="center"/>
          </w:tcPr>
          <w:p w14:paraId="021947F5">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671" w:type="pct"/>
            <w:noWrap w:val="0"/>
            <w:vAlign w:val="center"/>
          </w:tcPr>
          <w:p w14:paraId="12CD2D28">
            <w:pPr>
              <w:keepNext w:val="0"/>
              <w:keepLines w:val="0"/>
              <w:pageBreakBefore w:val="0"/>
              <w:widowControl w:val="0"/>
              <w:kinsoku/>
              <w:wordWrap/>
              <w:overflowPunct/>
              <w:autoSpaceDE/>
              <w:autoSpaceDN/>
              <w:bidi w:val="0"/>
              <w:spacing w:line="240" w:lineRule="auto"/>
              <w:ind w:firstLine="0" w:firstLineChars="0"/>
              <w:jc w:val="center"/>
              <w:textAlignment w:val="auto"/>
              <w:rPr>
                <w:color w:val="000000"/>
                <w:sz w:val="21"/>
                <w:szCs w:val="21"/>
              </w:rPr>
            </w:pPr>
            <w:r>
              <w:rPr>
                <w:rFonts w:hint="eastAsia"/>
                <w:b w:val="0"/>
                <w:bCs w:val="0"/>
                <w:color w:val="000000" w:themeColor="text1"/>
                <w:sz w:val="21"/>
                <w:szCs w:val="21"/>
                <w:lang w:val="en-US" w:eastAsia="zh-CN"/>
                <w14:textFill>
                  <w14:solidFill>
                    <w14:schemeClr w14:val="tx1"/>
                  </w14:solidFill>
                </w14:textFill>
              </w:rPr>
              <w:t>0.124</w:t>
            </w:r>
            <w:r>
              <w:rPr>
                <w:rFonts w:hint="eastAsia"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c>
          <w:tcPr>
            <w:tcW w:w="569" w:type="pct"/>
            <w:noWrap w:val="0"/>
            <w:vAlign w:val="center"/>
          </w:tcPr>
          <w:p w14:paraId="4AC1571E">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eastAsia="宋体"/>
                <w:b w:val="0"/>
                <w:bCs w:val="0"/>
                <w:color w:val="000000"/>
                <w:kern w:val="2"/>
                <w:sz w:val="21"/>
                <w:szCs w:val="21"/>
                <w:lang w:val="en-US" w:eastAsia="zh-CN" w:bidi="ar-SA"/>
              </w:rPr>
            </w:pPr>
            <w:r>
              <w:rPr>
                <w:rFonts w:hint="eastAsia"/>
                <w:b w:val="0"/>
                <w:bCs w:val="0"/>
                <w:color w:val="000000" w:themeColor="text1"/>
                <w:sz w:val="21"/>
                <w:szCs w:val="21"/>
                <w:lang w:val="en-US" w:eastAsia="zh-CN"/>
                <w14:textFill>
                  <w14:solidFill>
                    <w14:schemeClr w14:val="tx1"/>
                  </w14:solidFill>
                </w14:textFill>
              </w:rPr>
              <w:t>+0.124</w:t>
            </w:r>
            <w:r>
              <w:rPr>
                <w:rFonts w:hint="eastAsia"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r>
      <w:tr w14:paraId="2AAB3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5AA7786A">
            <w:pPr>
              <w:pStyle w:val="61"/>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p>
        </w:tc>
        <w:tc>
          <w:tcPr>
            <w:tcW w:w="753" w:type="pct"/>
            <w:noWrap w:val="0"/>
            <w:vAlign w:val="center"/>
          </w:tcPr>
          <w:p w14:paraId="36C7CEAF">
            <w:pPr>
              <w:keepNext w:val="0"/>
              <w:keepLines w:val="0"/>
              <w:pageBreakBefore w:val="0"/>
              <w:tabs>
                <w:tab w:val="left" w:pos="855"/>
              </w:tabs>
              <w:kinsoku/>
              <w:wordWrap/>
              <w:overflowPunct/>
              <w:topLinePunct w:val="0"/>
              <w:bidi w:val="0"/>
              <w:snapToGrid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废活性炭</w:t>
            </w:r>
          </w:p>
        </w:tc>
        <w:tc>
          <w:tcPr>
            <w:tcW w:w="467" w:type="pct"/>
            <w:noWrap w:val="0"/>
            <w:vAlign w:val="center"/>
          </w:tcPr>
          <w:p w14:paraId="79904458">
            <w:pPr>
              <w:keepNext w:val="0"/>
              <w:keepLines w:val="0"/>
              <w:pageBreakBefore w:val="0"/>
              <w:kinsoku/>
              <w:wordWrap/>
              <w:overflowPunct/>
              <w:topLinePunct w:val="0"/>
              <w:bidi w:val="0"/>
              <w:snapToGrid w:val="0"/>
              <w:spacing w:line="240" w:lineRule="auto"/>
              <w:jc w:val="center"/>
              <w:rPr>
                <w:rFonts w:hint="eastAsia" w:eastAsia="宋体"/>
                <w:color w:val="000000"/>
                <w:sz w:val="21"/>
                <w:szCs w:val="21"/>
                <w:lang w:eastAsia="zh-CN"/>
              </w:rPr>
            </w:pPr>
            <w:r>
              <w:rPr>
                <w:rFonts w:hint="eastAsia"/>
                <w:color w:val="000000"/>
                <w:sz w:val="21"/>
                <w:szCs w:val="21"/>
                <w:highlight w:val="none"/>
                <w:lang w:val="en-US" w:eastAsia="zh-CN"/>
              </w:rPr>
              <w:t>/</w:t>
            </w:r>
          </w:p>
        </w:tc>
        <w:tc>
          <w:tcPr>
            <w:tcW w:w="427" w:type="pct"/>
            <w:noWrap w:val="0"/>
            <w:vAlign w:val="center"/>
          </w:tcPr>
          <w:p w14:paraId="1575A493">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512" w:type="pct"/>
            <w:noWrap w:val="0"/>
            <w:vAlign w:val="center"/>
          </w:tcPr>
          <w:p w14:paraId="25B7E3FF">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567" w:type="pct"/>
            <w:noWrap w:val="0"/>
            <w:vAlign w:val="center"/>
          </w:tcPr>
          <w:p w14:paraId="004F7254">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2.856</w:t>
            </w:r>
            <w:r>
              <w:rPr>
                <w:rFonts w:hint="eastAsia"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c>
          <w:tcPr>
            <w:tcW w:w="597" w:type="pct"/>
            <w:noWrap w:val="0"/>
            <w:vAlign w:val="center"/>
          </w:tcPr>
          <w:p w14:paraId="20011E08">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671" w:type="pct"/>
            <w:noWrap w:val="0"/>
            <w:vAlign w:val="center"/>
          </w:tcPr>
          <w:p w14:paraId="79CD8880">
            <w:pPr>
              <w:keepNext w:val="0"/>
              <w:keepLines w:val="0"/>
              <w:pageBreakBefore w:val="0"/>
              <w:widowControl w:val="0"/>
              <w:kinsoku/>
              <w:wordWrap/>
              <w:overflowPunct/>
              <w:autoSpaceDE/>
              <w:autoSpaceDN/>
              <w:bidi w:val="0"/>
              <w:spacing w:line="240" w:lineRule="auto"/>
              <w:ind w:firstLine="0" w:firstLineChars="0"/>
              <w:jc w:val="center"/>
              <w:textAlignment w:val="auto"/>
              <w:rPr>
                <w:color w:val="000000"/>
                <w:sz w:val="21"/>
                <w:szCs w:val="21"/>
              </w:rPr>
            </w:pPr>
            <w:r>
              <w:rPr>
                <w:rFonts w:hint="eastAsia"/>
                <w:color w:val="000000" w:themeColor="text1"/>
                <w:sz w:val="21"/>
                <w:szCs w:val="21"/>
                <w:lang w:val="en-US" w:eastAsia="zh-CN"/>
                <w14:textFill>
                  <w14:solidFill>
                    <w14:schemeClr w14:val="tx1"/>
                  </w14:solidFill>
                </w14:textFill>
              </w:rPr>
              <w:t>2.856</w:t>
            </w:r>
            <w:r>
              <w:rPr>
                <w:rFonts w:hint="eastAsia"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c>
          <w:tcPr>
            <w:tcW w:w="569" w:type="pct"/>
            <w:noWrap w:val="0"/>
            <w:vAlign w:val="center"/>
          </w:tcPr>
          <w:p w14:paraId="6CFC0EFD">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eastAsia="宋体"/>
                <w:b w:val="0"/>
                <w:bCs w:val="0"/>
                <w:color w:val="00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+2.856</w:t>
            </w:r>
            <w:r>
              <w:rPr>
                <w:rFonts w:hint="eastAsia"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r>
      <w:tr w14:paraId="6C222D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noWrap w:val="0"/>
            <w:vAlign w:val="center"/>
          </w:tcPr>
          <w:p w14:paraId="276FADD9">
            <w:pPr>
              <w:pStyle w:val="61"/>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p>
        </w:tc>
        <w:tc>
          <w:tcPr>
            <w:tcW w:w="753" w:type="pct"/>
            <w:noWrap w:val="0"/>
            <w:vAlign w:val="center"/>
          </w:tcPr>
          <w:p w14:paraId="3B98AE6A">
            <w:pPr>
              <w:keepNext w:val="0"/>
              <w:keepLines w:val="0"/>
              <w:pageBreakBefore w:val="0"/>
              <w:tabs>
                <w:tab w:val="left" w:pos="855"/>
              </w:tabs>
              <w:kinsoku/>
              <w:wordWrap/>
              <w:overflowPunct/>
              <w:topLinePunct w:val="0"/>
              <w:bidi w:val="0"/>
              <w:snapToGrid w:val="0"/>
              <w:spacing w:line="240" w:lineRule="auto"/>
              <w:jc w:val="center"/>
              <w:rPr>
                <w:rFonts w:hint="default"/>
                <w:color w:val="000000"/>
                <w:sz w:val="21"/>
                <w:szCs w:val="21"/>
                <w:lang w:val="en-US" w:eastAsia="zh-CN"/>
              </w:rPr>
            </w:pPr>
            <w:r>
              <w:rPr>
                <w:rFonts w:hint="eastAsia"/>
                <w:color w:val="000000"/>
                <w:sz w:val="21"/>
                <w:szCs w:val="21"/>
                <w:lang w:val="en-US" w:eastAsia="zh-CN"/>
              </w:rPr>
              <w:t>含油抹布</w:t>
            </w:r>
          </w:p>
        </w:tc>
        <w:tc>
          <w:tcPr>
            <w:tcW w:w="467" w:type="pct"/>
            <w:noWrap w:val="0"/>
            <w:vAlign w:val="center"/>
          </w:tcPr>
          <w:p w14:paraId="3CD60CD7">
            <w:pPr>
              <w:keepNext w:val="0"/>
              <w:keepLines w:val="0"/>
              <w:pageBreakBefore w:val="0"/>
              <w:kinsoku/>
              <w:wordWrap/>
              <w:overflowPunct/>
              <w:topLinePunct w:val="0"/>
              <w:bidi w:val="0"/>
              <w:snapToGrid w:val="0"/>
              <w:spacing w:line="240" w:lineRule="auto"/>
              <w:jc w:val="center"/>
              <w:rPr>
                <w:rFonts w:hint="eastAsia" w:eastAsia="宋体"/>
                <w:color w:val="000000"/>
                <w:sz w:val="21"/>
                <w:szCs w:val="21"/>
                <w:lang w:eastAsia="zh-CN"/>
              </w:rPr>
            </w:pPr>
            <w:r>
              <w:rPr>
                <w:rFonts w:hint="eastAsia"/>
                <w:color w:val="000000"/>
                <w:sz w:val="21"/>
                <w:szCs w:val="21"/>
                <w:highlight w:val="none"/>
                <w:lang w:val="en-US" w:eastAsia="zh-CN"/>
              </w:rPr>
              <w:t>/</w:t>
            </w:r>
          </w:p>
        </w:tc>
        <w:tc>
          <w:tcPr>
            <w:tcW w:w="427" w:type="pct"/>
            <w:noWrap w:val="0"/>
            <w:vAlign w:val="center"/>
          </w:tcPr>
          <w:p w14:paraId="344EB383">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512" w:type="pct"/>
            <w:noWrap w:val="0"/>
            <w:vAlign w:val="center"/>
          </w:tcPr>
          <w:p w14:paraId="66285C03">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567" w:type="pct"/>
            <w:noWrap w:val="0"/>
            <w:vAlign w:val="center"/>
          </w:tcPr>
          <w:p w14:paraId="151908AE">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0.05t/a</w:t>
            </w:r>
          </w:p>
        </w:tc>
        <w:tc>
          <w:tcPr>
            <w:tcW w:w="597" w:type="pct"/>
            <w:noWrap w:val="0"/>
            <w:vAlign w:val="center"/>
          </w:tcPr>
          <w:p w14:paraId="59740EF9">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671" w:type="pct"/>
            <w:noWrap w:val="0"/>
            <w:vAlign w:val="center"/>
          </w:tcPr>
          <w:p w14:paraId="052391F1">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0.05t/a</w:t>
            </w:r>
          </w:p>
        </w:tc>
        <w:tc>
          <w:tcPr>
            <w:tcW w:w="569" w:type="pct"/>
            <w:noWrap w:val="0"/>
            <w:vAlign w:val="center"/>
          </w:tcPr>
          <w:p w14:paraId="795388E9">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+0.05t/a</w:t>
            </w:r>
          </w:p>
        </w:tc>
      </w:tr>
      <w:tr w14:paraId="2E2F38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noWrap w:val="0"/>
            <w:vAlign w:val="center"/>
          </w:tcPr>
          <w:p w14:paraId="383186BD">
            <w:pPr>
              <w:pStyle w:val="61"/>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b w:val="0"/>
                <w:bCs/>
                <w:snapToGrid w:val="0"/>
                <w:color w:val="000000"/>
                <w:kern w:val="21"/>
                <w:sz w:val="21"/>
                <w:szCs w:val="21"/>
              </w:rPr>
              <w:t>-</w:t>
            </w:r>
          </w:p>
        </w:tc>
        <w:tc>
          <w:tcPr>
            <w:tcW w:w="753" w:type="pct"/>
            <w:noWrap w:val="0"/>
            <w:vAlign w:val="center"/>
          </w:tcPr>
          <w:p w14:paraId="2B8C9BFE">
            <w:pPr>
              <w:keepNext w:val="0"/>
              <w:keepLines w:val="0"/>
              <w:pageBreakBefore w:val="0"/>
              <w:kinsoku/>
              <w:wordWrap/>
              <w:overflowPunct/>
              <w:topLinePunct w:val="0"/>
              <w:autoSpaceDE w:val="0"/>
              <w:autoSpaceDN w:val="0"/>
              <w:bidi w:val="0"/>
              <w:snapToGrid w:val="0"/>
              <w:spacing w:line="240" w:lineRule="auto"/>
              <w:jc w:val="center"/>
              <w:rPr>
                <w:color w:val="000000"/>
                <w:sz w:val="21"/>
                <w:szCs w:val="21"/>
              </w:rPr>
            </w:pPr>
            <w:r>
              <w:rPr>
                <w:color w:val="000000"/>
                <w:sz w:val="21"/>
                <w:szCs w:val="21"/>
              </w:rPr>
              <w:t>生活垃圾</w:t>
            </w:r>
          </w:p>
        </w:tc>
        <w:tc>
          <w:tcPr>
            <w:tcW w:w="467" w:type="pct"/>
            <w:noWrap w:val="0"/>
            <w:vAlign w:val="center"/>
          </w:tcPr>
          <w:p w14:paraId="08A8C1DD">
            <w:pPr>
              <w:keepNext w:val="0"/>
              <w:keepLines w:val="0"/>
              <w:pageBreakBefore w:val="0"/>
              <w:kinsoku/>
              <w:wordWrap/>
              <w:overflowPunct/>
              <w:topLinePunct w:val="0"/>
              <w:bidi w:val="0"/>
              <w:spacing w:line="240" w:lineRule="auto"/>
              <w:jc w:val="center"/>
              <w:rPr>
                <w:bCs/>
                <w:color w:val="000000"/>
                <w:sz w:val="21"/>
                <w:szCs w:val="21"/>
              </w:rPr>
            </w:pPr>
            <w:r>
              <w:rPr>
                <w:rFonts w:hint="eastAsia"/>
                <w:color w:val="000000"/>
                <w:sz w:val="21"/>
                <w:szCs w:val="21"/>
                <w:highlight w:val="none"/>
                <w:lang w:val="en-US" w:eastAsia="zh-CN"/>
              </w:rPr>
              <w:t>/</w:t>
            </w:r>
          </w:p>
        </w:tc>
        <w:tc>
          <w:tcPr>
            <w:tcW w:w="427" w:type="pct"/>
            <w:noWrap w:val="0"/>
            <w:vAlign w:val="center"/>
          </w:tcPr>
          <w:p w14:paraId="573864CE">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512" w:type="pct"/>
            <w:noWrap w:val="0"/>
            <w:vAlign w:val="center"/>
          </w:tcPr>
          <w:p w14:paraId="1C4816C6">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0" w:type="auto"/>
            <w:noWrap w:val="0"/>
            <w:vAlign w:val="center"/>
          </w:tcPr>
          <w:p w14:paraId="5D4DC200">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3.15</w:t>
            </w:r>
            <w:r>
              <w:rPr>
                <w:rFonts w:hint="eastAsia"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c>
          <w:tcPr>
            <w:tcW w:w="0" w:type="auto"/>
            <w:noWrap w:val="0"/>
            <w:vAlign w:val="center"/>
          </w:tcPr>
          <w:p w14:paraId="27A59B53">
            <w:pPr>
              <w:keepNext w:val="0"/>
              <w:keepLines w:val="0"/>
              <w:pageBreakBefore w:val="0"/>
              <w:kinsoku/>
              <w:wordWrap/>
              <w:overflowPunct/>
              <w:topLinePunct w:val="0"/>
              <w:bidi w:val="0"/>
              <w:spacing w:line="240" w:lineRule="auto"/>
              <w:ind w:firstLine="0"/>
              <w:jc w:val="center"/>
              <w:rPr>
                <w:b w:val="0"/>
                <w:bCs/>
                <w:snapToGrid w:val="0"/>
                <w:color w:val="000000"/>
                <w:kern w:val="21"/>
                <w:sz w:val="21"/>
                <w:szCs w:val="21"/>
              </w:rPr>
            </w:pPr>
            <w:r>
              <w:rPr>
                <w:rFonts w:hint="eastAsia"/>
                <w:color w:val="000000"/>
                <w:sz w:val="21"/>
                <w:szCs w:val="21"/>
                <w:highlight w:val="none"/>
                <w:lang w:val="en-US" w:eastAsia="zh-CN"/>
              </w:rPr>
              <w:t>/</w:t>
            </w:r>
          </w:p>
        </w:tc>
        <w:tc>
          <w:tcPr>
            <w:tcW w:w="671" w:type="pct"/>
            <w:noWrap w:val="0"/>
            <w:vAlign w:val="center"/>
          </w:tcPr>
          <w:p w14:paraId="7D9E8648">
            <w:pPr>
              <w:keepNext w:val="0"/>
              <w:keepLines w:val="0"/>
              <w:pageBreakBefore w:val="0"/>
              <w:widowControl w:val="0"/>
              <w:kinsoku/>
              <w:wordWrap/>
              <w:overflowPunct/>
              <w:autoSpaceDE/>
              <w:autoSpaceDN/>
              <w:bidi w:val="0"/>
              <w:spacing w:line="240" w:lineRule="auto"/>
              <w:ind w:firstLine="0" w:firstLineChars="0"/>
              <w:jc w:val="center"/>
              <w:textAlignment w:val="auto"/>
              <w:rPr>
                <w:color w:val="000000"/>
                <w:sz w:val="21"/>
                <w:szCs w:val="21"/>
              </w:rPr>
            </w:pPr>
            <w:r>
              <w:rPr>
                <w:rFonts w:hint="eastAsia"/>
                <w:b w:val="0"/>
                <w:bCs w:val="0"/>
                <w:color w:val="000000" w:themeColor="text1"/>
                <w:sz w:val="21"/>
                <w:szCs w:val="21"/>
                <w:lang w:val="en-US" w:eastAsia="zh-CN"/>
                <w14:textFill>
                  <w14:solidFill>
                    <w14:schemeClr w14:val="tx1"/>
                  </w14:solidFill>
                </w14:textFill>
              </w:rPr>
              <w:t>3.15</w:t>
            </w:r>
            <w:r>
              <w:rPr>
                <w:rFonts w:hint="eastAsia"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c>
          <w:tcPr>
            <w:tcW w:w="569" w:type="pct"/>
            <w:noWrap w:val="0"/>
            <w:vAlign w:val="center"/>
          </w:tcPr>
          <w:p w14:paraId="524E4985">
            <w:pPr>
              <w:keepNext w:val="0"/>
              <w:keepLines w:val="0"/>
              <w:pageBreakBefore w:val="0"/>
              <w:widowControl w:val="0"/>
              <w:kinsoku/>
              <w:wordWrap/>
              <w:overflowPunct/>
              <w:autoSpaceDE/>
              <w:autoSpaceDN/>
              <w:bidi w:val="0"/>
              <w:spacing w:line="240" w:lineRule="auto"/>
              <w:ind w:firstLine="0" w:firstLineChars="0"/>
              <w:jc w:val="center"/>
              <w:textAlignment w:val="auto"/>
              <w:rPr>
                <w:rFonts w:hint="eastAsia" w:eastAsia="宋体"/>
                <w:b w:val="0"/>
                <w:bCs w:val="0"/>
                <w:color w:val="000000"/>
                <w:kern w:val="2"/>
                <w:sz w:val="21"/>
                <w:szCs w:val="21"/>
                <w:lang w:val="en-US" w:eastAsia="zh-CN" w:bidi="ar-SA"/>
              </w:rPr>
            </w:pPr>
            <w:r>
              <w:rPr>
                <w:rFonts w:hint="eastAsia"/>
                <w:b w:val="0"/>
                <w:bCs w:val="0"/>
                <w:color w:val="000000" w:themeColor="text1"/>
                <w:sz w:val="21"/>
                <w:szCs w:val="21"/>
                <w:lang w:val="en-US" w:eastAsia="zh-CN"/>
                <w14:textFill>
                  <w14:solidFill>
                    <w14:schemeClr w14:val="tx1"/>
                  </w14:solidFill>
                </w14:textFill>
              </w:rPr>
              <w:t>+3.15</w:t>
            </w:r>
            <w:r>
              <w:rPr>
                <w:rFonts w:hint="eastAsia" w:ascii="Times New Roman" w:hAnsi="Times New Roman" w:cs="Times New Roman"/>
                <w:b w:val="0"/>
                <w:bCs w:val="0"/>
                <w:color w:val="000000" w:themeColor="text1"/>
                <w:kern w:val="2"/>
                <w:sz w:val="21"/>
                <w:szCs w:val="21"/>
                <w:highlight w:val="none"/>
                <w:vertAlign w:val="baseline"/>
                <w:lang w:val="en-US" w:eastAsia="zh-CN" w:bidi="ar-SA"/>
                <w14:textFill>
                  <w14:solidFill>
                    <w14:schemeClr w14:val="tx1"/>
                  </w14:solidFill>
                </w14:textFill>
              </w:rPr>
              <w:t>t/a</w:t>
            </w:r>
          </w:p>
        </w:tc>
      </w:tr>
    </w:tbl>
    <w:p w14:paraId="70AC9995">
      <w:pPr>
        <w:rPr>
          <w:snapToGrid w:val="0"/>
          <w:color w:val="000000"/>
          <w:spacing w:val="-6"/>
          <w:kern w:val="21"/>
          <w:sz w:val="22"/>
          <w:szCs w:val="20"/>
        </w:rPr>
      </w:pPr>
      <w:r>
        <w:rPr>
          <w:snapToGrid w:val="0"/>
          <w:color w:val="000000"/>
          <w:kern w:val="21"/>
          <w:sz w:val="22"/>
          <w:szCs w:val="20"/>
        </w:rPr>
        <w:t>注：</w:t>
      </w:r>
      <w:r>
        <w:rPr>
          <w:snapToGrid w:val="0"/>
          <w:color w:val="000000"/>
          <w:spacing w:val="-16"/>
          <w:kern w:val="21"/>
          <w:sz w:val="22"/>
          <w:szCs w:val="20"/>
        </w:rPr>
        <w:fldChar w:fldCharType="begin"/>
      </w:r>
      <w:r>
        <w:rPr>
          <w:snapToGrid w:val="0"/>
          <w:color w:val="000000"/>
          <w:spacing w:val="-16"/>
          <w:kern w:val="21"/>
          <w:sz w:val="22"/>
          <w:szCs w:val="20"/>
        </w:rPr>
        <w:instrText xml:space="preserve"> = 6 \* GB3 \* MERGEFORMAT </w:instrText>
      </w:r>
      <w:r>
        <w:rPr>
          <w:snapToGrid w:val="0"/>
          <w:color w:val="000000"/>
          <w:spacing w:val="-16"/>
          <w:kern w:val="21"/>
          <w:sz w:val="22"/>
          <w:szCs w:val="20"/>
        </w:rPr>
        <w:fldChar w:fldCharType="separate"/>
      </w:r>
      <w:r>
        <w:rPr>
          <w:color w:val="000000"/>
          <w:sz w:val="22"/>
          <w:szCs w:val="20"/>
        </w:rPr>
        <w:t>⑥</w:t>
      </w:r>
      <w:r>
        <w:rPr>
          <w:snapToGrid w:val="0"/>
          <w:color w:val="000000"/>
          <w:spacing w:val="-16"/>
          <w:kern w:val="21"/>
          <w:sz w:val="22"/>
          <w:szCs w:val="20"/>
        </w:rPr>
        <w:fldChar w:fldCharType="end"/>
      </w:r>
      <w:r>
        <w:rPr>
          <w:snapToGrid w:val="0"/>
          <w:color w:val="000000"/>
          <w:spacing w:val="-16"/>
          <w:kern w:val="21"/>
          <w:sz w:val="22"/>
          <w:szCs w:val="20"/>
        </w:rPr>
        <w:t>=</w:t>
      </w:r>
      <w:r>
        <w:rPr>
          <w:snapToGrid w:val="0"/>
          <w:color w:val="000000"/>
          <w:spacing w:val="-6"/>
          <w:kern w:val="21"/>
          <w:sz w:val="22"/>
          <w:szCs w:val="20"/>
        </w:rPr>
        <w:fldChar w:fldCharType="begin"/>
      </w:r>
      <w:r>
        <w:rPr>
          <w:snapToGrid w:val="0"/>
          <w:color w:val="000000"/>
          <w:spacing w:val="-6"/>
          <w:kern w:val="21"/>
          <w:sz w:val="22"/>
          <w:szCs w:val="20"/>
        </w:rPr>
        <w:instrText xml:space="preserve"> = 1 \* GB3 \* MERGEFORMAT </w:instrText>
      </w:r>
      <w:r>
        <w:rPr>
          <w:snapToGrid w:val="0"/>
          <w:color w:val="000000"/>
          <w:spacing w:val="-6"/>
          <w:kern w:val="21"/>
          <w:sz w:val="22"/>
          <w:szCs w:val="20"/>
        </w:rPr>
        <w:fldChar w:fldCharType="separate"/>
      </w:r>
      <w:r>
        <w:rPr>
          <w:color w:val="000000"/>
          <w:sz w:val="22"/>
          <w:szCs w:val="20"/>
        </w:rPr>
        <w:t>①</w:t>
      </w:r>
      <w:r>
        <w:rPr>
          <w:snapToGrid w:val="0"/>
          <w:color w:val="000000"/>
          <w:spacing w:val="-6"/>
          <w:kern w:val="21"/>
          <w:sz w:val="22"/>
          <w:szCs w:val="20"/>
        </w:rPr>
        <w:fldChar w:fldCharType="end"/>
      </w:r>
      <w:r>
        <w:rPr>
          <w:snapToGrid w:val="0"/>
          <w:color w:val="000000"/>
          <w:spacing w:val="-6"/>
          <w:kern w:val="21"/>
          <w:sz w:val="22"/>
          <w:szCs w:val="20"/>
        </w:rPr>
        <w:t>+</w:t>
      </w:r>
      <w:r>
        <w:rPr>
          <w:snapToGrid w:val="0"/>
          <w:color w:val="000000"/>
          <w:spacing w:val="-6"/>
          <w:kern w:val="21"/>
          <w:sz w:val="22"/>
          <w:szCs w:val="20"/>
        </w:rPr>
        <w:fldChar w:fldCharType="begin"/>
      </w:r>
      <w:r>
        <w:rPr>
          <w:snapToGrid w:val="0"/>
          <w:color w:val="000000"/>
          <w:spacing w:val="-6"/>
          <w:kern w:val="21"/>
          <w:sz w:val="22"/>
          <w:szCs w:val="20"/>
        </w:rPr>
        <w:instrText xml:space="preserve"> = 3 \* GB3 \* MERGEFORMAT </w:instrText>
      </w:r>
      <w:r>
        <w:rPr>
          <w:snapToGrid w:val="0"/>
          <w:color w:val="000000"/>
          <w:spacing w:val="-6"/>
          <w:kern w:val="21"/>
          <w:sz w:val="22"/>
          <w:szCs w:val="20"/>
        </w:rPr>
        <w:fldChar w:fldCharType="separate"/>
      </w:r>
      <w:r>
        <w:rPr>
          <w:color w:val="000000"/>
          <w:sz w:val="22"/>
          <w:szCs w:val="20"/>
        </w:rPr>
        <w:t>③</w:t>
      </w:r>
      <w:r>
        <w:rPr>
          <w:snapToGrid w:val="0"/>
          <w:color w:val="000000"/>
          <w:spacing w:val="-6"/>
          <w:kern w:val="21"/>
          <w:sz w:val="22"/>
          <w:szCs w:val="20"/>
        </w:rPr>
        <w:fldChar w:fldCharType="end"/>
      </w:r>
      <w:r>
        <w:rPr>
          <w:snapToGrid w:val="0"/>
          <w:color w:val="000000"/>
          <w:spacing w:val="-6"/>
          <w:kern w:val="21"/>
          <w:sz w:val="22"/>
          <w:szCs w:val="20"/>
        </w:rPr>
        <w:t>+</w:t>
      </w:r>
      <w:r>
        <w:rPr>
          <w:snapToGrid w:val="0"/>
          <w:color w:val="000000"/>
          <w:spacing w:val="-6"/>
          <w:kern w:val="21"/>
          <w:sz w:val="22"/>
          <w:szCs w:val="20"/>
        </w:rPr>
        <w:fldChar w:fldCharType="begin"/>
      </w:r>
      <w:r>
        <w:rPr>
          <w:snapToGrid w:val="0"/>
          <w:color w:val="000000"/>
          <w:spacing w:val="-6"/>
          <w:kern w:val="21"/>
          <w:sz w:val="22"/>
          <w:szCs w:val="20"/>
        </w:rPr>
        <w:instrText xml:space="preserve"> = 4 \* GB3 \* MERGEFORMAT </w:instrText>
      </w:r>
      <w:r>
        <w:rPr>
          <w:snapToGrid w:val="0"/>
          <w:color w:val="000000"/>
          <w:spacing w:val="-6"/>
          <w:kern w:val="21"/>
          <w:sz w:val="22"/>
          <w:szCs w:val="20"/>
        </w:rPr>
        <w:fldChar w:fldCharType="separate"/>
      </w:r>
      <w:r>
        <w:rPr>
          <w:color w:val="000000"/>
          <w:sz w:val="22"/>
          <w:szCs w:val="20"/>
        </w:rPr>
        <w:t>④</w:t>
      </w:r>
      <w:r>
        <w:rPr>
          <w:snapToGrid w:val="0"/>
          <w:color w:val="000000"/>
          <w:spacing w:val="-6"/>
          <w:kern w:val="21"/>
          <w:sz w:val="22"/>
          <w:szCs w:val="20"/>
        </w:rPr>
        <w:fldChar w:fldCharType="end"/>
      </w:r>
      <w:r>
        <w:rPr>
          <w:snapToGrid w:val="0"/>
          <w:color w:val="000000"/>
          <w:spacing w:val="-6"/>
          <w:kern w:val="21"/>
          <w:sz w:val="22"/>
          <w:szCs w:val="20"/>
        </w:rPr>
        <w:t>-</w:t>
      </w:r>
      <w:r>
        <w:rPr>
          <w:snapToGrid w:val="0"/>
          <w:color w:val="000000"/>
          <w:spacing w:val="-16"/>
          <w:kern w:val="21"/>
          <w:sz w:val="22"/>
          <w:szCs w:val="20"/>
        </w:rPr>
        <w:fldChar w:fldCharType="begin"/>
      </w:r>
      <w:r>
        <w:rPr>
          <w:snapToGrid w:val="0"/>
          <w:color w:val="000000"/>
          <w:spacing w:val="-16"/>
          <w:kern w:val="21"/>
          <w:sz w:val="22"/>
          <w:szCs w:val="20"/>
        </w:rPr>
        <w:instrText xml:space="preserve"> = 5 \* GB3 \* MERGEFORMAT </w:instrText>
      </w:r>
      <w:r>
        <w:rPr>
          <w:snapToGrid w:val="0"/>
          <w:color w:val="000000"/>
          <w:spacing w:val="-16"/>
          <w:kern w:val="21"/>
          <w:sz w:val="22"/>
          <w:szCs w:val="20"/>
        </w:rPr>
        <w:fldChar w:fldCharType="separate"/>
      </w:r>
      <w:r>
        <w:rPr>
          <w:color w:val="000000"/>
          <w:sz w:val="22"/>
          <w:szCs w:val="20"/>
        </w:rPr>
        <w:t>⑤</w:t>
      </w:r>
      <w:r>
        <w:rPr>
          <w:snapToGrid w:val="0"/>
          <w:color w:val="000000"/>
          <w:spacing w:val="-16"/>
          <w:kern w:val="21"/>
          <w:sz w:val="22"/>
          <w:szCs w:val="20"/>
        </w:rPr>
        <w:fldChar w:fldCharType="end"/>
      </w:r>
      <w:r>
        <w:rPr>
          <w:snapToGrid w:val="0"/>
          <w:color w:val="000000"/>
          <w:spacing w:val="-16"/>
          <w:kern w:val="21"/>
          <w:sz w:val="22"/>
          <w:szCs w:val="20"/>
        </w:rPr>
        <w:t>；</w:t>
      </w:r>
      <w:r>
        <w:rPr>
          <w:snapToGrid w:val="0"/>
          <w:color w:val="000000"/>
          <w:spacing w:val="-6"/>
          <w:kern w:val="21"/>
          <w:sz w:val="22"/>
          <w:szCs w:val="20"/>
        </w:rPr>
        <w:fldChar w:fldCharType="begin"/>
      </w:r>
      <w:r>
        <w:rPr>
          <w:snapToGrid w:val="0"/>
          <w:color w:val="000000"/>
          <w:spacing w:val="-6"/>
          <w:kern w:val="21"/>
          <w:sz w:val="22"/>
          <w:szCs w:val="20"/>
        </w:rPr>
        <w:instrText xml:space="preserve"> = 7 \* GB3 \* MERGEFORMAT </w:instrText>
      </w:r>
      <w:r>
        <w:rPr>
          <w:snapToGrid w:val="0"/>
          <w:color w:val="000000"/>
          <w:spacing w:val="-6"/>
          <w:kern w:val="21"/>
          <w:sz w:val="22"/>
          <w:szCs w:val="20"/>
        </w:rPr>
        <w:fldChar w:fldCharType="separate"/>
      </w:r>
      <w:r>
        <w:rPr>
          <w:color w:val="000000"/>
          <w:sz w:val="22"/>
          <w:szCs w:val="20"/>
        </w:rPr>
        <w:t>⑦</w:t>
      </w:r>
      <w:r>
        <w:rPr>
          <w:snapToGrid w:val="0"/>
          <w:color w:val="000000"/>
          <w:spacing w:val="-6"/>
          <w:kern w:val="21"/>
          <w:sz w:val="22"/>
          <w:szCs w:val="20"/>
        </w:rPr>
        <w:fldChar w:fldCharType="end"/>
      </w:r>
      <w:r>
        <w:rPr>
          <w:snapToGrid w:val="0"/>
          <w:color w:val="000000"/>
          <w:spacing w:val="-6"/>
          <w:kern w:val="21"/>
          <w:sz w:val="22"/>
          <w:szCs w:val="20"/>
        </w:rPr>
        <w:t>=</w:t>
      </w:r>
      <w:r>
        <w:rPr>
          <w:snapToGrid w:val="0"/>
          <w:color w:val="000000"/>
          <w:spacing w:val="-16"/>
          <w:kern w:val="21"/>
          <w:sz w:val="22"/>
          <w:szCs w:val="20"/>
        </w:rPr>
        <w:fldChar w:fldCharType="begin"/>
      </w:r>
      <w:r>
        <w:rPr>
          <w:snapToGrid w:val="0"/>
          <w:color w:val="000000"/>
          <w:spacing w:val="-16"/>
          <w:kern w:val="21"/>
          <w:sz w:val="22"/>
          <w:szCs w:val="20"/>
        </w:rPr>
        <w:instrText xml:space="preserve"> = 6 \* GB3 \* MERGEFORMAT </w:instrText>
      </w:r>
      <w:r>
        <w:rPr>
          <w:snapToGrid w:val="0"/>
          <w:color w:val="000000"/>
          <w:spacing w:val="-16"/>
          <w:kern w:val="21"/>
          <w:sz w:val="22"/>
          <w:szCs w:val="20"/>
        </w:rPr>
        <w:fldChar w:fldCharType="separate"/>
      </w:r>
      <w:r>
        <w:rPr>
          <w:color w:val="000000"/>
          <w:sz w:val="22"/>
          <w:szCs w:val="20"/>
        </w:rPr>
        <w:t>⑥</w:t>
      </w:r>
      <w:r>
        <w:rPr>
          <w:snapToGrid w:val="0"/>
          <w:color w:val="000000"/>
          <w:spacing w:val="-16"/>
          <w:kern w:val="21"/>
          <w:sz w:val="22"/>
          <w:szCs w:val="20"/>
        </w:rPr>
        <w:fldChar w:fldCharType="end"/>
      </w:r>
      <w:r>
        <w:rPr>
          <w:snapToGrid w:val="0"/>
          <w:color w:val="000000"/>
          <w:spacing w:val="-16"/>
          <w:kern w:val="21"/>
          <w:sz w:val="22"/>
          <w:szCs w:val="20"/>
        </w:rPr>
        <w:t>-</w:t>
      </w:r>
      <w:r>
        <w:rPr>
          <w:snapToGrid w:val="0"/>
          <w:color w:val="000000"/>
          <w:spacing w:val="-6"/>
          <w:kern w:val="21"/>
          <w:sz w:val="22"/>
          <w:szCs w:val="20"/>
        </w:rPr>
        <w:fldChar w:fldCharType="begin"/>
      </w:r>
      <w:r>
        <w:rPr>
          <w:snapToGrid w:val="0"/>
          <w:color w:val="000000"/>
          <w:spacing w:val="-6"/>
          <w:kern w:val="21"/>
          <w:sz w:val="22"/>
          <w:szCs w:val="20"/>
        </w:rPr>
        <w:instrText xml:space="preserve"> = 1 \* GB3 \* MERGEFORMAT </w:instrText>
      </w:r>
      <w:r>
        <w:rPr>
          <w:snapToGrid w:val="0"/>
          <w:color w:val="000000"/>
          <w:spacing w:val="-6"/>
          <w:kern w:val="21"/>
          <w:sz w:val="22"/>
          <w:szCs w:val="20"/>
        </w:rPr>
        <w:fldChar w:fldCharType="separate"/>
      </w:r>
      <w:r>
        <w:rPr>
          <w:color w:val="000000"/>
          <w:sz w:val="22"/>
          <w:szCs w:val="20"/>
        </w:rPr>
        <w:t>①</w:t>
      </w:r>
      <w:r>
        <w:rPr>
          <w:snapToGrid w:val="0"/>
          <w:color w:val="000000"/>
          <w:spacing w:val="-6"/>
          <w:kern w:val="21"/>
          <w:sz w:val="22"/>
          <w:szCs w:val="20"/>
        </w:rPr>
        <w:fldChar w:fldCharType="end"/>
      </w:r>
    </w:p>
    <w:sectPr>
      <w:footerReference r:id="rId10"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D8AF240-7F85-4199-9121-DA8C5F6E331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Microsoft Uighur">
    <w:panose1 w:val="02000000000000000000"/>
    <w:charset w:val="00"/>
    <w:family w:val="auto"/>
    <w:pitch w:val="default"/>
    <w:sig w:usb0="80002023" w:usb1="80000002" w:usb2="00000008" w:usb3="00000000" w:csb0="00000041" w:csb1="00000000"/>
  </w:font>
  <w:font w:name="TimesNewRomanPSMT">
    <w:altName w:val="Times New Roman"/>
    <w:panose1 w:val="00000000000000000000"/>
    <w:charset w:val="86"/>
    <w:family w:val="auto"/>
    <w:pitch w:val="default"/>
    <w:sig w:usb0="00000000" w:usb1="00000000" w:usb2="00000010" w:usb3="00000000" w:csb0="00060000" w:csb1="00000000"/>
  </w:font>
  <w:font w:name="仿宋_GB2312">
    <w:panose1 w:val="02010609030101010101"/>
    <w:charset w:val="86"/>
    <w:family w:val="modern"/>
    <w:pitch w:val="default"/>
    <w:sig w:usb0="00000001" w:usb1="080E0000" w:usb2="00000000" w:usb3="00000000" w:csb0="00040000" w:csb1="00000000"/>
    <w:embedRegular r:id="rId2" w:fontKey="{6FD873B9-9444-456E-B29F-D45BCA2E806D}"/>
  </w:font>
  <w:font w:name="华文仿宋">
    <w:panose1 w:val="02010600040101010101"/>
    <w:charset w:val="86"/>
    <w:family w:val="auto"/>
    <w:pitch w:val="default"/>
    <w:sig w:usb0="00000287" w:usb1="080F0000" w:usb2="00000000" w:usb3="00000000" w:csb0="0004009F" w:csb1="DFD70000"/>
    <w:embedRegular r:id="rId3" w:fontKey="{C49D69E3-E6F9-4ACA-A92D-6E1CDF2ECDE5}"/>
  </w:font>
  <w:font w:name="Wingdings 2">
    <w:panose1 w:val="05020102010507070707"/>
    <w:charset w:val="02"/>
    <w:family w:val="auto"/>
    <w:pitch w:val="default"/>
    <w:sig w:usb0="00000000" w:usb1="00000000" w:usb2="00000000" w:usb3="00000000" w:csb0="80000000" w:csb1="00000000"/>
    <w:embedRegular r:id="rId4" w:fontKey="{E9C34ACC-5134-4825-A040-558A02F57E52}"/>
  </w:font>
  <w:font w:name="微软雅黑">
    <w:panose1 w:val="020B0503020204020204"/>
    <w:charset w:val="86"/>
    <w:family w:val="swiss"/>
    <w:pitch w:val="default"/>
    <w:sig w:usb0="80000287" w:usb1="2ACF3C50" w:usb2="00000016" w:usb3="00000000" w:csb0="0004001F" w:csb1="00000000"/>
    <w:embedRegular r:id="rId5" w:fontKey="{2CF8C9E7-D1E9-4FFD-9380-262B24F99577}"/>
  </w:font>
  <w:font w:name="等线 Light">
    <w:panose1 w:val="02010600030101010101"/>
    <w:charset w:val="86"/>
    <w:family w:val="auto"/>
    <w:pitch w:val="default"/>
    <w:sig w:usb0="A00002BF" w:usb1="38CF7CFA" w:usb2="00000016" w:usb3="00000000" w:csb0="0004000F" w:csb1="00000000"/>
    <w:embedRegular r:id="rId6" w:fontKey="{86D00983-1468-48A1-8EF1-AEBCAA08F9B5}"/>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15A88">
    <w:pPr>
      <w:pStyle w:val="2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49106">
    <w:pPr>
      <w:pStyle w:val="20"/>
      <w:framePr w:wrap="around" w:vAnchor="text" w:hAnchor="margin" w:xAlign="center" w:y="1"/>
      <w:rPr>
        <w:rStyle w:val="32"/>
      </w:rPr>
    </w:pPr>
    <w:r>
      <w:fldChar w:fldCharType="begin"/>
    </w:r>
    <w:r>
      <w:rPr>
        <w:rStyle w:val="32"/>
      </w:rPr>
      <w:instrText xml:space="preserve">PAGE  </w:instrText>
    </w:r>
    <w:r>
      <w:fldChar w:fldCharType="end"/>
    </w:r>
  </w:p>
  <w:p w14:paraId="7426013D">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76027">
    <w:pPr>
      <w:pStyle w:val="20"/>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603DDC">
                          <w:pPr>
                            <w:pStyle w:val="20"/>
                          </w:pPr>
                          <w:r>
                            <w:fldChar w:fldCharType="begin"/>
                          </w:r>
                          <w:r>
                            <w:instrText xml:space="preserve"> PAGE  \* MERGEFORMAT </w:instrText>
                          </w:r>
                          <w:r>
                            <w:fldChar w:fldCharType="separate"/>
                          </w:r>
                          <w:r>
                            <w:t>11</w:t>
                          </w:r>
                          <w:r>
                            <w:fldChar w:fldCharType="end"/>
                          </w:r>
                        </w:p>
                      </w:txbxContent>
                    </wps:txbx>
                    <wps:bodyPr wrap="none" lIns="0" tIns="0" rIns="0" bIns="0" upright="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LoRT580BAACdAwAADgAAAAAAAAABACAAAAAeAQAAZHJzL2Uy&#10;b0RvYy54bWxQSwUGAAAAAAYABgBZAQAAXQUAAAAA&#10;">
              <v:fill on="f" focussize="0,0"/>
              <v:stroke on="f"/>
              <v:imagedata o:title=""/>
              <o:lock v:ext="edit" aspectratio="f"/>
              <v:textbox inset="0mm,0mm,0mm,0mm" style="mso-fit-shape-to-text:t;">
                <w:txbxContent>
                  <w:p w14:paraId="59603DDC">
                    <w:pPr>
                      <w:pStyle w:val="20"/>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47588">
    <w:pPr>
      <w:pStyle w:val="20"/>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20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A588DA">
                          <w:pPr>
                            <w:pStyle w:val="20"/>
                          </w:pPr>
                          <w:r>
                            <w:fldChar w:fldCharType="begin"/>
                          </w:r>
                          <w:r>
                            <w:instrText xml:space="preserve"> PAGE  \* MERGEFORMAT </w:instrText>
                          </w:r>
                          <w:r>
                            <w:fldChar w:fldCharType="separate"/>
                          </w:r>
                          <w:r>
                            <w:t>46</w:t>
                          </w:r>
                          <w:r>
                            <w:fldChar w:fldCharType="end"/>
                          </w:r>
                        </w:p>
                      </w:txbxContent>
                    </wps:txbx>
                    <wps:bodyPr wrap="none" lIns="0" tIns="0" rIns="0" bIns="0" upright="0">
                      <a:spAutoFit/>
                    </wps:bodyPr>
                  </wps:wsp>
                </a:graphicData>
              </a:graphic>
            </wp:anchor>
          </w:drawing>
        </mc:Choice>
        <mc:Fallback>
          <w:pict>
            <v:shape id="文本框 205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LD8YzzAEAAJ0DAAAOAAAAAAAAAAEAIAAAAB4BAABkcnMvZTJv&#10;RG9jLnhtbFBLBQYAAAAABgAGAFkBAABcBQAAAAA=&#10;">
              <v:fill on="f" focussize="0,0"/>
              <v:stroke on="f"/>
              <v:imagedata o:title=""/>
              <o:lock v:ext="edit" aspectratio="f"/>
              <v:textbox inset="0mm,0mm,0mm,0mm" style="mso-fit-shape-to-text:t;">
                <w:txbxContent>
                  <w:p w14:paraId="2DA588DA">
                    <w:pPr>
                      <w:pStyle w:val="20"/>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F3D94">
    <w:pPr>
      <w:pStyle w:val="20"/>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35A6F">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1AD345"/>
    <w:multiLevelType w:val="singleLevel"/>
    <w:tmpl w:val="8E1AD345"/>
    <w:lvl w:ilvl="0" w:tentative="0">
      <w:start w:val="1"/>
      <w:numFmt w:val="decimal"/>
      <w:suff w:val="nothing"/>
      <w:lvlText w:val="（%1）"/>
      <w:lvlJc w:val="left"/>
      <w:pPr>
        <w:ind w:left="480"/>
      </w:pPr>
    </w:lvl>
  </w:abstractNum>
  <w:abstractNum w:abstractNumId="1">
    <w:nsid w:val="AD3D4B59"/>
    <w:multiLevelType w:val="singleLevel"/>
    <w:tmpl w:val="AD3D4B59"/>
    <w:lvl w:ilvl="0" w:tentative="0">
      <w:start w:val="1"/>
      <w:numFmt w:val="decimal"/>
      <w:suff w:val="nothing"/>
      <w:lvlText w:val="%1、"/>
      <w:lvlJc w:val="left"/>
    </w:lvl>
  </w:abstractNum>
  <w:abstractNum w:abstractNumId="2">
    <w:nsid w:val="BBF01421"/>
    <w:multiLevelType w:val="singleLevel"/>
    <w:tmpl w:val="BBF01421"/>
    <w:lvl w:ilvl="0" w:tentative="0">
      <w:start w:val="1"/>
      <w:numFmt w:val="decimal"/>
      <w:suff w:val="nothing"/>
      <w:lvlText w:val="%1、"/>
      <w:lvlJc w:val="left"/>
      <w:rPr>
        <w:rFonts w:hint="default"/>
        <w:b/>
        <w:bCs/>
      </w:rPr>
    </w:lvl>
  </w:abstractNum>
  <w:abstractNum w:abstractNumId="3">
    <w:nsid w:val="E7616BB9"/>
    <w:multiLevelType w:val="singleLevel"/>
    <w:tmpl w:val="E7616BB9"/>
    <w:lvl w:ilvl="0" w:tentative="0">
      <w:start w:val="1"/>
      <w:numFmt w:val="decimal"/>
      <w:suff w:val="nothing"/>
      <w:lvlText w:val="%1、"/>
      <w:lvlJc w:val="left"/>
    </w:lvl>
  </w:abstractNum>
  <w:abstractNum w:abstractNumId="4">
    <w:nsid w:val="063D4D8C"/>
    <w:multiLevelType w:val="singleLevel"/>
    <w:tmpl w:val="063D4D8C"/>
    <w:lvl w:ilvl="0" w:tentative="0">
      <w:start w:val="9"/>
      <w:numFmt w:val="chineseCounting"/>
      <w:suff w:val="nothing"/>
      <w:lvlText w:val="（%1）"/>
      <w:lvlJc w:val="left"/>
      <w:rPr>
        <w:rFonts w:hint="eastAsia"/>
      </w:rPr>
    </w:lvl>
  </w:abstractNum>
  <w:abstractNum w:abstractNumId="5">
    <w:nsid w:val="33F55118"/>
    <w:multiLevelType w:val="singleLevel"/>
    <w:tmpl w:val="33F55118"/>
    <w:lvl w:ilvl="0" w:tentative="0">
      <w:start w:val="3"/>
      <w:numFmt w:val="decimal"/>
      <w:suff w:val="nothing"/>
      <w:lvlText w:val="%1、"/>
      <w:lvlJc w:val="left"/>
      <w:pPr>
        <w:ind w:left="238"/>
      </w:pPr>
    </w:lvl>
  </w:abstractNum>
  <w:abstractNum w:abstractNumId="6">
    <w:nsid w:val="341D0730"/>
    <w:multiLevelType w:val="singleLevel"/>
    <w:tmpl w:val="341D0730"/>
    <w:lvl w:ilvl="0" w:tentative="0">
      <w:start w:val="1"/>
      <w:numFmt w:val="decimal"/>
      <w:suff w:val="nothing"/>
      <w:lvlText w:val="%1、"/>
      <w:lvlJc w:val="left"/>
    </w:lvl>
  </w:abstractNum>
  <w:abstractNum w:abstractNumId="7">
    <w:nsid w:val="3A4A4C64"/>
    <w:multiLevelType w:val="singleLevel"/>
    <w:tmpl w:val="3A4A4C64"/>
    <w:lvl w:ilvl="0" w:tentative="0">
      <w:start w:val="1"/>
      <w:numFmt w:val="chineseCounting"/>
      <w:suff w:val="nothing"/>
      <w:lvlText w:val="（%1）"/>
      <w:lvlJc w:val="left"/>
      <w:rPr>
        <w:rFonts w:hint="eastAsia"/>
      </w:rPr>
    </w:lvl>
  </w:abstractNum>
  <w:abstractNum w:abstractNumId="8">
    <w:nsid w:val="3FB38404"/>
    <w:multiLevelType w:val="singleLevel"/>
    <w:tmpl w:val="3FB38404"/>
    <w:lvl w:ilvl="0" w:tentative="0">
      <w:start w:val="2"/>
      <w:numFmt w:val="chineseCounting"/>
      <w:suff w:val="nothing"/>
      <w:lvlText w:val="%1、"/>
      <w:lvlJc w:val="left"/>
      <w:rPr>
        <w:rFonts w:hint="eastAsia"/>
      </w:rPr>
    </w:lvl>
  </w:abstractNum>
  <w:abstractNum w:abstractNumId="9">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52"/>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45516DBA"/>
    <w:multiLevelType w:val="singleLevel"/>
    <w:tmpl w:val="45516DBA"/>
    <w:lvl w:ilvl="0" w:tentative="0">
      <w:start w:val="1"/>
      <w:numFmt w:val="decimal"/>
      <w:suff w:val="nothing"/>
      <w:lvlText w:val="%1、"/>
      <w:lvlJc w:val="left"/>
    </w:lvl>
  </w:abstractNum>
  <w:abstractNum w:abstractNumId="11">
    <w:nsid w:val="527551C7"/>
    <w:multiLevelType w:val="multilevel"/>
    <w:tmpl w:val="527551C7"/>
    <w:lvl w:ilvl="0" w:tentative="0">
      <w:start w:val="1"/>
      <w:numFmt w:val="decimal"/>
      <w:suff w:val="nothing"/>
      <w:lvlText w:val="%1."/>
      <w:lvlJc w:val="left"/>
      <w:pPr>
        <w:tabs>
          <w:tab w:val="left" w:pos="420"/>
        </w:tabs>
        <w:ind w:left="420" w:hanging="420"/>
      </w:pPr>
      <w:rPr>
        <w:rFonts w:hint="default" w:ascii="宋体" w:hAnsi="宋体" w:eastAsia="宋体" w:cs="宋体"/>
      </w:rPr>
    </w:lvl>
    <w:lvl w:ilvl="1" w:tentative="0">
      <w:start w:val="1"/>
      <w:numFmt w:val="decimal"/>
      <w:suff w:val="nothing"/>
      <w:lvlText w:val="%1.%2"/>
      <w:lvlJc w:val="left"/>
      <w:pPr>
        <w:tabs>
          <w:tab w:val="left" w:pos="0"/>
        </w:tabs>
        <w:ind w:left="420" w:hanging="420"/>
      </w:pPr>
      <w:rPr>
        <w:rFonts w:hint="default" w:ascii="宋体" w:hAnsi="宋体" w:eastAsia="宋体" w:cs="宋体"/>
      </w:rPr>
    </w:lvl>
    <w:lvl w:ilvl="2" w:tentative="0">
      <w:start w:val="1"/>
      <w:numFmt w:val="decimal"/>
      <w:suff w:val="nothing"/>
      <w:lvlText w:val="%1.%2.%3"/>
      <w:lvlJc w:val="left"/>
      <w:pPr>
        <w:tabs>
          <w:tab w:val="left" w:pos="0"/>
        </w:tabs>
        <w:ind w:left="420" w:hanging="420"/>
      </w:pPr>
      <w:rPr>
        <w:rFonts w:hint="default" w:ascii="宋体" w:hAnsi="宋体" w:eastAsia="宋体" w:cs="宋体"/>
        <w:b/>
        <w:bCs/>
        <w:sz w:val="24"/>
        <w:szCs w:val="24"/>
      </w:rPr>
    </w:lvl>
    <w:lvl w:ilvl="3" w:tentative="0">
      <w:start w:val="1"/>
      <w:numFmt w:val="decimal"/>
      <w:suff w:val="nothing"/>
      <w:lvlText w:val="%1.%2.%3.%4"/>
      <w:lvlJc w:val="left"/>
      <w:pPr>
        <w:tabs>
          <w:tab w:val="left" w:pos="0"/>
        </w:tabs>
        <w:ind w:left="420" w:hanging="420"/>
      </w:pPr>
      <w:rPr>
        <w:rFonts w:hint="default" w:ascii="宋体" w:hAnsi="宋体" w:eastAsia="宋体" w:cs="宋体"/>
        <w:b/>
      </w:rPr>
    </w:lvl>
    <w:lvl w:ilvl="4" w:tentative="0">
      <w:start w:val="1"/>
      <w:numFmt w:val="decimal"/>
      <w:suff w:val="nothing"/>
      <w:lvlText w:val="%5、"/>
      <w:lvlJc w:val="left"/>
      <w:pPr>
        <w:tabs>
          <w:tab w:val="left" w:pos="0"/>
        </w:tabs>
        <w:ind w:left="420" w:hanging="420"/>
      </w:pPr>
      <w:rPr>
        <w:rFonts w:hint="default" w:ascii="宋体" w:hAnsi="宋体" w:eastAsia="宋体" w:cs="宋体"/>
        <w:sz w:val="24"/>
        <w:szCs w:val="24"/>
      </w:rPr>
    </w:lvl>
    <w:lvl w:ilvl="5" w:tentative="0">
      <w:start w:val="1"/>
      <w:numFmt w:val="decimal"/>
      <w:lvlRestart w:val="3"/>
      <w:suff w:val="nothing"/>
      <w:lvlText w:val="（%6）"/>
      <w:lvlJc w:val="left"/>
      <w:pPr>
        <w:tabs>
          <w:tab w:val="left" w:pos="0"/>
        </w:tabs>
        <w:ind w:left="420" w:hanging="420"/>
      </w:pPr>
      <w:rPr>
        <w:rFonts w:hint="default" w:ascii="宋体" w:hAnsi="宋体" w:eastAsia="宋体" w:cs="宋体"/>
        <w:sz w:val="24"/>
        <w:szCs w:val="24"/>
      </w:rPr>
    </w:lvl>
    <w:lvl w:ilvl="6" w:tentative="0">
      <w:start w:val="1"/>
      <w:numFmt w:val="decimal"/>
      <w:lvlRestart w:val="2"/>
      <w:pStyle w:val="6"/>
      <w:suff w:val="nothing"/>
      <w:lvlText w:val="表%1.%2-%7 "/>
      <w:lvlJc w:val="left"/>
      <w:pPr>
        <w:tabs>
          <w:tab w:val="left" w:pos="0"/>
        </w:tabs>
        <w:ind w:left="420" w:hanging="420"/>
      </w:pPr>
      <w:rPr>
        <w:rFonts w:hint="default" w:ascii="宋体" w:hAnsi="宋体" w:eastAsia="宋体" w:cs="宋体"/>
      </w:rPr>
    </w:lvl>
    <w:lvl w:ilvl="7" w:tentative="0">
      <w:start w:val="1"/>
      <w:numFmt w:val="decimal"/>
      <w:lvlRestart w:val="2"/>
      <w:suff w:val="nothing"/>
      <w:lvlText w:val="图%1.%2-%8 "/>
      <w:lvlJc w:val="left"/>
      <w:pPr>
        <w:tabs>
          <w:tab w:val="left" w:pos="420"/>
        </w:tabs>
        <w:ind w:left="420" w:hanging="420"/>
      </w:pPr>
      <w:rPr>
        <w:rFonts w:hint="default" w:ascii="宋体" w:hAnsi="宋体" w:eastAsia="宋体" w:cs="宋体"/>
        <w:b/>
        <w:bCs/>
        <w:sz w:val="24"/>
        <w:szCs w:val="24"/>
      </w:rPr>
    </w:lvl>
    <w:lvl w:ilvl="8" w:tentative="0">
      <w:start w:val="1"/>
      <w:numFmt w:val="upperLetter"/>
      <w:lvlRestart w:val="6"/>
      <w:lvlText w:val="%9."/>
      <w:lvlJc w:val="left"/>
      <w:pPr>
        <w:tabs>
          <w:tab w:val="left" w:pos="420"/>
        </w:tabs>
        <w:ind w:left="420" w:hanging="420"/>
      </w:pPr>
      <w:rPr>
        <w:rFonts w:hint="default" w:ascii="宋体" w:hAnsi="宋体" w:eastAsia="宋体" w:cs="宋体"/>
        <w:sz w:val="24"/>
        <w:szCs w:val="24"/>
      </w:rPr>
    </w:lvl>
  </w:abstractNum>
  <w:abstractNum w:abstractNumId="12">
    <w:nsid w:val="7CB8586C"/>
    <w:multiLevelType w:val="singleLevel"/>
    <w:tmpl w:val="7CB8586C"/>
    <w:lvl w:ilvl="0" w:tentative="0">
      <w:start w:val="4"/>
      <w:numFmt w:val="chineseCounting"/>
      <w:suff w:val="nothing"/>
      <w:lvlText w:val="（%1）"/>
      <w:lvlJc w:val="left"/>
      <w:rPr>
        <w:rFonts w:hint="eastAsia"/>
      </w:rPr>
    </w:lvl>
  </w:abstractNum>
  <w:num w:numId="1">
    <w:abstractNumId w:val="11"/>
  </w:num>
  <w:num w:numId="2">
    <w:abstractNumId w:val="9"/>
  </w:num>
  <w:num w:numId="3">
    <w:abstractNumId w:val="6"/>
  </w:num>
  <w:num w:numId="4">
    <w:abstractNumId w:val="7"/>
  </w:num>
  <w:num w:numId="5">
    <w:abstractNumId w:val="12"/>
  </w:num>
  <w:num w:numId="6">
    <w:abstractNumId w:val="4"/>
  </w:num>
  <w:num w:numId="7">
    <w:abstractNumId w:val="8"/>
  </w:num>
  <w:num w:numId="8">
    <w:abstractNumId w:val="3"/>
  </w:num>
  <w:num w:numId="9">
    <w:abstractNumId w:val="5"/>
  </w:num>
  <w:num w:numId="10">
    <w:abstractNumId w:val="10"/>
  </w:num>
  <w:num w:numId="11">
    <w:abstractNumId w:val="1"/>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2YmUyZWRkNWFhNDE5MWU0Y2U1MDhiODA3ODg0NWYifQ=="/>
  </w:docVars>
  <w:rsids>
    <w:rsidRoot w:val="00172A27"/>
    <w:rsid w:val="000060B3"/>
    <w:rsid w:val="00017203"/>
    <w:rsid w:val="00021D97"/>
    <w:rsid w:val="00023436"/>
    <w:rsid w:val="000358B9"/>
    <w:rsid w:val="0004364B"/>
    <w:rsid w:val="000468BF"/>
    <w:rsid w:val="00051973"/>
    <w:rsid w:val="00057E92"/>
    <w:rsid w:val="00061B1F"/>
    <w:rsid w:val="000733C4"/>
    <w:rsid w:val="00074783"/>
    <w:rsid w:val="0008070B"/>
    <w:rsid w:val="000810AC"/>
    <w:rsid w:val="00081A02"/>
    <w:rsid w:val="00082231"/>
    <w:rsid w:val="00085191"/>
    <w:rsid w:val="000875CF"/>
    <w:rsid w:val="00092D38"/>
    <w:rsid w:val="0009377B"/>
    <w:rsid w:val="000A20C9"/>
    <w:rsid w:val="000A239F"/>
    <w:rsid w:val="000B058F"/>
    <w:rsid w:val="000B4467"/>
    <w:rsid w:val="000B4DB9"/>
    <w:rsid w:val="000C09AC"/>
    <w:rsid w:val="000C767F"/>
    <w:rsid w:val="000D5A44"/>
    <w:rsid w:val="000E3ED2"/>
    <w:rsid w:val="000E43D4"/>
    <w:rsid w:val="00113A9C"/>
    <w:rsid w:val="001166D1"/>
    <w:rsid w:val="00131F42"/>
    <w:rsid w:val="001357F1"/>
    <w:rsid w:val="00140FA8"/>
    <w:rsid w:val="00142FEB"/>
    <w:rsid w:val="00143A2D"/>
    <w:rsid w:val="00145A41"/>
    <w:rsid w:val="00151675"/>
    <w:rsid w:val="00152B52"/>
    <w:rsid w:val="001566C9"/>
    <w:rsid w:val="00157435"/>
    <w:rsid w:val="00157D15"/>
    <w:rsid w:val="0016200A"/>
    <w:rsid w:val="0017258B"/>
    <w:rsid w:val="0017504D"/>
    <w:rsid w:val="0017671A"/>
    <w:rsid w:val="00177422"/>
    <w:rsid w:val="00181916"/>
    <w:rsid w:val="00184590"/>
    <w:rsid w:val="001858E0"/>
    <w:rsid w:val="001870D1"/>
    <w:rsid w:val="0018781E"/>
    <w:rsid w:val="0019262D"/>
    <w:rsid w:val="001A1208"/>
    <w:rsid w:val="001A1B35"/>
    <w:rsid w:val="001A48A2"/>
    <w:rsid w:val="001A6F61"/>
    <w:rsid w:val="001B72B8"/>
    <w:rsid w:val="001C0738"/>
    <w:rsid w:val="001C45D5"/>
    <w:rsid w:val="001C6502"/>
    <w:rsid w:val="001C69B3"/>
    <w:rsid w:val="001D5595"/>
    <w:rsid w:val="001D7874"/>
    <w:rsid w:val="001D7F22"/>
    <w:rsid w:val="001F0F17"/>
    <w:rsid w:val="001F3347"/>
    <w:rsid w:val="001F69E4"/>
    <w:rsid w:val="00205A99"/>
    <w:rsid w:val="002125B4"/>
    <w:rsid w:val="002155B8"/>
    <w:rsid w:val="00224839"/>
    <w:rsid w:val="002249B2"/>
    <w:rsid w:val="00226574"/>
    <w:rsid w:val="002278EC"/>
    <w:rsid w:val="00231F93"/>
    <w:rsid w:val="0023280E"/>
    <w:rsid w:val="00232CBD"/>
    <w:rsid w:val="0023509A"/>
    <w:rsid w:val="0023568C"/>
    <w:rsid w:val="002377D1"/>
    <w:rsid w:val="00244342"/>
    <w:rsid w:val="002506BC"/>
    <w:rsid w:val="0025243C"/>
    <w:rsid w:val="00254345"/>
    <w:rsid w:val="00264557"/>
    <w:rsid w:val="002664A9"/>
    <w:rsid w:val="002805AB"/>
    <w:rsid w:val="00284204"/>
    <w:rsid w:val="00291773"/>
    <w:rsid w:val="002A13A3"/>
    <w:rsid w:val="002A168C"/>
    <w:rsid w:val="002A3DC7"/>
    <w:rsid w:val="002B49E2"/>
    <w:rsid w:val="002B7B00"/>
    <w:rsid w:val="002B7C44"/>
    <w:rsid w:val="002C2B17"/>
    <w:rsid w:val="002C5150"/>
    <w:rsid w:val="002D3DD0"/>
    <w:rsid w:val="002D5A90"/>
    <w:rsid w:val="002E14E8"/>
    <w:rsid w:val="002E1F3A"/>
    <w:rsid w:val="002E298A"/>
    <w:rsid w:val="002F7BD1"/>
    <w:rsid w:val="00301978"/>
    <w:rsid w:val="0030332C"/>
    <w:rsid w:val="003051C2"/>
    <w:rsid w:val="00312296"/>
    <w:rsid w:val="00314F0E"/>
    <w:rsid w:val="00321D8E"/>
    <w:rsid w:val="00325928"/>
    <w:rsid w:val="003309AB"/>
    <w:rsid w:val="00332863"/>
    <w:rsid w:val="0033684D"/>
    <w:rsid w:val="00337B42"/>
    <w:rsid w:val="0034069B"/>
    <w:rsid w:val="00340E42"/>
    <w:rsid w:val="00341B42"/>
    <w:rsid w:val="003432DC"/>
    <w:rsid w:val="0034348F"/>
    <w:rsid w:val="003519B1"/>
    <w:rsid w:val="00356653"/>
    <w:rsid w:val="0035743F"/>
    <w:rsid w:val="00357BE2"/>
    <w:rsid w:val="0036170C"/>
    <w:rsid w:val="00366E0F"/>
    <w:rsid w:val="00381A72"/>
    <w:rsid w:val="00382653"/>
    <w:rsid w:val="00384676"/>
    <w:rsid w:val="00390857"/>
    <w:rsid w:val="003A4BF3"/>
    <w:rsid w:val="003B420D"/>
    <w:rsid w:val="003C6C16"/>
    <w:rsid w:val="003D794D"/>
    <w:rsid w:val="003E3058"/>
    <w:rsid w:val="003E6910"/>
    <w:rsid w:val="003E76A9"/>
    <w:rsid w:val="003F0809"/>
    <w:rsid w:val="003F3BC4"/>
    <w:rsid w:val="003F6A8C"/>
    <w:rsid w:val="003F755C"/>
    <w:rsid w:val="00404663"/>
    <w:rsid w:val="00406F01"/>
    <w:rsid w:val="00416D50"/>
    <w:rsid w:val="00416FD5"/>
    <w:rsid w:val="00417772"/>
    <w:rsid w:val="00420E6A"/>
    <w:rsid w:val="00425A9E"/>
    <w:rsid w:val="00426D6B"/>
    <w:rsid w:val="00431E6C"/>
    <w:rsid w:val="00433CE7"/>
    <w:rsid w:val="00452738"/>
    <w:rsid w:val="00456091"/>
    <w:rsid w:val="004577FD"/>
    <w:rsid w:val="00466321"/>
    <w:rsid w:val="00484B9B"/>
    <w:rsid w:val="004855F6"/>
    <w:rsid w:val="004859C3"/>
    <w:rsid w:val="0048661E"/>
    <w:rsid w:val="00494670"/>
    <w:rsid w:val="004A0E84"/>
    <w:rsid w:val="004A3823"/>
    <w:rsid w:val="004A41E7"/>
    <w:rsid w:val="004A6BCB"/>
    <w:rsid w:val="004C5FBA"/>
    <w:rsid w:val="004E6946"/>
    <w:rsid w:val="004F1AD8"/>
    <w:rsid w:val="004F3FE3"/>
    <w:rsid w:val="005001B3"/>
    <w:rsid w:val="005039CB"/>
    <w:rsid w:val="0050558F"/>
    <w:rsid w:val="00506286"/>
    <w:rsid w:val="00510813"/>
    <w:rsid w:val="00511990"/>
    <w:rsid w:val="00511DE0"/>
    <w:rsid w:val="00514870"/>
    <w:rsid w:val="00514B9B"/>
    <w:rsid w:val="00517F02"/>
    <w:rsid w:val="00524303"/>
    <w:rsid w:val="005258A2"/>
    <w:rsid w:val="00531AE9"/>
    <w:rsid w:val="005401AE"/>
    <w:rsid w:val="00542E07"/>
    <w:rsid w:val="00542F37"/>
    <w:rsid w:val="00545424"/>
    <w:rsid w:val="00554A7B"/>
    <w:rsid w:val="0055572C"/>
    <w:rsid w:val="0056106A"/>
    <w:rsid w:val="005720AE"/>
    <w:rsid w:val="005863BF"/>
    <w:rsid w:val="0059251B"/>
    <w:rsid w:val="00593596"/>
    <w:rsid w:val="00594D77"/>
    <w:rsid w:val="005969E4"/>
    <w:rsid w:val="005A06B7"/>
    <w:rsid w:val="005A1759"/>
    <w:rsid w:val="005A68A7"/>
    <w:rsid w:val="005A7A47"/>
    <w:rsid w:val="005B048F"/>
    <w:rsid w:val="005B4853"/>
    <w:rsid w:val="005B4CCE"/>
    <w:rsid w:val="005B7212"/>
    <w:rsid w:val="005D1598"/>
    <w:rsid w:val="005D36AB"/>
    <w:rsid w:val="00610795"/>
    <w:rsid w:val="00617CC3"/>
    <w:rsid w:val="00621C19"/>
    <w:rsid w:val="00636131"/>
    <w:rsid w:val="006366A1"/>
    <w:rsid w:val="006377A6"/>
    <w:rsid w:val="00637A3D"/>
    <w:rsid w:val="006411EF"/>
    <w:rsid w:val="006748B8"/>
    <w:rsid w:val="006775C3"/>
    <w:rsid w:val="0068612A"/>
    <w:rsid w:val="00690174"/>
    <w:rsid w:val="0069290A"/>
    <w:rsid w:val="00697145"/>
    <w:rsid w:val="0069775A"/>
    <w:rsid w:val="00697813"/>
    <w:rsid w:val="006A3EE8"/>
    <w:rsid w:val="006A72BF"/>
    <w:rsid w:val="006B03F2"/>
    <w:rsid w:val="006B37DC"/>
    <w:rsid w:val="006B3FB2"/>
    <w:rsid w:val="006B4F68"/>
    <w:rsid w:val="006C0592"/>
    <w:rsid w:val="006C272E"/>
    <w:rsid w:val="006C5479"/>
    <w:rsid w:val="006D13B5"/>
    <w:rsid w:val="006E12FF"/>
    <w:rsid w:val="006E607E"/>
    <w:rsid w:val="00706C5D"/>
    <w:rsid w:val="007140D3"/>
    <w:rsid w:val="0071764C"/>
    <w:rsid w:val="00732922"/>
    <w:rsid w:val="0075162E"/>
    <w:rsid w:val="00754034"/>
    <w:rsid w:val="00756556"/>
    <w:rsid w:val="007618C4"/>
    <w:rsid w:val="0076533C"/>
    <w:rsid w:val="00767980"/>
    <w:rsid w:val="00770B19"/>
    <w:rsid w:val="0077463F"/>
    <w:rsid w:val="007836EA"/>
    <w:rsid w:val="00784975"/>
    <w:rsid w:val="00784CDA"/>
    <w:rsid w:val="007906C4"/>
    <w:rsid w:val="007940EA"/>
    <w:rsid w:val="007967E8"/>
    <w:rsid w:val="007A02E6"/>
    <w:rsid w:val="007A2170"/>
    <w:rsid w:val="007A22BF"/>
    <w:rsid w:val="007A3323"/>
    <w:rsid w:val="007A5357"/>
    <w:rsid w:val="007B1C03"/>
    <w:rsid w:val="007B72B8"/>
    <w:rsid w:val="007B7A58"/>
    <w:rsid w:val="007C21B5"/>
    <w:rsid w:val="007D7965"/>
    <w:rsid w:val="007E02CA"/>
    <w:rsid w:val="007E4BD2"/>
    <w:rsid w:val="00801393"/>
    <w:rsid w:val="00802F88"/>
    <w:rsid w:val="0081293E"/>
    <w:rsid w:val="00815465"/>
    <w:rsid w:val="00817E9A"/>
    <w:rsid w:val="008306BD"/>
    <w:rsid w:val="00831A80"/>
    <w:rsid w:val="00833743"/>
    <w:rsid w:val="008340A4"/>
    <w:rsid w:val="008369EE"/>
    <w:rsid w:val="0085245E"/>
    <w:rsid w:val="008526C9"/>
    <w:rsid w:val="00852F44"/>
    <w:rsid w:val="0087135F"/>
    <w:rsid w:val="00872D94"/>
    <w:rsid w:val="00880364"/>
    <w:rsid w:val="0088715D"/>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5176"/>
    <w:rsid w:val="0091736D"/>
    <w:rsid w:val="0092486F"/>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22D"/>
    <w:rsid w:val="009A2628"/>
    <w:rsid w:val="009A3200"/>
    <w:rsid w:val="009B0897"/>
    <w:rsid w:val="009B7BD9"/>
    <w:rsid w:val="009C7DD5"/>
    <w:rsid w:val="009E227D"/>
    <w:rsid w:val="009E5019"/>
    <w:rsid w:val="009F7EDA"/>
    <w:rsid w:val="00A004CD"/>
    <w:rsid w:val="00A007AD"/>
    <w:rsid w:val="00A01A91"/>
    <w:rsid w:val="00A04F1B"/>
    <w:rsid w:val="00A0501B"/>
    <w:rsid w:val="00A14947"/>
    <w:rsid w:val="00A32A83"/>
    <w:rsid w:val="00A368DB"/>
    <w:rsid w:val="00A37344"/>
    <w:rsid w:val="00A423AA"/>
    <w:rsid w:val="00A52207"/>
    <w:rsid w:val="00A53EC6"/>
    <w:rsid w:val="00A55A1E"/>
    <w:rsid w:val="00A55C0F"/>
    <w:rsid w:val="00A55C97"/>
    <w:rsid w:val="00A67FEE"/>
    <w:rsid w:val="00A8713F"/>
    <w:rsid w:val="00A90BA1"/>
    <w:rsid w:val="00A97A9A"/>
    <w:rsid w:val="00AA0671"/>
    <w:rsid w:val="00AA2388"/>
    <w:rsid w:val="00AA2531"/>
    <w:rsid w:val="00AA5FC6"/>
    <w:rsid w:val="00AB1E09"/>
    <w:rsid w:val="00AB3058"/>
    <w:rsid w:val="00AB5330"/>
    <w:rsid w:val="00AB7747"/>
    <w:rsid w:val="00AC14CE"/>
    <w:rsid w:val="00AC2A56"/>
    <w:rsid w:val="00AD055E"/>
    <w:rsid w:val="00AD47A7"/>
    <w:rsid w:val="00AF0CBF"/>
    <w:rsid w:val="00AF257F"/>
    <w:rsid w:val="00AF33CF"/>
    <w:rsid w:val="00AF4D50"/>
    <w:rsid w:val="00AF6179"/>
    <w:rsid w:val="00B01A8D"/>
    <w:rsid w:val="00B10893"/>
    <w:rsid w:val="00B1295A"/>
    <w:rsid w:val="00B13641"/>
    <w:rsid w:val="00B157F1"/>
    <w:rsid w:val="00B20A45"/>
    <w:rsid w:val="00B22C5C"/>
    <w:rsid w:val="00B24F30"/>
    <w:rsid w:val="00B31ABF"/>
    <w:rsid w:val="00B33BE3"/>
    <w:rsid w:val="00B37150"/>
    <w:rsid w:val="00B466BB"/>
    <w:rsid w:val="00B47037"/>
    <w:rsid w:val="00B53B5D"/>
    <w:rsid w:val="00B6055E"/>
    <w:rsid w:val="00B6317D"/>
    <w:rsid w:val="00B662A7"/>
    <w:rsid w:val="00B7723F"/>
    <w:rsid w:val="00B80534"/>
    <w:rsid w:val="00B8433C"/>
    <w:rsid w:val="00B87491"/>
    <w:rsid w:val="00B9755B"/>
    <w:rsid w:val="00BA29E9"/>
    <w:rsid w:val="00BA7142"/>
    <w:rsid w:val="00BB237C"/>
    <w:rsid w:val="00BB41A3"/>
    <w:rsid w:val="00BB7988"/>
    <w:rsid w:val="00BC32DC"/>
    <w:rsid w:val="00BC35B6"/>
    <w:rsid w:val="00BC7DA0"/>
    <w:rsid w:val="00BD1B51"/>
    <w:rsid w:val="00BD4596"/>
    <w:rsid w:val="00BE1405"/>
    <w:rsid w:val="00BE312D"/>
    <w:rsid w:val="00BF02D7"/>
    <w:rsid w:val="00BF1C20"/>
    <w:rsid w:val="00C10578"/>
    <w:rsid w:val="00C135BC"/>
    <w:rsid w:val="00C15C95"/>
    <w:rsid w:val="00C2596A"/>
    <w:rsid w:val="00C27537"/>
    <w:rsid w:val="00C328FE"/>
    <w:rsid w:val="00C33507"/>
    <w:rsid w:val="00C437B6"/>
    <w:rsid w:val="00C4409D"/>
    <w:rsid w:val="00C44E72"/>
    <w:rsid w:val="00C45A06"/>
    <w:rsid w:val="00C47E5B"/>
    <w:rsid w:val="00C55ED7"/>
    <w:rsid w:val="00C61E4B"/>
    <w:rsid w:val="00C64BFF"/>
    <w:rsid w:val="00C704E9"/>
    <w:rsid w:val="00C763C9"/>
    <w:rsid w:val="00C774E3"/>
    <w:rsid w:val="00C80057"/>
    <w:rsid w:val="00C82232"/>
    <w:rsid w:val="00C82913"/>
    <w:rsid w:val="00C83D41"/>
    <w:rsid w:val="00C84172"/>
    <w:rsid w:val="00C863D8"/>
    <w:rsid w:val="00C972B1"/>
    <w:rsid w:val="00CA05EF"/>
    <w:rsid w:val="00CA2CCE"/>
    <w:rsid w:val="00CA43FD"/>
    <w:rsid w:val="00CA7EF8"/>
    <w:rsid w:val="00CC489B"/>
    <w:rsid w:val="00CC668F"/>
    <w:rsid w:val="00CD2BCD"/>
    <w:rsid w:val="00CD3A4C"/>
    <w:rsid w:val="00CE10E9"/>
    <w:rsid w:val="00CE2910"/>
    <w:rsid w:val="00CE5393"/>
    <w:rsid w:val="00CF36BE"/>
    <w:rsid w:val="00CF6000"/>
    <w:rsid w:val="00D003F3"/>
    <w:rsid w:val="00D03572"/>
    <w:rsid w:val="00D0364F"/>
    <w:rsid w:val="00D06834"/>
    <w:rsid w:val="00D308ED"/>
    <w:rsid w:val="00D36D86"/>
    <w:rsid w:val="00D41B01"/>
    <w:rsid w:val="00D428AA"/>
    <w:rsid w:val="00D50A34"/>
    <w:rsid w:val="00D53EFA"/>
    <w:rsid w:val="00D731C6"/>
    <w:rsid w:val="00D857C9"/>
    <w:rsid w:val="00D94A7C"/>
    <w:rsid w:val="00D95896"/>
    <w:rsid w:val="00DA6DC9"/>
    <w:rsid w:val="00DB2983"/>
    <w:rsid w:val="00DB5FAB"/>
    <w:rsid w:val="00DB7F12"/>
    <w:rsid w:val="00DC1257"/>
    <w:rsid w:val="00DC3DC0"/>
    <w:rsid w:val="00DC5B2B"/>
    <w:rsid w:val="00DC68C9"/>
    <w:rsid w:val="00DD318D"/>
    <w:rsid w:val="00DF2E12"/>
    <w:rsid w:val="00DF514A"/>
    <w:rsid w:val="00DF6690"/>
    <w:rsid w:val="00DF6804"/>
    <w:rsid w:val="00E0358D"/>
    <w:rsid w:val="00E04323"/>
    <w:rsid w:val="00E070A2"/>
    <w:rsid w:val="00E10FF2"/>
    <w:rsid w:val="00E2656A"/>
    <w:rsid w:val="00E412D0"/>
    <w:rsid w:val="00E427A5"/>
    <w:rsid w:val="00E531E7"/>
    <w:rsid w:val="00E56322"/>
    <w:rsid w:val="00E60982"/>
    <w:rsid w:val="00E60A9C"/>
    <w:rsid w:val="00E6112B"/>
    <w:rsid w:val="00E62C62"/>
    <w:rsid w:val="00E654C1"/>
    <w:rsid w:val="00E65D97"/>
    <w:rsid w:val="00E70159"/>
    <w:rsid w:val="00E72A5A"/>
    <w:rsid w:val="00E73354"/>
    <w:rsid w:val="00E7438D"/>
    <w:rsid w:val="00E816FC"/>
    <w:rsid w:val="00E900FC"/>
    <w:rsid w:val="00E9242D"/>
    <w:rsid w:val="00EB4547"/>
    <w:rsid w:val="00EB5255"/>
    <w:rsid w:val="00EB5C47"/>
    <w:rsid w:val="00ED0639"/>
    <w:rsid w:val="00ED5578"/>
    <w:rsid w:val="00EF4755"/>
    <w:rsid w:val="00EF7135"/>
    <w:rsid w:val="00EF7789"/>
    <w:rsid w:val="00F027DB"/>
    <w:rsid w:val="00F14A7A"/>
    <w:rsid w:val="00F1740A"/>
    <w:rsid w:val="00F17CBB"/>
    <w:rsid w:val="00F22985"/>
    <w:rsid w:val="00F22B82"/>
    <w:rsid w:val="00F3383E"/>
    <w:rsid w:val="00F465A7"/>
    <w:rsid w:val="00F50B7C"/>
    <w:rsid w:val="00F550E6"/>
    <w:rsid w:val="00F561D1"/>
    <w:rsid w:val="00F74345"/>
    <w:rsid w:val="00F759A6"/>
    <w:rsid w:val="00F80A0A"/>
    <w:rsid w:val="00F82B19"/>
    <w:rsid w:val="00F9212D"/>
    <w:rsid w:val="00F965DA"/>
    <w:rsid w:val="00FA34CD"/>
    <w:rsid w:val="00FA3786"/>
    <w:rsid w:val="00FA406A"/>
    <w:rsid w:val="00FA5236"/>
    <w:rsid w:val="00FB503A"/>
    <w:rsid w:val="00FB516C"/>
    <w:rsid w:val="00FC1F2C"/>
    <w:rsid w:val="00FD0236"/>
    <w:rsid w:val="00FD0CFD"/>
    <w:rsid w:val="00FD18F4"/>
    <w:rsid w:val="00FD54DB"/>
    <w:rsid w:val="00FD60B0"/>
    <w:rsid w:val="00FD619F"/>
    <w:rsid w:val="00FE09AA"/>
    <w:rsid w:val="01290F7E"/>
    <w:rsid w:val="015D1E09"/>
    <w:rsid w:val="01883956"/>
    <w:rsid w:val="01D23588"/>
    <w:rsid w:val="02485FE2"/>
    <w:rsid w:val="02697903"/>
    <w:rsid w:val="0273010D"/>
    <w:rsid w:val="027D2D3A"/>
    <w:rsid w:val="02A80DC8"/>
    <w:rsid w:val="02D91E1A"/>
    <w:rsid w:val="02DF2F1D"/>
    <w:rsid w:val="02F96569"/>
    <w:rsid w:val="030F33C5"/>
    <w:rsid w:val="032D039F"/>
    <w:rsid w:val="03353615"/>
    <w:rsid w:val="035C7B20"/>
    <w:rsid w:val="036D755D"/>
    <w:rsid w:val="039C3694"/>
    <w:rsid w:val="039E5752"/>
    <w:rsid w:val="03BA4073"/>
    <w:rsid w:val="03D251BA"/>
    <w:rsid w:val="03EA1F57"/>
    <w:rsid w:val="03EA7B21"/>
    <w:rsid w:val="04094F46"/>
    <w:rsid w:val="042C0EBC"/>
    <w:rsid w:val="0474154B"/>
    <w:rsid w:val="04770389"/>
    <w:rsid w:val="049F13F9"/>
    <w:rsid w:val="04BE6631"/>
    <w:rsid w:val="04D213A5"/>
    <w:rsid w:val="04D330E5"/>
    <w:rsid w:val="04FC457E"/>
    <w:rsid w:val="05354A1C"/>
    <w:rsid w:val="055F72D3"/>
    <w:rsid w:val="05682006"/>
    <w:rsid w:val="0595291C"/>
    <w:rsid w:val="059D2298"/>
    <w:rsid w:val="05C87DFE"/>
    <w:rsid w:val="05F83EAE"/>
    <w:rsid w:val="060729AE"/>
    <w:rsid w:val="06267AAE"/>
    <w:rsid w:val="063E7D85"/>
    <w:rsid w:val="064B252D"/>
    <w:rsid w:val="06CD3785"/>
    <w:rsid w:val="06E718C8"/>
    <w:rsid w:val="07293586"/>
    <w:rsid w:val="07295285"/>
    <w:rsid w:val="073E4934"/>
    <w:rsid w:val="073E6F3C"/>
    <w:rsid w:val="074E4C59"/>
    <w:rsid w:val="07546908"/>
    <w:rsid w:val="07595F4D"/>
    <w:rsid w:val="07636392"/>
    <w:rsid w:val="076E3F95"/>
    <w:rsid w:val="07770C56"/>
    <w:rsid w:val="07802408"/>
    <w:rsid w:val="07A31EA1"/>
    <w:rsid w:val="07B657FA"/>
    <w:rsid w:val="07C5140B"/>
    <w:rsid w:val="080D2DB2"/>
    <w:rsid w:val="08986B20"/>
    <w:rsid w:val="08EB5D79"/>
    <w:rsid w:val="0900585B"/>
    <w:rsid w:val="092169F2"/>
    <w:rsid w:val="092217DD"/>
    <w:rsid w:val="093A7294"/>
    <w:rsid w:val="09476F2F"/>
    <w:rsid w:val="094840A2"/>
    <w:rsid w:val="0957434B"/>
    <w:rsid w:val="09836ED1"/>
    <w:rsid w:val="09A067F8"/>
    <w:rsid w:val="09BC2EA6"/>
    <w:rsid w:val="09EE0F42"/>
    <w:rsid w:val="09EF6E5B"/>
    <w:rsid w:val="0A263993"/>
    <w:rsid w:val="0A2D3AC2"/>
    <w:rsid w:val="0A4D56E8"/>
    <w:rsid w:val="0A556D30"/>
    <w:rsid w:val="0A5613DB"/>
    <w:rsid w:val="0A901F14"/>
    <w:rsid w:val="0A9237A4"/>
    <w:rsid w:val="0A943009"/>
    <w:rsid w:val="0AA755DF"/>
    <w:rsid w:val="0AAD5BA8"/>
    <w:rsid w:val="0AC71D8E"/>
    <w:rsid w:val="0B120D44"/>
    <w:rsid w:val="0B270413"/>
    <w:rsid w:val="0B270E55"/>
    <w:rsid w:val="0B387C38"/>
    <w:rsid w:val="0B573C33"/>
    <w:rsid w:val="0B6B6272"/>
    <w:rsid w:val="0B7A42BB"/>
    <w:rsid w:val="0B7F63DF"/>
    <w:rsid w:val="0B8909A2"/>
    <w:rsid w:val="0B942391"/>
    <w:rsid w:val="0BCC07C9"/>
    <w:rsid w:val="0BD27BF6"/>
    <w:rsid w:val="0BF83A12"/>
    <w:rsid w:val="0BFC5F0B"/>
    <w:rsid w:val="0C2915D1"/>
    <w:rsid w:val="0C3B3C7D"/>
    <w:rsid w:val="0C782EF0"/>
    <w:rsid w:val="0C982164"/>
    <w:rsid w:val="0CAB2EAE"/>
    <w:rsid w:val="0D2A7BCC"/>
    <w:rsid w:val="0D5D5271"/>
    <w:rsid w:val="0D621C7D"/>
    <w:rsid w:val="0D7E4C24"/>
    <w:rsid w:val="0DD506AB"/>
    <w:rsid w:val="0DD56120"/>
    <w:rsid w:val="0E564EFF"/>
    <w:rsid w:val="0E63372C"/>
    <w:rsid w:val="0E73034D"/>
    <w:rsid w:val="0EAA135B"/>
    <w:rsid w:val="0EE4486D"/>
    <w:rsid w:val="0F130CAE"/>
    <w:rsid w:val="0F13775A"/>
    <w:rsid w:val="0F1C63CF"/>
    <w:rsid w:val="0F410668"/>
    <w:rsid w:val="0F5F45FE"/>
    <w:rsid w:val="0F763723"/>
    <w:rsid w:val="0F9A112B"/>
    <w:rsid w:val="0FA22D88"/>
    <w:rsid w:val="0FED3476"/>
    <w:rsid w:val="1060510E"/>
    <w:rsid w:val="106D2F64"/>
    <w:rsid w:val="1072284A"/>
    <w:rsid w:val="1072459B"/>
    <w:rsid w:val="10994DDC"/>
    <w:rsid w:val="10AF7845"/>
    <w:rsid w:val="10B63710"/>
    <w:rsid w:val="10F10820"/>
    <w:rsid w:val="111032C8"/>
    <w:rsid w:val="111C2F7A"/>
    <w:rsid w:val="11665CA1"/>
    <w:rsid w:val="11A90D64"/>
    <w:rsid w:val="11AF0A1A"/>
    <w:rsid w:val="11C832AD"/>
    <w:rsid w:val="122E326D"/>
    <w:rsid w:val="12880310"/>
    <w:rsid w:val="12922832"/>
    <w:rsid w:val="129640D0"/>
    <w:rsid w:val="12CD3471"/>
    <w:rsid w:val="12DC61B1"/>
    <w:rsid w:val="13951726"/>
    <w:rsid w:val="13BD04CC"/>
    <w:rsid w:val="13F7217D"/>
    <w:rsid w:val="140E01AF"/>
    <w:rsid w:val="142B65FA"/>
    <w:rsid w:val="14326265"/>
    <w:rsid w:val="14396509"/>
    <w:rsid w:val="143F60A1"/>
    <w:rsid w:val="14567DAE"/>
    <w:rsid w:val="1482435B"/>
    <w:rsid w:val="14A47411"/>
    <w:rsid w:val="14D2172F"/>
    <w:rsid w:val="14DD2C3C"/>
    <w:rsid w:val="14ED1678"/>
    <w:rsid w:val="14F746E8"/>
    <w:rsid w:val="151E1EC6"/>
    <w:rsid w:val="154143D4"/>
    <w:rsid w:val="15681628"/>
    <w:rsid w:val="159473FD"/>
    <w:rsid w:val="15A136E4"/>
    <w:rsid w:val="160812E1"/>
    <w:rsid w:val="16087E1D"/>
    <w:rsid w:val="16BE70B1"/>
    <w:rsid w:val="16CA6F55"/>
    <w:rsid w:val="16F2378A"/>
    <w:rsid w:val="16FA41D9"/>
    <w:rsid w:val="17125CEF"/>
    <w:rsid w:val="17296E1D"/>
    <w:rsid w:val="176D5C4E"/>
    <w:rsid w:val="17701D14"/>
    <w:rsid w:val="17735226"/>
    <w:rsid w:val="177F66C1"/>
    <w:rsid w:val="179D7CAF"/>
    <w:rsid w:val="17C074F9"/>
    <w:rsid w:val="17E91997"/>
    <w:rsid w:val="17E9545F"/>
    <w:rsid w:val="180E46E1"/>
    <w:rsid w:val="182D3DF1"/>
    <w:rsid w:val="187F3422"/>
    <w:rsid w:val="18826BBC"/>
    <w:rsid w:val="1896234C"/>
    <w:rsid w:val="189F624C"/>
    <w:rsid w:val="18B17A2B"/>
    <w:rsid w:val="18BC2384"/>
    <w:rsid w:val="18BD7D5F"/>
    <w:rsid w:val="18F7312C"/>
    <w:rsid w:val="19123311"/>
    <w:rsid w:val="19375EE1"/>
    <w:rsid w:val="19742C91"/>
    <w:rsid w:val="197D2434"/>
    <w:rsid w:val="19BD4C92"/>
    <w:rsid w:val="19D57D93"/>
    <w:rsid w:val="19D7368D"/>
    <w:rsid w:val="1A192031"/>
    <w:rsid w:val="1A1C66C0"/>
    <w:rsid w:val="1A261F35"/>
    <w:rsid w:val="1A276826"/>
    <w:rsid w:val="1A42393B"/>
    <w:rsid w:val="1A5F7CFF"/>
    <w:rsid w:val="1A714D8B"/>
    <w:rsid w:val="1A8E174C"/>
    <w:rsid w:val="1AAA3C25"/>
    <w:rsid w:val="1AAD45DE"/>
    <w:rsid w:val="1AC66094"/>
    <w:rsid w:val="1B0329B1"/>
    <w:rsid w:val="1B046F80"/>
    <w:rsid w:val="1B2C7C61"/>
    <w:rsid w:val="1B3267B5"/>
    <w:rsid w:val="1B3F1B56"/>
    <w:rsid w:val="1B40161D"/>
    <w:rsid w:val="1B441859"/>
    <w:rsid w:val="1B457759"/>
    <w:rsid w:val="1B6606B1"/>
    <w:rsid w:val="1BAD27DE"/>
    <w:rsid w:val="1BCC2910"/>
    <w:rsid w:val="1BD04C39"/>
    <w:rsid w:val="1BD72658"/>
    <w:rsid w:val="1BF701FF"/>
    <w:rsid w:val="1BF87BB9"/>
    <w:rsid w:val="1C35495A"/>
    <w:rsid w:val="1C5E7925"/>
    <w:rsid w:val="1C5F2F08"/>
    <w:rsid w:val="1C813BEE"/>
    <w:rsid w:val="1C87555C"/>
    <w:rsid w:val="1CC22CCE"/>
    <w:rsid w:val="1CFD070F"/>
    <w:rsid w:val="1D004B19"/>
    <w:rsid w:val="1D3E677D"/>
    <w:rsid w:val="1D483AC5"/>
    <w:rsid w:val="1D5F6196"/>
    <w:rsid w:val="1D5F77B4"/>
    <w:rsid w:val="1D6132A5"/>
    <w:rsid w:val="1D73025B"/>
    <w:rsid w:val="1D871BE6"/>
    <w:rsid w:val="1D8E56D5"/>
    <w:rsid w:val="1D9C3D13"/>
    <w:rsid w:val="1DEE3F9D"/>
    <w:rsid w:val="1E064373"/>
    <w:rsid w:val="1E29364D"/>
    <w:rsid w:val="1E2E039F"/>
    <w:rsid w:val="1E34355B"/>
    <w:rsid w:val="1E56072A"/>
    <w:rsid w:val="1E7A43DA"/>
    <w:rsid w:val="1E8763FF"/>
    <w:rsid w:val="1F0B67B0"/>
    <w:rsid w:val="1F1203C9"/>
    <w:rsid w:val="1F327D4A"/>
    <w:rsid w:val="1F3F01AB"/>
    <w:rsid w:val="1F68660A"/>
    <w:rsid w:val="1F7E36BF"/>
    <w:rsid w:val="1F842ECB"/>
    <w:rsid w:val="1FC1593D"/>
    <w:rsid w:val="1FD64530"/>
    <w:rsid w:val="1FE12702"/>
    <w:rsid w:val="1FE7539E"/>
    <w:rsid w:val="205E674A"/>
    <w:rsid w:val="20671BE0"/>
    <w:rsid w:val="207E073E"/>
    <w:rsid w:val="20963CB8"/>
    <w:rsid w:val="20A81A1B"/>
    <w:rsid w:val="20B07FB6"/>
    <w:rsid w:val="20B646FB"/>
    <w:rsid w:val="20BD612A"/>
    <w:rsid w:val="211B39F2"/>
    <w:rsid w:val="21220BCC"/>
    <w:rsid w:val="213458C4"/>
    <w:rsid w:val="213B74B1"/>
    <w:rsid w:val="215A2310"/>
    <w:rsid w:val="21746B37"/>
    <w:rsid w:val="2186187E"/>
    <w:rsid w:val="21A50B34"/>
    <w:rsid w:val="21CC31CC"/>
    <w:rsid w:val="21DE318A"/>
    <w:rsid w:val="21EF5B80"/>
    <w:rsid w:val="22576990"/>
    <w:rsid w:val="225F0C00"/>
    <w:rsid w:val="22CC1B8D"/>
    <w:rsid w:val="22F47480"/>
    <w:rsid w:val="22FE746F"/>
    <w:rsid w:val="230C5FA4"/>
    <w:rsid w:val="23900A1E"/>
    <w:rsid w:val="23A07159"/>
    <w:rsid w:val="23B53DB1"/>
    <w:rsid w:val="23DE1C48"/>
    <w:rsid w:val="23DF3862"/>
    <w:rsid w:val="240210CD"/>
    <w:rsid w:val="24052A09"/>
    <w:rsid w:val="24055DE6"/>
    <w:rsid w:val="2431204A"/>
    <w:rsid w:val="24394AC0"/>
    <w:rsid w:val="2458157E"/>
    <w:rsid w:val="248A7872"/>
    <w:rsid w:val="24BF09F7"/>
    <w:rsid w:val="24C2609F"/>
    <w:rsid w:val="24C916F0"/>
    <w:rsid w:val="24D44611"/>
    <w:rsid w:val="24D804D4"/>
    <w:rsid w:val="252D53FE"/>
    <w:rsid w:val="25344F11"/>
    <w:rsid w:val="255319AC"/>
    <w:rsid w:val="25B272F7"/>
    <w:rsid w:val="25D03960"/>
    <w:rsid w:val="25EC2D81"/>
    <w:rsid w:val="2606711B"/>
    <w:rsid w:val="262455C4"/>
    <w:rsid w:val="263C68E5"/>
    <w:rsid w:val="263F2B3A"/>
    <w:rsid w:val="267F6F77"/>
    <w:rsid w:val="267F7102"/>
    <w:rsid w:val="269F7C72"/>
    <w:rsid w:val="271D6D19"/>
    <w:rsid w:val="27226A3D"/>
    <w:rsid w:val="273D3B40"/>
    <w:rsid w:val="273E043A"/>
    <w:rsid w:val="277057A2"/>
    <w:rsid w:val="277E3DF7"/>
    <w:rsid w:val="27AA7ACD"/>
    <w:rsid w:val="27B90510"/>
    <w:rsid w:val="28031B63"/>
    <w:rsid w:val="28166410"/>
    <w:rsid w:val="282835C4"/>
    <w:rsid w:val="283144C6"/>
    <w:rsid w:val="284E5902"/>
    <w:rsid w:val="28653C18"/>
    <w:rsid w:val="287E4F92"/>
    <w:rsid w:val="28E026ED"/>
    <w:rsid w:val="29206EB8"/>
    <w:rsid w:val="29595666"/>
    <w:rsid w:val="29826D04"/>
    <w:rsid w:val="29874881"/>
    <w:rsid w:val="298D685A"/>
    <w:rsid w:val="29E325E0"/>
    <w:rsid w:val="29E74DB9"/>
    <w:rsid w:val="2A452503"/>
    <w:rsid w:val="2A837E9D"/>
    <w:rsid w:val="2A955431"/>
    <w:rsid w:val="2A9A54FB"/>
    <w:rsid w:val="2ABB5D9C"/>
    <w:rsid w:val="2B0E1463"/>
    <w:rsid w:val="2B431589"/>
    <w:rsid w:val="2B4C5B91"/>
    <w:rsid w:val="2B521268"/>
    <w:rsid w:val="2B6E0F8B"/>
    <w:rsid w:val="2BA936A8"/>
    <w:rsid w:val="2C041C52"/>
    <w:rsid w:val="2C05435C"/>
    <w:rsid w:val="2C315A5A"/>
    <w:rsid w:val="2C4B1C25"/>
    <w:rsid w:val="2C4C186B"/>
    <w:rsid w:val="2C5E0BF6"/>
    <w:rsid w:val="2C7A1F15"/>
    <w:rsid w:val="2CC939A8"/>
    <w:rsid w:val="2CEE645F"/>
    <w:rsid w:val="2D0E6C50"/>
    <w:rsid w:val="2D9E56F5"/>
    <w:rsid w:val="2DA3549B"/>
    <w:rsid w:val="2DB93D6A"/>
    <w:rsid w:val="2DEC7F8F"/>
    <w:rsid w:val="2DF54FA1"/>
    <w:rsid w:val="2DFB7BAD"/>
    <w:rsid w:val="2E045D39"/>
    <w:rsid w:val="2E334A71"/>
    <w:rsid w:val="2E4D628C"/>
    <w:rsid w:val="2E50005F"/>
    <w:rsid w:val="2E557888"/>
    <w:rsid w:val="2E667F96"/>
    <w:rsid w:val="2E8226AB"/>
    <w:rsid w:val="2ED6345C"/>
    <w:rsid w:val="2EF87EE2"/>
    <w:rsid w:val="2EFE507F"/>
    <w:rsid w:val="2F1F3475"/>
    <w:rsid w:val="2F4B49E0"/>
    <w:rsid w:val="2F9E124F"/>
    <w:rsid w:val="2F9E3560"/>
    <w:rsid w:val="2FD065E6"/>
    <w:rsid w:val="2FD96870"/>
    <w:rsid w:val="30126C47"/>
    <w:rsid w:val="303A3B45"/>
    <w:rsid w:val="304C7529"/>
    <w:rsid w:val="30580BC9"/>
    <w:rsid w:val="3063766E"/>
    <w:rsid w:val="30B20193"/>
    <w:rsid w:val="30D05B84"/>
    <w:rsid w:val="30EA19C5"/>
    <w:rsid w:val="30FF04BD"/>
    <w:rsid w:val="311C571C"/>
    <w:rsid w:val="311E2ED7"/>
    <w:rsid w:val="312D6AC9"/>
    <w:rsid w:val="31437E11"/>
    <w:rsid w:val="31464875"/>
    <w:rsid w:val="315619EE"/>
    <w:rsid w:val="315C449C"/>
    <w:rsid w:val="31781509"/>
    <w:rsid w:val="31903696"/>
    <w:rsid w:val="31AC18C3"/>
    <w:rsid w:val="31B82709"/>
    <w:rsid w:val="31C4264C"/>
    <w:rsid w:val="31D05482"/>
    <w:rsid w:val="322E147C"/>
    <w:rsid w:val="323F20B3"/>
    <w:rsid w:val="32400B34"/>
    <w:rsid w:val="324E1E79"/>
    <w:rsid w:val="329E6876"/>
    <w:rsid w:val="32E87322"/>
    <w:rsid w:val="33122CB5"/>
    <w:rsid w:val="332D4F06"/>
    <w:rsid w:val="333015F2"/>
    <w:rsid w:val="333C6E95"/>
    <w:rsid w:val="3343559E"/>
    <w:rsid w:val="334B6320"/>
    <w:rsid w:val="33874D07"/>
    <w:rsid w:val="33D934D4"/>
    <w:rsid w:val="33FE2F6A"/>
    <w:rsid w:val="340E07E5"/>
    <w:rsid w:val="34212ADD"/>
    <w:rsid w:val="34235BF7"/>
    <w:rsid w:val="342E0004"/>
    <w:rsid w:val="344352E2"/>
    <w:rsid w:val="348609B5"/>
    <w:rsid w:val="34C05CF6"/>
    <w:rsid w:val="34D348B8"/>
    <w:rsid w:val="34E24A05"/>
    <w:rsid w:val="353A73E0"/>
    <w:rsid w:val="35584C29"/>
    <w:rsid w:val="356D46C3"/>
    <w:rsid w:val="35867B20"/>
    <w:rsid w:val="358C5FA8"/>
    <w:rsid w:val="35C15DF1"/>
    <w:rsid w:val="36074A7F"/>
    <w:rsid w:val="3619454D"/>
    <w:rsid w:val="3648701C"/>
    <w:rsid w:val="365B6913"/>
    <w:rsid w:val="365E1E24"/>
    <w:rsid w:val="36923549"/>
    <w:rsid w:val="369C768F"/>
    <w:rsid w:val="36AA2BDA"/>
    <w:rsid w:val="36B75FBF"/>
    <w:rsid w:val="36BB1AA7"/>
    <w:rsid w:val="36BD0C45"/>
    <w:rsid w:val="36D86A2C"/>
    <w:rsid w:val="37024A07"/>
    <w:rsid w:val="37303300"/>
    <w:rsid w:val="379A790F"/>
    <w:rsid w:val="37AC319E"/>
    <w:rsid w:val="37D677DD"/>
    <w:rsid w:val="37E00298"/>
    <w:rsid w:val="380F51D6"/>
    <w:rsid w:val="381E5591"/>
    <w:rsid w:val="38630140"/>
    <w:rsid w:val="38683569"/>
    <w:rsid w:val="388D27CF"/>
    <w:rsid w:val="38A253F3"/>
    <w:rsid w:val="38A35F7C"/>
    <w:rsid w:val="38B302F9"/>
    <w:rsid w:val="38C22086"/>
    <w:rsid w:val="38C74B99"/>
    <w:rsid w:val="38F12CD3"/>
    <w:rsid w:val="38F94775"/>
    <w:rsid w:val="392971ED"/>
    <w:rsid w:val="39325651"/>
    <w:rsid w:val="393569F7"/>
    <w:rsid w:val="395D7FB8"/>
    <w:rsid w:val="398D2DBD"/>
    <w:rsid w:val="3A536B62"/>
    <w:rsid w:val="3A872856"/>
    <w:rsid w:val="3AD22F9D"/>
    <w:rsid w:val="3B3763D1"/>
    <w:rsid w:val="3B742225"/>
    <w:rsid w:val="3C174336"/>
    <w:rsid w:val="3C2F6E1E"/>
    <w:rsid w:val="3C421E04"/>
    <w:rsid w:val="3C4F64BA"/>
    <w:rsid w:val="3C503958"/>
    <w:rsid w:val="3C8A1D00"/>
    <w:rsid w:val="3CB23E9E"/>
    <w:rsid w:val="3CDA245A"/>
    <w:rsid w:val="3D1E06B7"/>
    <w:rsid w:val="3D8366DF"/>
    <w:rsid w:val="3DCA02CD"/>
    <w:rsid w:val="3DD31B91"/>
    <w:rsid w:val="3E085BAC"/>
    <w:rsid w:val="3E7C0044"/>
    <w:rsid w:val="3E8318BD"/>
    <w:rsid w:val="3E924F38"/>
    <w:rsid w:val="3EDA0523"/>
    <w:rsid w:val="3EDB1F8C"/>
    <w:rsid w:val="3F293D05"/>
    <w:rsid w:val="3F6E6106"/>
    <w:rsid w:val="3FA550A3"/>
    <w:rsid w:val="3FCA3D68"/>
    <w:rsid w:val="3FE756D6"/>
    <w:rsid w:val="3FEF2192"/>
    <w:rsid w:val="407A6407"/>
    <w:rsid w:val="40967794"/>
    <w:rsid w:val="409D55D3"/>
    <w:rsid w:val="40CC2DBA"/>
    <w:rsid w:val="415B175F"/>
    <w:rsid w:val="415F200A"/>
    <w:rsid w:val="418A0E2A"/>
    <w:rsid w:val="41CE2A47"/>
    <w:rsid w:val="41D1217F"/>
    <w:rsid w:val="41D80055"/>
    <w:rsid w:val="41ED18BC"/>
    <w:rsid w:val="4200449D"/>
    <w:rsid w:val="42042555"/>
    <w:rsid w:val="423A3BCC"/>
    <w:rsid w:val="42481BF1"/>
    <w:rsid w:val="424E57D2"/>
    <w:rsid w:val="42741F0E"/>
    <w:rsid w:val="427D40B5"/>
    <w:rsid w:val="428270F6"/>
    <w:rsid w:val="42975979"/>
    <w:rsid w:val="42B26C49"/>
    <w:rsid w:val="432008B0"/>
    <w:rsid w:val="432F47B6"/>
    <w:rsid w:val="433A6FE6"/>
    <w:rsid w:val="43480868"/>
    <w:rsid w:val="4350713C"/>
    <w:rsid w:val="436653E0"/>
    <w:rsid w:val="43866F99"/>
    <w:rsid w:val="438E2FAB"/>
    <w:rsid w:val="43A74F98"/>
    <w:rsid w:val="43C4431A"/>
    <w:rsid w:val="44166A5A"/>
    <w:rsid w:val="44171B24"/>
    <w:rsid w:val="444529B0"/>
    <w:rsid w:val="449E1757"/>
    <w:rsid w:val="44B951CC"/>
    <w:rsid w:val="44CD14E0"/>
    <w:rsid w:val="44F20B0B"/>
    <w:rsid w:val="452E5F4C"/>
    <w:rsid w:val="45612018"/>
    <w:rsid w:val="458946E9"/>
    <w:rsid w:val="45A47C0E"/>
    <w:rsid w:val="45B53AF1"/>
    <w:rsid w:val="45B57D13"/>
    <w:rsid w:val="45C74BE2"/>
    <w:rsid w:val="460A2104"/>
    <w:rsid w:val="461051ED"/>
    <w:rsid w:val="461262E4"/>
    <w:rsid w:val="46252A99"/>
    <w:rsid w:val="462A4554"/>
    <w:rsid w:val="46335F34"/>
    <w:rsid w:val="46577FD6"/>
    <w:rsid w:val="46813EE5"/>
    <w:rsid w:val="46A51D4D"/>
    <w:rsid w:val="46AD38EB"/>
    <w:rsid w:val="46AF7A7C"/>
    <w:rsid w:val="46D955A7"/>
    <w:rsid w:val="47133957"/>
    <w:rsid w:val="471C0E28"/>
    <w:rsid w:val="47824F3B"/>
    <w:rsid w:val="478B27B2"/>
    <w:rsid w:val="47A07E0C"/>
    <w:rsid w:val="47FB61A8"/>
    <w:rsid w:val="48096A42"/>
    <w:rsid w:val="48197335"/>
    <w:rsid w:val="48577DDC"/>
    <w:rsid w:val="4870272E"/>
    <w:rsid w:val="487815A6"/>
    <w:rsid w:val="489839F7"/>
    <w:rsid w:val="489D249E"/>
    <w:rsid w:val="48A8203A"/>
    <w:rsid w:val="48AE0E5F"/>
    <w:rsid w:val="492564AA"/>
    <w:rsid w:val="49636866"/>
    <w:rsid w:val="4966429B"/>
    <w:rsid w:val="49A01E5F"/>
    <w:rsid w:val="49A6109E"/>
    <w:rsid w:val="49DC7715"/>
    <w:rsid w:val="4A023139"/>
    <w:rsid w:val="4A1A74C9"/>
    <w:rsid w:val="4A581437"/>
    <w:rsid w:val="4A7B576F"/>
    <w:rsid w:val="4ABA18BA"/>
    <w:rsid w:val="4AF561A9"/>
    <w:rsid w:val="4B445AB1"/>
    <w:rsid w:val="4B46248B"/>
    <w:rsid w:val="4B651593"/>
    <w:rsid w:val="4B9020E5"/>
    <w:rsid w:val="4BCF673D"/>
    <w:rsid w:val="4C4A0649"/>
    <w:rsid w:val="4C7E5ECA"/>
    <w:rsid w:val="4C876AA5"/>
    <w:rsid w:val="4CBD64DB"/>
    <w:rsid w:val="4CEA4766"/>
    <w:rsid w:val="4D060DA1"/>
    <w:rsid w:val="4D0E00FB"/>
    <w:rsid w:val="4D176606"/>
    <w:rsid w:val="4D4573D7"/>
    <w:rsid w:val="4D5A7B2B"/>
    <w:rsid w:val="4D825971"/>
    <w:rsid w:val="4DCA45A2"/>
    <w:rsid w:val="4DE363EB"/>
    <w:rsid w:val="4DE42972"/>
    <w:rsid w:val="4DEC4FB0"/>
    <w:rsid w:val="4DF06083"/>
    <w:rsid w:val="4DFB2713"/>
    <w:rsid w:val="4E075D8A"/>
    <w:rsid w:val="4E0D7C6B"/>
    <w:rsid w:val="4E5804C5"/>
    <w:rsid w:val="4E6322E0"/>
    <w:rsid w:val="4EB26C64"/>
    <w:rsid w:val="4EC00FAD"/>
    <w:rsid w:val="4EDD15B7"/>
    <w:rsid w:val="4EDE7C89"/>
    <w:rsid w:val="4EEC05F8"/>
    <w:rsid w:val="4F1C1D54"/>
    <w:rsid w:val="4F332D52"/>
    <w:rsid w:val="4F3855EC"/>
    <w:rsid w:val="4F841CF6"/>
    <w:rsid w:val="4F87507A"/>
    <w:rsid w:val="4F9843DC"/>
    <w:rsid w:val="4FC62A8C"/>
    <w:rsid w:val="4FE20F0D"/>
    <w:rsid w:val="4FE51552"/>
    <w:rsid w:val="502F461A"/>
    <w:rsid w:val="5039677A"/>
    <w:rsid w:val="504B57F2"/>
    <w:rsid w:val="50504C4B"/>
    <w:rsid w:val="507408A5"/>
    <w:rsid w:val="50895B1F"/>
    <w:rsid w:val="509C6E7C"/>
    <w:rsid w:val="51377219"/>
    <w:rsid w:val="515661FD"/>
    <w:rsid w:val="5162104E"/>
    <w:rsid w:val="517431B4"/>
    <w:rsid w:val="51974996"/>
    <w:rsid w:val="51F763ED"/>
    <w:rsid w:val="520E0ABC"/>
    <w:rsid w:val="52186855"/>
    <w:rsid w:val="5230738F"/>
    <w:rsid w:val="52382804"/>
    <w:rsid w:val="523C2BA2"/>
    <w:rsid w:val="5246001F"/>
    <w:rsid w:val="528E68B7"/>
    <w:rsid w:val="52C66196"/>
    <w:rsid w:val="536A4C64"/>
    <w:rsid w:val="536B1AC8"/>
    <w:rsid w:val="53A039CC"/>
    <w:rsid w:val="53A1505A"/>
    <w:rsid w:val="53DC15B4"/>
    <w:rsid w:val="54063E08"/>
    <w:rsid w:val="540677E1"/>
    <w:rsid w:val="543437E8"/>
    <w:rsid w:val="545123BB"/>
    <w:rsid w:val="545C2237"/>
    <w:rsid w:val="54612F01"/>
    <w:rsid w:val="547C5EA3"/>
    <w:rsid w:val="54922D09"/>
    <w:rsid w:val="54B32133"/>
    <w:rsid w:val="54C33824"/>
    <w:rsid w:val="54D37CD6"/>
    <w:rsid w:val="54E16725"/>
    <w:rsid w:val="54F71AA5"/>
    <w:rsid w:val="54F73313"/>
    <w:rsid w:val="54F80955"/>
    <w:rsid w:val="55173EF5"/>
    <w:rsid w:val="551F2FB9"/>
    <w:rsid w:val="552D4FDB"/>
    <w:rsid w:val="55432336"/>
    <w:rsid w:val="5550628B"/>
    <w:rsid w:val="555170A7"/>
    <w:rsid w:val="555B6F69"/>
    <w:rsid w:val="557F21C6"/>
    <w:rsid w:val="5587536D"/>
    <w:rsid w:val="558C043F"/>
    <w:rsid w:val="559041A2"/>
    <w:rsid w:val="559B174B"/>
    <w:rsid w:val="55A95B7B"/>
    <w:rsid w:val="55B8126A"/>
    <w:rsid w:val="55CE0CF4"/>
    <w:rsid w:val="55D615E0"/>
    <w:rsid w:val="56124994"/>
    <w:rsid w:val="561827BE"/>
    <w:rsid w:val="5663451E"/>
    <w:rsid w:val="56B22A9C"/>
    <w:rsid w:val="56E147BB"/>
    <w:rsid w:val="56F114AA"/>
    <w:rsid w:val="57140C21"/>
    <w:rsid w:val="57646128"/>
    <w:rsid w:val="576B22D6"/>
    <w:rsid w:val="57765F0B"/>
    <w:rsid w:val="57783371"/>
    <w:rsid w:val="57B72A76"/>
    <w:rsid w:val="57C3426C"/>
    <w:rsid w:val="57CB57BA"/>
    <w:rsid w:val="57CE1F93"/>
    <w:rsid w:val="57CF614F"/>
    <w:rsid w:val="57E41EEA"/>
    <w:rsid w:val="57E75E01"/>
    <w:rsid w:val="581D7329"/>
    <w:rsid w:val="58313F65"/>
    <w:rsid w:val="583D60F1"/>
    <w:rsid w:val="588743D1"/>
    <w:rsid w:val="5887701A"/>
    <w:rsid w:val="58C42177"/>
    <w:rsid w:val="58F105D8"/>
    <w:rsid w:val="59162E41"/>
    <w:rsid w:val="592A5BA4"/>
    <w:rsid w:val="595128D6"/>
    <w:rsid w:val="596D2336"/>
    <w:rsid w:val="597F0764"/>
    <w:rsid w:val="59A203A6"/>
    <w:rsid w:val="59A94ECD"/>
    <w:rsid w:val="59C0439F"/>
    <w:rsid w:val="5A110D45"/>
    <w:rsid w:val="5A202C62"/>
    <w:rsid w:val="5A6B1B59"/>
    <w:rsid w:val="5A9E5FA9"/>
    <w:rsid w:val="5ABE2233"/>
    <w:rsid w:val="5AFA409D"/>
    <w:rsid w:val="5B0B022C"/>
    <w:rsid w:val="5B1249DA"/>
    <w:rsid w:val="5B1E56F1"/>
    <w:rsid w:val="5B2E2D25"/>
    <w:rsid w:val="5B47599B"/>
    <w:rsid w:val="5B7D4D79"/>
    <w:rsid w:val="5B8422AE"/>
    <w:rsid w:val="5B904CF3"/>
    <w:rsid w:val="5BB50481"/>
    <w:rsid w:val="5BB64F5F"/>
    <w:rsid w:val="5BDF5D95"/>
    <w:rsid w:val="5BFE7528"/>
    <w:rsid w:val="5C181273"/>
    <w:rsid w:val="5C481BC3"/>
    <w:rsid w:val="5C64044F"/>
    <w:rsid w:val="5C682E11"/>
    <w:rsid w:val="5C6C6ABA"/>
    <w:rsid w:val="5CBB0F9F"/>
    <w:rsid w:val="5CDA5F34"/>
    <w:rsid w:val="5CF4627F"/>
    <w:rsid w:val="5D003568"/>
    <w:rsid w:val="5D4F1246"/>
    <w:rsid w:val="5D6228BB"/>
    <w:rsid w:val="5D6C2B99"/>
    <w:rsid w:val="5D87154C"/>
    <w:rsid w:val="5DAB167E"/>
    <w:rsid w:val="5DE65EBE"/>
    <w:rsid w:val="5DE74F2C"/>
    <w:rsid w:val="5DEF4E45"/>
    <w:rsid w:val="5E030314"/>
    <w:rsid w:val="5E1C4F9F"/>
    <w:rsid w:val="5E2467F1"/>
    <w:rsid w:val="5E271520"/>
    <w:rsid w:val="5E331A9E"/>
    <w:rsid w:val="5E3B29DC"/>
    <w:rsid w:val="5E4807AD"/>
    <w:rsid w:val="5E7D12B6"/>
    <w:rsid w:val="5E800DC5"/>
    <w:rsid w:val="5E9D36BD"/>
    <w:rsid w:val="5E9F211C"/>
    <w:rsid w:val="5EC14CD2"/>
    <w:rsid w:val="5ECB5AFC"/>
    <w:rsid w:val="5EEF1188"/>
    <w:rsid w:val="5F117B9A"/>
    <w:rsid w:val="5F1A2B43"/>
    <w:rsid w:val="5F24248B"/>
    <w:rsid w:val="5F456359"/>
    <w:rsid w:val="5F491865"/>
    <w:rsid w:val="5F5C5FB8"/>
    <w:rsid w:val="5F617DB9"/>
    <w:rsid w:val="5F93061C"/>
    <w:rsid w:val="5FB837BB"/>
    <w:rsid w:val="60124BFB"/>
    <w:rsid w:val="6015235E"/>
    <w:rsid w:val="601C7D8C"/>
    <w:rsid w:val="607466A0"/>
    <w:rsid w:val="60CC405A"/>
    <w:rsid w:val="60D90258"/>
    <w:rsid w:val="60DD7523"/>
    <w:rsid w:val="60F4333C"/>
    <w:rsid w:val="6116534A"/>
    <w:rsid w:val="618A3FA2"/>
    <w:rsid w:val="61D10FFA"/>
    <w:rsid w:val="61E215D8"/>
    <w:rsid w:val="61F42668"/>
    <w:rsid w:val="621B3775"/>
    <w:rsid w:val="62364782"/>
    <w:rsid w:val="62420B57"/>
    <w:rsid w:val="625C563D"/>
    <w:rsid w:val="625F282F"/>
    <w:rsid w:val="62813717"/>
    <w:rsid w:val="62A0744A"/>
    <w:rsid w:val="62A41ECF"/>
    <w:rsid w:val="62F82823"/>
    <w:rsid w:val="63235521"/>
    <w:rsid w:val="63341884"/>
    <w:rsid w:val="63545527"/>
    <w:rsid w:val="636429FB"/>
    <w:rsid w:val="6394356A"/>
    <w:rsid w:val="63A36E9E"/>
    <w:rsid w:val="63B6390C"/>
    <w:rsid w:val="63BF7C32"/>
    <w:rsid w:val="63C61B2C"/>
    <w:rsid w:val="63D40BE9"/>
    <w:rsid w:val="64102431"/>
    <w:rsid w:val="641B07A9"/>
    <w:rsid w:val="643F5BC0"/>
    <w:rsid w:val="64430863"/>
    <w:rsid w:val="644B7717"/>
    <w:rsid w:val="64535AA1"/>
    <w:rsid w:val="64551976"/>
    <w:rsid w:val="645910AF"/>
    <w:rsid w:val="6459394A"/>
    <w:rsid w:val="647D446A"/>
    <w:rsid w:val="64926E5C"/>
    <w:rsid w:val="64A5243A"/>
    <w:rsid w:val="64C83E3F"/>
    <w:rsid w:val="64E619CF"/>
    <w:rsid w:val="64EC50EB"/>
    <w:rsid w:val="64F531DE"/>
    <w:rsid w:val="65373578"/>
    <w:rsid w:val="655A4DCA"/>
    <w:rsid w:val="657729BB"/>
    <w:rsid w:val="66030CC2"/>
    <w:rsid w:val="66214165"/>
    <w:rsid w:val="66EB050D"/>
    <w:rsid w:val="671F124A"/>
    <w:rsid w:val="673A360B"/>
    <w:rsid w:val="676948D1"/>
    <w:rsid w:val="676F3DA6"/>
    <w:rsid w:val="677A33C6"/>
    <w:rsid w:val="67825A1C"/>
    <w:rsid w:val="67A6325A"/>
    <w:rsid w:val="67F81964"/>
    <w:rsid w:val="67FA07D1"/>
    <w:rsid w:val="680C41BB"/>
    <w:rsid w:val="680E64F1"/>
    <w:rsid w:val="680F2729"/>
    <w:rsid w:val="681F6961"/>
    <w:rsid w:val="68610A2F"/>
    <w:rsid w:val="68805514"/>
    <w:rsid w:val="68950444"/>
    <w:rsid w:val="689C2216"/>
    <w:rsid w:val="68A87B9F"/>
    <w:rsid w:val="68F123F5"/>
    <w:rsid w:val="68F949C9"/>
    <w:rsid w:val="69316E2F"/>
    <w:rsid w:val="694E2071"/>
    <w:rsid w:val="69766163"/>
    <w:rsid w:val="697A3B33"/>
    <w:rsid w:val="697E6E22"/>
    <w:rsid w:val="698A3417"/>
    <w:rsid w:val="698E6CC6"/>
    <w:rsid w:val="698F6943"/>
    <w:rsid w:val="69CE5717"/>
    <w:rsid w:val="69D44760"/>
    <w:rsid w:val="6A097E59"/>
    <w:rsid w:val="6A294AF7"/>
    <w:rsid w:val="6A331379"/>
    <w:rsid w:val="6A4F57F4"/>
    <w:rsid w:val="6A520EC7"/>
    <w:rsid w:val="6A6A3B7B"/>
    <w:rsid w:val="6AA26F93"/>
    <w:rsid w:val="6AD60AC3"/>
    <w:rsid w:val="6AF234EC"/>
    <w:rsid w:val="6AF87E20"/>
    <w:rsid w:val="6B1868BE"/>
    <w:rsid w:val="6B240522"/>
    <w:rsid w:val="6B322639"/>
    <w:rsid w:val="6B7D7386"/>
    <w:rsid w:val="6B8708CA"/>
    <w:rsid w:val="6BA77929"/>
    <w:rsid w:val="6BB76E02"/>
    <w:rsid w:val="6BC47A19"/>
    <w:rsid w:val="6BC9141E"/>
    <w:rsid w:val="6BDF3C90"/>
    <w:rsid w:val="6BE254E8"/>
    <w:rsid w:val="6BF80A45"/>
    <w:rsid w:val="6C192965"/>
    <w:rsid w:val="6C3B682C"/>
    <w:rsid w:val="6C4A4EC0"/>
    <w:rsid w:val="6C4E461D"/>
    <w:rsid w:val="6C4E5B2F"/>
    <w:rsid w:val="6C5630FD"/>
    <w:rsid w:val="6C636C38"/>
    <w:rsid w:val="6C723E02"/>
    <w:rsid w:val="6C7672FB"/>
    <w:rsid w:val="6C8979AF"/>
    <w:rsid w:val="6CF52226"/>
    <w:rsid w:val="6D03720A"/>
    <w:rsid w:val="6D1138C3"/>
    <w:rsid w:val="6D3125F3"/>
    <w:rsid w:val="6D45284C"/>
    <w:rsid w:val="6D5910F7"/>
    <w:rsid w:val="6D781753"/>
    <w:rsid w:val="6D853C8D"/>
    <w:rsid w:val="6DAA4478"/>
    <w:rsid w:val="6DB34098"/>
    <w:rsid w:val="6DB545B6"/>
    <w:rsid w:val="6DE02FB4"/>
    <w:rsid w:val="6DE2678F"/>
    <w:rsid w:val="6DF02DB5"/>
    <w:rsid w:val="6DF7020B"/>
    <w:rsid w:val="6E514CED"/>
    <w:rsid w:val="6EB06071"/>
    <w:rsid w:val="6EB563D5"/>
    <w:rsid w:val="6ED92677"/>
    <w:rsid w:val="6EEA7083"/>
    <w:rsid w:val="6EF5542C"/>
    <w:rsid w:val="6F1028DB"/>
    <w:rsid w:val="6F225983"/>
    <w:rsid w:val="6F5756E1"/>
    <w:rsid w:val="6F8F0E00"/>
    <w:rsid w:val="6FA64737"/>
    <w:rsid w:val="6FC26B30"/>
    <w:rsid w:val="6FFC5590"/>
    <w:rsid w:val="700F3CC2"/>
    <w:rsid w:val="70127198"/>
    <w:rsid w:val="70332D1D"/>
    <w:rsid w:val="704A673A"/>
    <w:rsid w:val="704C6B84"/>
    <w:rsid w:val="70587910"/>
    <w:rsid w:val="706D1DD0"/>
    <w:rsid w:val="70704387"/>
    <w:rsid w:val="70750275"/>
    <w:rsid w:val="70856B87"/>
    <w:rsid w:val="708E1B29"/>
    <w:rsid w:val="70A60E19"/>
    <w:rsid w:val="70AB2F82"/>
    <w:rsid w:val="70C851BD"/>
    <w:rsid w:val="70D527EE"/>
    <w:rsid w:val="70DB53C6"/>
    <w:rsid w:val="70F708F6"/>
    <w:rsid w:val="713954C7"/>
    <w:rsid w:val="715B5300"/>
    <w:rsid w:val="715F6324"/>
    <w:rsid w:val="71B763EC"/>
    <w:rsid w:val="71BA7DC8"/>
    <w:rsid w:val="71D13952"/>
    <w:rsid w:val="71D27F8A"/>
    <w:rsid w:val="72247F25"/>
    <w:rsid w:val="72264F9C"/>
    <w:rsid w:val="723D6DE9"/>
    <w:rsid w:val="72454DD0"/>
    <w:rsid w:val="724D63AB"/>
    <w:rsid w:val="72553024"/>
    <w:rsid w:val="728F7634"/>
    <w:rsid w:val="72B5390F"/>
    <w:rsid w:val="73025B47"/>
    <w:rsid w:val="730613D9"/>
    <w:rsid w:val="73122968"/>
    <w:rsid w:val="731755C9"/>
    <w:rsid w:val="731F5D5E"/>
    <w:rsid w:val="73726A6F"/>
    <w:rsid w:val="73B97D23"/>
    <w:rsid w:val="73C51AD5"/>
    <w:rsid w:val="741C0875"/>
    <w:rsid w:val="741E793C"/>
    <w:rsid w:val="74210ACD"/>
    <w:rsid w:val="743C6400"/>
    <w:rsid w:val="745E3944"/>
    <w:rsid w:val="74820F33"/>
    <w:rsid w:val="74BD4195"/>
    <w:rsid w:val="750E0A19"/>
    <w:rsid w:val="75BD46DB"/>
    <w:rsid w:val="75CD5125"/>
    <w:rsid w:val="75E45C86"/>
    <w:rsid w:val="760D0CD1"/>
    <w:rsid w:val="76250680"/>
    <w:rsid w:val="76315255"/>
    <w:rsid w:val="7635099D"/>
    <w:rsid w:val="766539DA"/>
    <w:rsid w:val="76766629"/>
    <w:rsid w:val="76A30685"/>
    <w:rsid w:val="76AE0F04"/>
    <w:rsid w:val="76DA7A34"/>
    <w:rsid w:val="76E454C3"/>
    <w:rsid w:val="77762421"/>
    <w:rsid w:val="77B56B1F"/>
    <w:rsid w:val="77EB4482"/>
    <w:rsid w:val="77F06A57"/>
    <w:rsid w:val="77F151D5"/>
    <w:rsid w:val="77F5246B"/>
    <w:rsid w:val="780F09F4"/>
    <w:rsid w:val="78104AA8"/>
    <w:rsid w:val="78A90480"/>
    <w:rsid w:val="78D010FF"/>
    <w:rsid w:val="78EA394C"/>
    <w:rsid w:val="78F85368"/>
    <w:rsid w:val="78F921D5"/>
    <w:rsid w:val="793622EC"/>
    <w:rsid w:val="797758CF"/>
    <w:rsid w:val="79DD2FBD"/>
    <w:rsid w:val="79FD7336"/>
    <w:rsid w:val="7A0447DB"/>
    <w:rsid w:val="7A061B59"/>
    <w:rsid w:val="7A0643B5"/>
    <w:rsid w:val="7A1B1433"/>
    <w:rsid w:val="7A284F39"/>
    <w:rsid w:val="7A364017"/>
    <w:rsid w:val="7A366810"/>
    <w:rsid w:val="7A4436CE"/>
    <w:rsid w:val="7A50664D"/>
    <w:rsid w:val="7A695394"/>
    <w:rsid w:val="7A7C01D3"/>
    <w:rsid w:val="7A7C7771"/>
    <w:rsid w:val="7A8265E1"/>
    <w:rsid w:val="7ADB6FEA"/>
    <w:rsid w:val="7AE03A94"/>
    <w:rsid w:val="7AE4055B"/>
    <w:rsid w:val="7AEB50B4"/>
    <w:rsid w:val="7AF26914"/>
    <w:rsid w:val="7B686D42"/>
    <w:rsid w:val="7B83215E"/>
    <w:rsid w:val="7B841746"/>
    <w:rsid w:val="7BA449A0"/>
    <w:rsid w:val="7BC46FF2"/>
    <w:rsid w:val="7BDF3B94"/>
    <w:rsid w:val="7C2E7C08"/>
    <w:rsid w:val="7C6C5AC7"/>
    <w:rsid w:val="7CB71B11"/>
    <w:rsid w:val="7CC6544B"/>
    <w:rsid w:val="7CF23781"/>
    <w:rsid w:val="7D0239FF"/>
    <w:rsid w:val="7D2E32F8"/>
    <w:rsid w:val="7D5E40CD"/>
    <w:rsid w:val="7D5E4A13"/>
    <w:rsid w:val="7D6B3284"/>
    <w:rsid w:val="7D9100D0"/>
    <w:rsid w:val="7DBA7990"/>
    <w:rsid w:val="7DBB76BE"/>
    <w:rsid w:val="7DCC0B74"/>
    <w:rsid w:val="7DCD56F2"/>
    <w:rsid w:val="7DEB781C"/>
    <w:rsid w:val="7DFA5ADC"/>
    <w:rsid w:val="7E2242BC"/>
    <w:rsid w:val="7E266DD3"/>
    <w:rsid w:val="7E4F4D13"/>
    <w:rsid w:val="7E631DD5"/>
    <w:rsid w:val="7E633AAA"/>
    <w:rsid w:val="7E722019"/>
    <w:rsid w:val="7EA1645A"/>
    <w:rsid w:val="7EB10457"/>
    <w:rsid w:val="7EC03BC2"/>
    <w:rsid w:val="7EF42B76"/>
    <w:rsid w:val="7F001CE7"/>
    <w:rsid w:val="7F0D4E28"/>
    <w:rsid w:val="7F22234B"/>
    <w:rsid w:val="7F432834"/>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nhideWhenUsed="0" w:uiPriority="0" w:semiHidden="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qFormat="1" w:unhideWhenUsed="0" w:uiPriority="39"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qFormat="1"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1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99"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2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39"/>
    <w:autoRedefine/>
    <w:qFormat/>
    <w:locked/>
    <w:uiPriority w:val="99"/>
    <w:pPr>
      <w:keepNext/>
      <w:overflowPunct w:val="0"/>
      <w:snapToGrid w:val="0"/>
      <w:spacing w:line="360" w:lineRule="auto"/>
      <w:ind w:left="0" w:firstLine="0"/>
      <w:jc w:val="center"/>
      <w:outlineLvl w:val="0"/>
    </w:pPr>
    <w:rPr>
      <w:b/>
      <w:bCs/>
      <w:color w:val="000000"/>
      <w:kern w:val="44"/>
      <w:sz w:val="30"/>
      <w:szCs w:val="30"/>
    </w:rPr>
  </w:style>
  <w:style w:type="paragraph" w:styleId="3">
    <w:name w:val="heading 2"/>
    <w:basedOn w:val="1"/>
    <w:next w:val="1"/>
    <w:autoRedefine/>
    <w:qFormat/>
    <w:locked/>
    <w:uiPriority w:val="0"/>
    <w:pPr>
      <w:spacing w:before="100" w:beforeAutospacing="1" w:after="100" w:afterAutospacing="1"/>
      <w:jc w:val="left"/>
      <w:outlineLvl w:val="1"/>
    </w:pPr>
    <w:rPr>
      <w:rFonts w:hint="eastAsia" w:ascii="宋体" w:hAnsi="宋体"/>
      <w:b/>
      <w:bCs/>
      <w:kern w:val="0"/>
      <w:sz w:val="36"/>
      <w:szCs w:val="36"/>
    </w:rPr>
  </w:style>
  <w:style w:type="paragraph" w:styleId="4">
    <w:name w:val="heading 3"/>
    <w:basedOn w:val="1"/>
    <w:next w:val="1"/>
    <w:autoRedefine/>
    <w:qFormat/>
    <w:locked/>
    <w:uiPriority w:val="0"/>
    <w:pPr>
      <w:keepNext/>
      <w:keepLines/>
      <w:spacing w:beforeLines="0" w:beforeAutospacing="0" w:afterLines="0" w:afterAutospacing="0" w:line="540" w:lineRule="exact"/>
      <w:ind w:firstLine="0" w:firstLineChars="0"/>
      <w:outlineLvl w:val="2"/>
    </w:pPr>
    <w:rPr>
      <w:rFonts w:eastAsia="宋体"/>
      <w:b/>
    </w:rPr>
  </w:style>
  <w:style w:type="paragraph" w:styleId="5">
    <w:name w:val="heading 4"/>
    <w:basedOn w:val="1"/>
    <w:next w:val="1"/>
    <w:autoRedefine/>
    <w:qFormat/>
    <w:locked/>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7"/>
    <w:basedOn w:val="1"/>
    <w:next w:val="1"/>
    <w:autoRedefine/>
    <w:qFormat/>
    <w:locked/>
    <w:uiPriority w:val="0"/>
    <w:pPr>
      <w:keepNext/>
      <w:keepLines/>
      <w:numPr>
        <w:ilvl w:val="6"/>
        <w:numId w:val="1"/>
      </w:numPr>
      <w:spacing w:beforeLines="0" w:beforeAutospacing="0" w:afterLines="0" w:afterAutospacing="0" w:line="360" w:lineRule="auto"/>
      <w:ind w:left="420" w:hanging="420" w:firstLineChars="0"/>
      <w:jc w:val="center"/>
      <w:outlineLvl w:val="6"/>
    </w:pPr>
    <w:rPr>
      <w:rFonts w:ascii="Times New Roman" w:hAnsi="Times New Roman" w:eastAsia="宋体" w:cs="Times New Roman"/>
      <w:b/>
      <w:bCs/>
      <w:sz w:val="24"/>
      <w:szCs w:val="24"/>
    </w:rPr>
  </w:style>
  <w:style w:type="character" w:default="1" w:styleId="31">
    <w:name w:val="Default Paragraph Font"/>
    <w:autoRedefine/>
    <w:semiHidden/>
    <w:qFormat/>
    <w:uiPriority w:val="0"/>
  </w:style>
  <w:style w:type="table" w:default="1" w:styleId="29">
    <w:name w:val="Normal Table"/>
    <w:autoRedefine/>
    <w:semiHidden/>
    <w:qFormat/>
    <w:uiPriority w:val="0"/>
    <w:tblPr>
      <w:tblCellMar>
        <w:top w:w="0" w:type="dxa"/>
        <w:left w:w="108" w:type="dxa"/>
        <w:bottom w:w="0" w:type="dxa"/>
        <w:right w:w="108" w:type="dxa"/>
      </w:tblCellMar>
    </w:tblPr>
  </w:style>
  <w:style w:type="paragraph" w:styleId="7">
    <w:name w:val="Note Heading"/>
    <w:next w:val="1"/>
    <w:autoRedefine/>
    <w:qFormat/>
    <w:locked/>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Normal Indent"/>
    <w:basedOn w:val="1"/>
    <w:autoRedefine/>
    <w:qFormat/>
    <w:locked/>
    <w:uiPriority w:val="0"/>
    <w:pPr>
      <w:ind w:firstLine="420" w:firstLineChars="200"/>
    </w:pPr>
  </w:style>
  <w:style w:type="paragraph" w:styleId="9">
    <w:name w:val="caption"/>
    <w:basedOn w:val="1"/>
    <w:next w:val="1"/>
    <w:autoRedefine/>
    <w:qFormat/>
    <w:locked/>
    <w:uiPriority w:val="0"/>
    <w:rPr>
      <w:rFonts w:ascii="Arial" w:hAnsi="Arial" w:eastAsia="黑体"/>
      <w:sz w:val="20"/>
    </w:rPr>
  </w:style>
  <w:style w:type="paragraph" w:styleId="10">
    <w:name w:val="annotation text"/>
    <w:basedOn w:val="1"/>
    <w:link w:val="40"/>
    <w:autoRedefine/>
    <w:semiHidden/>
    <w:qFormat/>
    <w:uiPriority w:val="0"/>
    <w:pPr>
      <w:jc w:val="left"/>
    </w:pPr>
    <w:rPr>
      <w:kern w:val="0"/>
      <w:szCs w:val="20"/>
    </w:rPr>
  </w:style>
  <w:style w:type="paragraph" w:styleId="11">
    <w:name w:val="Salutation"/>
    <w:basedOn w:val="1"/>
    <w:next w:val="1"/>
    <w:autoRedefine/>
    <w:qFormat/>
    <w:locked/>
    <w:uiPriority w:val="0"/>
  </w:style>
  <w:style w:type="paragraph" w:styleId="12">
    <w:name w:val="Body Text"/>
    <w:basedOn w:val="1"/>
    <w:link w:val="38"/>
    <w:autoRedefine/>
    <w:qFormat/>
    <w:uiPriority w:val="0"/>
    <w:pPr>
      <w:widowControl/>
      <w:snapToGrid w:val="0"/>
      <w:spacing w:before="60" w:after="160" w:line="259" w:lineRule="auto"/>
      <w:ind w:right="113"/>
    </w:pPr>
    <w:rPr>
      <w:kern w:val="0"/>
      <w:sz w:val="18"/>
      <w:szCs w:val="20"/>
    </w:rPr>
  </w:style>
  <w:style w:type="paragraph" w:styleId="13">
    <w:name w:val="Body Text Indent"/>
    <w:basedOn w:val="1"/>
    <w:next w:val="14"/>
    <w:link w:val="41"/>
    <w:autoRedefine/>
    <w:qFormat/>
    <w:uiPriority w:val="0"/>
    <w:pPr>
      <w:spacing w:after="120"/>
      <w:ind w:left="420" w:leftChars="200"/>
    </w:pPr>
    <w:rPr>
      <w:kern w:val="0"/>
      <w:szCs w:val="20"/>
    </w:rPr>
  </w:style>
  <w:style w:type="paragraph" w:styleId="14">
    <w:name w:val="toc 9"/>
    <w:basedOn w:val="1"/>
    <w:next w:val="1"/>
    <w:autoRedefine/>
    <w:qFormat/>
    <w:locked/>
    <w:uiPriority w:val="39"/>
    <w:pPr>
      <w:ind w:left="1680"/>
      <w:jc w:val="left"/>
    </w:pPr>
    <w:rPr>
      <w:sz w:val="20"/>
      <w:szCs w:val="20"/>
    </w:rPr>
  </w:style>
  <w:style w:type="paragraph" w:styleId="15">
    <w:name w:val="Block Text"/>
    <w:basedOn w:val="1"/>
    <w:next w:val="12"/>
    <w:autoRedefine/>
    <w:qFormat/>
    <w:locked/>
    <w:uiPriority w:val="99"/>
    <w:pPr>
      <w:widowControl/>
      <w:spacing w:after="120"/>
      <w:ind w:left="1440" w:leftChars="700" w:right="1440" w:rightChars="700"/>
      <w:jc w:val="left"/>
    </w:pPr>
    <w:rPr>
      <w:kern w:val="0"/>
      <w:sz w:val="20"/>
      <w:szCs w:val="20"/>
    </w:rPr>
  </w:style>
  <w:style w:type="paragraph" w:styleId="16">
    <w:name w:val="Plain Text"/>
    <w:basedOn w:val="1"/>
    <w:next w:val="11"/>
    <w:autoRedefine/>
    <w:qFormat/>
    <w:locked/>
    <w:uiPriority w:val="0"/>
    <w:rPr>
      <w:rFonts w:ascii="宋体" w:hAnsi="Courier New"/>
      <w:sz w:val="20"/>
      <w:szCs w:val="20"/>
    </w:rPr>
  </w:style>
  <w:style w:type="paragraph" w:styleId="17">
    <w:name w:val="Date"/>
    <w:basedOn w:val="1"/>
    <w:next w:val="1"/>
    <w:link w:val="42"/>
    <w:autoRedefine/>
    <w:qFormat/>
    <w:uiPriority w:val="0"/>
    <w:pPr>
      <w:ind w:left="100" w:leftChars="2500"/>
    </w:pPr>
    <w:rPr>
      <w:kern w:val="0"/>
      <w:szCs w:val="20"/>
    </w:rPr>
  </w:style>
  <w:style w:type="paragraph" w:styleId="18">
    <w:name w:val="Body Text Indent 2"/>
    <w:basedOn w:val="1"/>
    <w:next w:val="1"/>
    <w:autoRedefine/>
    <w:qFormat/>
    <w:locked/>
    <w:uiPriority w:val="0"/>
    <w:pPr>
      <w:spacing w:after="120" w:afterLines="0" w:line="480" w:lineRule="auto"/>
      <w:ind w:left="420" w:leftChars="200"/>
    </w:pPr>
  </w:style>
  <w:style w:type="paragraph" w:styleId="19">
    <w:name w:val="Balloon Text"/>
    <w:basedOn w:val="1"/>
    <w:link w:val="43"/>
    <w:autoRedefine/>
    <w:semiHidden/>
    <w:qFormat/>
    <w:uiPriority w:val="0"/>
    <w:rPr>
      <w:kern w:val="0"/>
      <w:sz w:val="18"/>
      <w:szCs w:val="20"/>
    </w:rPr>
  </w:style>
  <w:style w:type="paragraph" w:styleId="20">
    <w:name w:val="footer"/>
    <w:basedOn w:val="1"/>
    <w:link w:val="44"/>
    <w:autoRedefine/>
    <w:qFormat/>
    <w:uiPriority w:val="99"/>
    <w:pPr>
      <w:tabs>
        <w:tab w:val="center" w:pos="4153"/>
        <w:tab w:val="right" w:pos="8306"/>
      </w:tabs>
      <w:snapToGrid w:val="0"/>
      <w:jc w:val="left"/>
    </w:pPr>
    <w:rPr>
      <w:kern w:val="0"/>
      <w:sz w:val="18"/>
      <w:szCs w:val="20"/>
    </w:rPr>
  </w:style>
  <w:style w:type="paragraph" w:styleId="21">
    <w:name w:val="envelope return"/>
    <w:basedOn w:val="1"/>
    <w:autoRedefine/>
    <w:qFormat/>
    <w:locked/>
    <w:uiPriority w:val="0"/>
    <w:pPr>
      <w:snapToGrid w:val="0"/>
    </w:pPr>
    <w:rPr>
      <w:rFonts w:ascii="Arial" w:hAnsi="Arial" w:cs="Arial"/>
    </w:rPr>
  </w:style>
  <w:style w:type="paragraph" w:styleId="22">
    <w:name w:val="header"/>
    <w:basedOn w:val="1"/>
    <w:next w:val="12"/>
    <w:link w:val="45"/>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3">
    <w:name w:val="Subtitle"/>
    <w:basedOn w:val="1"/>
    <w:next w:val="1"/>
    <w:autoRedefine/>
    <w:qFormat/>
    <w:locked/>
    <w:uiPriority w:val="0"/>
    <w:pPr>
      <w:spacing w:line="480" w:lineRule="exact"/>
      <w:jc w:val="center"/>
      <w:outlineLvl w:val="4"/>
    </w:pPr>
    <w:rPr>
      <w:rFonts w:ascii="Cambria" w:hAnsi="Cambria"/>
      <w:kern w:val="0"/>
      <w:sz w:val="24"/>
      <w:szCs w:val="20"/>
      <w:lang w:eastAsia="en-US"/>
    </w:rPr>
  </w:style>
  <w:style w:type="paragraph" w:styleId="24">
    <w:name w:val="Normal (Web)"/>
    <w:basedOn w:val="1"/>
    <w:link w:val="46"/>
    <w:autoRedefine/>
    <w:qFormat/>
    <w:uiPriority w:val="99"/>
    <w:pPr>
      <w:widowControl/>
      <w:spacing w:before="100" w:beforeAutospacing="1" w:after="100" w:afterAutospacing="1"/>
      <w:jc w:val="left"/>
    </w:pPr>
    <w:rPr>
      <w:rFonts w:ascii="宋体" w:hAnsi="宋体"/>
      <w:kern w:val="0"/>
      <w:szCs w:val="20"/>
    </w:rPr>
  </w:style>
  <w:style w:type="paragraph" w:styleId="25">
    <w:name w:val="Title"/>
    <w:basedOn w:val="1"/>
    <w:next w:val="1"/>
    <w:autoRedefine/>
    <w:qFormat/>
    <w:locked/>
    <w:uiPriority w:val="10"/>
    <w:pPr>
      <w:spacing w:before="240" w:after="60"/>
      <w:jc w:val="center"/>
      <w:outlineLvl w:val="0"/>
    </w:pPr>
    <w:rPr>
      <w:rFonts w:ascii="Cambria" w:hAnsi="Cambria" w:cs="Times New Roman"/>
      <w:b/>
      <w:bCs/>
      <w:sz w:val="32"/>
      <w:szCs w:val="32"/>
    </w:rPr>
  </w:style>
  <w:style w:type="paragraph" w:styleId="26">
    <w:name w:val="annotation subject"/>
    <w:basedOn w:val="10"/>
    <w:next w:val="10"/>
    <w:link w:val="47"/>
    <w:autoRedefine/>
    <w:semiHidden/>
    <w:qFormat/>
    <w:uiPriority w:val="0"/>
    <w:rPr>
      <w:b/>
      <w:kern w:val="2"/>
    </w:rPr>
  </w:style>
  <w:style w:type="paragraph" w:styleId="27">
    <w:name w:val="Body Text First Indent"/>
    <w:basedOn w:val="12"/>
    <w:autoRedefine/>
    <w:qFormat/>
    <w:locked/>
    <w:uiPriority w:val="0"/>
    <w:pPr>
      <w:spacing w:after="120" w:line="240" w:lineRule="auto"/>
      <w:ind w:firstLine="420" w:firstLineChars="100"/>
    </w:pPr>
    <w:rPr>
      <w:sz w:val="21"/>
      <w:szCs w:val="24"/>
    </w:rPr>
  </w:style>
  <w:style w:type="paragraph" w:styleId="28">
    <w:name w:val="Body Text First Indent 2"/>
    <w:basedOn w:val="13"/>
    <w:next w:val="1"/>
    <w:autoRedefine/>
    <w:qFormat/>
    <w:locked/>
    <w:uiPriority w:val="0"/>
    <w:pPr>
      <w:ind w:firstLine="420" w:firstLineChars="200"/>
    </w:pPr>
  </w:style>
  <w:style w:type="table" w:styleId="30">
    <w:name w:val="Table Grid"/>
    <w:basedOn w:val="29"/>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autoRedefine/>
    <w:qFormat/>
    <w:locked/>
    <w:uiPriority w:val="0"/>
  </w:style>
  <w:style w:type="character" w:styleId="33">
    <w:name w:val="Emphasis"/>
    <w:autoRedefine/>
    <w:qFormat/>
    <w:locked/>
    <w:uiPriority w:val="20"/>
    <w:rPr>
      <w:i/>
      <w:iCs/>
    </w:rPr>
  </w:style>
  <w:style w:type="character" w:styleId="34">
    <w:name w:val="annotation reference"/>
    <w:basedOn w:val="31"/>
    <w:autoRedefine/>
    <w:qFormat/>
    <w:uiPriority w:val="0"/>
    <w:rPr>
      <w:sz w:val="21"/>
    </w:rPr>
  </w:style>
  <w:style w:type="paragraph" w:customStyle="1" w:styleId="35">
    <w:name w:val="标号正文"/>
    <w:basedOn w:val="1"/>
    <w:next w:val="1"/>
    <w:autoRedefine/>
    <w:qFormat/>
    <w:uiPriority w:val="0"/>
    <w:pPr>
      <w:tabs>
        <w:tab w:val="left" w:pos="1540"/>
      </w:tabs>
      <w:overflowPunct w:val="0"/>
      <w:snapToGrid w:val="0"/>
      <w:spacing w:line="360" w:lineRule="auto"/>
      <w:ind w:left="0" w:firstLine="1040"/>
      <w:jc w:val="left"/>
    </w:pPr>
    <w:rPr>
      <w:rFonts w:ascii="Arial" w:hAnsi="Arial" w:eastAsia="宋体"/>
      <w:sz w:val="24"/>
      <w:szCs w:val="20"/>
    </w:rPr>
  </w:style>
  <w:style w:type="paragraph" w:customStyle="1" w:styleId="36">
    <w:name w:val="xl27"/>
    <w:basedOn w:val="1"/>
    <w:next w:val="37"/>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eastAsia="PMingLiU" w:cs="Times New Roman"/>
      <w:kern w:val="0"/>
      <w:sz w:val="16"/>
      <w:szCs w:val="16"/>
      <w:lang w:eastAsia="zh-TW"/>
    </w:rPr>
  </w:style>
  <w:style w:type="paragraph" w:customStyle="1" w:styleId="37">
    <w:name w:val="A正文"/>
    <w:basedOn w:val="1"/>
    <w:autoRedefine/>
    <w:qFormat/>
    <w:uiPriority w:val="0"/>
    <w:pPr>
      <w:widowControl/>
      <w:overflowPunct w:val="0"/>
      <w:autoSpaceDE w:val="0"/>
      <w:autoSpaceDN w:val="0"/>
      <w:jc w:val="left"/>
      <w:textAlignment w:val="baseline"/>
    </w:pPr>
  </w:style>
  <w:style w:type="character" w:customStyle="1" w:styleId="38">
    <w:name w:val="正文文本 字符"/>
    <w:link w:val="12"/>
    <w:autoRedefine/>
    <w:qFormat/>
    <w:locked/>
    <w:uiPriority w:val="0"/>
    <w:rPr>
      <w:sz w:val="18"/>
    </w:rPr>
  </w:style>
  <w:style w:type="character" w:customStyle="1" w:styleId="39">
    <w:name w:val="标题 1 字符"/>
    <w:link w:val="2"/>
    <w:autoRedefine/>
    <w:qFormat/>
    <w:uiPriority w:val="99"/>
    <w:rPr>
      <w:rFonts w:ascii="Times New Roman" w:hAnsi="Times New Roman" w:eastAsia="宋体"/>
      <w:b/>
      <w:bCs/>
      <w:color w:val="000000"/>
      <w:kern w:val="44"/>
      <w:sz w:val="30"/>
      <w:szCs w:val="30"/>
    </w:rPr>
  </w:style>
  <w:style w:type="character" w:customStyle="1" w:styleId="40">
    <w:name w:val="批注文字 字符"/>
    <w:link w:val="10"/>
    <w:autoRedefine/>
    <w:qFormat/>
    <w:locked/>
    <w:uiPriority w:val="0"/>
    <w:rPr>
      <w:rFonts w:ascii="Times New Roman" w:hAnsi="Times New Roman" w:eastAsia="宋体"/>
      <w:sz w:val="24"/>
    </w:rPr>
  </w:style>
  <w:style w:type="character" w:customStyle="1" w:styleId="41">
    <w:name w:val="正文文本缩进 字符"/>
    <w:link w:val="13"/>
    <w:autoRedefine/>
    <w:semiHidden/>
    <w:qFormat/>
    <w:locked/>
    <w:uiPriority w:val="0"/>
    <w:rPr>
      <w:rFonts w:ascii="Times New Roman" w:hAnsi="Times New Roman" w:eastAsia="宋体"/>
      <w:sz w:val="24"/>
    </w:rPr>
  </w:style>
  <w:style w:type="character" w:customStyle="1" w:styleId="42">
    <w:name w:val="日期 字符"/>
    <w:link w:val="17"/>
    <w:autoRedefine/>
    <w:qFormat/>
    <w:locked/>
    <w:uiPriority w:val="0"/>
    <w:rPr>
      <w:rFonts w:ascii="Times New Roman" w:hAnsi="Times New Roman" w:eastAsia="宋体"/>
      <w:sz w:val="24"/>
    </w:rPr>
  </w:style>
  <w:style w:type="character" w:customStyle="1" w:styleId="43">
    <w:name w:val="批注框文本 字符"/>
    <w:link w:val="19"/>
    <w:autoRedefine/>
    <w:semiHidden/>
    <w:qFormat/>
    <w:locked/>
    <w:uiPriority w:val="0"/>
    <w:rPr>
      <w:rFonts w:ascii="Times New Roman" w:hAnsi="Times New Roman" w:eastAsia="宋体"/>
      <w:sz w:val="18"/>
    </w:rPr>
  </w:style>
  <w:style w:type="character" w:customStyle="1" w:styleId="44">
    <w:name w:val="页脚 字符"/>
    <w:link w:val="20"/>
    <w:autoRedefine/>
    <w:qFormat/>
    <w:locked/>
    <w:uiPriority w:val="99"/>
    <w:rPr>
      <w:sz w:val="18"/>
    </w:rPr>
  </w:style>
  <w:style w:type="character" w:customStyle="1" w:styleId="45">
    <w:name w:val="页眉 字符"/>
    <w:link w:val="22"/>
    <w:autoRedefine/>
    <w:qFormat/>
    <w:locked/>
    <w:uiPriority w:val="0"/>
    <w:rPr>
      <w:sz w:val="18"/>
    </w:rPr>
  </w:style>
  <w:style w:type="character" w:customStyle="1" w:styleId="46">
    <w:name w:val="普通(网站) 字符"/>
    <w:link w:val="24"/>
    <w:autoRedefine/>
    <w:qFormat/>
    <w:locked/>
    <w:uiPriority w:val="0"/>
    <w:rPr>
      <w:rFonts w:ascii="宋体" w:hAnsi="宋体" w:eastAsia="宋体"/>
      <w:sz w:val="24"/>
    </w:rPr>
  </w:style>
  <w:style w:type="character" w:customStyle="1" w:styleId="47">
    <w:name w:val="批注主题 字符"/>
    <w:link w:val="26"/>
    <w:autoRedefine/>
    <w:semiHidden/>
    <w:qFormat/>
    <w:locked/>
    <w:uiPriority w:val="0"/>
    <w:rPr>
      <w:rFonts w:ascii="Times New Roman" w:hAnsi="Times New Roman" w:eastAsia="宋体"/>
      <w:b/>
      <w:kern w:val="2"/>
      <w:sz w:val="24"/>
    </w:rPr>
  </w:style>
  <w:style w:type="paragraph" w:customStyle="1" w:styleId="48">
    <w:name w:val="Default"/>
    <w:basedOn w:val="49"/>
    <w:next w:val="50"/>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9">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50">
    <w:name w:val="1正文段落"/>
    <w:basedOn w:val="1"/>
    <w:autoRedefine/>
    <w:qFormat/>
    <w:uiPriority w:val="0"/>
    <w:pPr>
      <w:spacing w:line="360" w:lineRule="auto"/>
      <w:ind w:firstLine="480" w:firstLineChars="200"/>
      <w:jc w:val="left"/>
    </w:pPr>
    <w:rPr>
      <w:snapToGrid w:val="0"/>
      <w:kern w:val="0"/>
      <w:sz w:val="24"/>
    </w:rPr>
  </w:style>
  <w:style w:type="paragraph" w:customStyle="1" w:styleId="51">
    <w:name w:val="纯文本1"/>
    <w:basedOn w:val="1"/>
    <w:autoRedefine/>
    <w:qFormat/>
    <w:uiPriority w:val="0"/>
    <w:pPr>
      <w:adjustRightInd w:val="0"/>
    </w:pPr>
    <w:rPr>
      <w:rFonts w:ascii="宋体" w:hAnsi="Courier New"/>
      <w:szCs w:val="20"/>
    </w:rPr>
  </w:style>
  <w:style w:type="paragraph" w:customStyle="1" w:styleId="52">
    <w:name w:val="标题2"/>
    <w:basedOn w:val="3"/>
    <w:autoRedefine/>
    <w:qFormat/>
    <w:uiPriority w:val="0"/>
    <w:pPr>
      <w:numPr>
        <w:ilvl w:val="1"/>
        <w:numId w:val="2"/>
      </w:numPr>
      <w:spacing w:before="0" w:after="0" w:line="440" w:lineRule="exact"/>
    </w:pPr>
    <w:rPr>
      <w:kern w:val="0"/>
      <w:sz w:val="28"/>
    </w:rPr>
  </w:style>
  <w:style w:type="paragraph" w:customStyle="1" w:styleId="53">
    <w:name w:val="文本"/>
    <w:basedOn w:val="1"/>
    <w:next w:val="1"/>
    <w:autoRedefine/>
    <w:qFormat/>
    <w:uiPriority w:val="0"/>
    <w:pPr>
      <w:autoSpaceDE w:val="0"/>
      <w:autoSpaceDN w:val="0"/>
      <w:ind w:firstLine="480"/>
    </w:pPr>
    <w:rPr>
      <w:rFonts w:cs="Times New Roman"/>
      <w:szCs w:val="24"/>
      <w:lang w:val="zh-CN"/>
    </w:rPr>
  </w:style>
  <w:style w:type="paragraph" w:customStyle="1" w:styleId="54">
    <w:name w:val="表格内"/>
    <w:basedOn w:val="1"/>
    <w:autoRedefine/>
    <w:qFormat/>
    <w:uiPriority w:val="0"/>
    <w:pPr>
      <w:jc w:val="center"/>
    </w:pPr>
    <w:rPr>
      <w:rFonts w:ascii="Times New Roman" w:hAnsi="Times New Roman" w:eastAsia="宋体"/>
      <w:sz w:val="21"/>
    </w:rPr>
  </w:style>
  <w:style w:type="paragraph" w:customStyle="1" w:styleId="55">
    <w:name w:val="表格内容"/>
    <w:basedOn w:val="56"/>
    <w:autoRedefine/>
    <w:qFormat/>
    <w:uiPriority w:val="0"/>
    <w:pPr>
      <w:spacing w:line="240" w:lineRule="auto"/>
      <w:outlineLvl w:val="9"/>
    </w:pPr>
    <w:rPr>
      <w:rFonts w:ascii="Times New Roman" w:hAnsi="Times New Roman"/>
      <w:b w:val="0"/>
    </w:rPr>
  </w:style>
  <w:style w:type="paragraph" w:customStyle="1" w:styleId="56">
    <w:name w:val="表格标题11.23"/>
    <w:basedOn w:val="1"/>
    <w:next w:val="55"/>
    <w:autoRedefine/>
    <w:qFormat/>
    <w:uiPriority w:val="0"/>
    <w:pPr>
      <w:ind w:firstLine="0" w:firstLineChars="0"/>
      <w:jc w:val="center"/>
    </w:pPr>
    <w:rPr>
      <w:b/>
      <w:sz w:val="21"/>
    </w:rPr>
  </w:style>
  <w:style w:type="paragraph" w:customStyle="1" w:styleId="57">
    <w:name w:val="表格标题"/>
    <w:basedOn w:val="9"/>
    <w:next w:val="58"/>
    <w:autoRedefine/>
    <w:qFormat/>
    <w:uiPriority w:val="0"/>
    <w:pPr>
      <w:keepNext/>
      <w:spacing w:line="360" w:lineRule="auto"/>
      <w:ind w:firstLine="0" w:firstLineChars="0"/>
      <w:jc w:val="center"/>
    </w:pPr>
    <w:rPr>
      <w:rFonts w:ascii="Times New Roman" w:hAnsi="Times New Roman" w:eastAsia="宋体" w:cs="Times New Roman"/>
      <w:b/>
      <w:sz w:val="21"/>
    </w:rPr>
  </w:style>
  <w:style w:type="paragraph" w:customStyle="1" w:styleId="58">
    <w:name w:val="表格正乾"/>
    <w:basedOn w:val="1"/>
    <w:next w:val="1"/>
    <w:autoRedefine/>
    <w:qFormat/>
    <w:uiPriority w:val="0"/>
    <w:pPr>
      <w:adjustRightInd w:val="0"/>
      <w:snapToGrid w:val="0"/>
      <w:spacing w:line="240" w:lineRule="auto"/>
      <w:jc w:val="center"/>
    </w:pPr>
    <w:rPr>
      <w:rFonts w:ascii="Times New Roman" w:hAnsi="Times New Roman"/>
      <w:kern w:val="0"/>
      <w:sz w:val="21"/>
      <w:szCs w:val="20"/>
      <w:lang w:val="en-US" w:bidi="ar-SA"/>
    </w:rPr>
  </w:style>
  <w:style w:type="paragraph" w:customStyle="1" w:styleId="59">
    <w:name w:val="表标题"/>
    <w:basedOn w:val="1"/>
    <w:next w:val="1"/>
    <w:autoRedefine/>
    <w:qFormat/>
    <w:uiPriority w:val="0"/>
    <w:pPr>
      <w:overflowPunct w:val="0"/>
      <w:autoSpaceDE w:val="0"/>
      <w:autoSpaceDN w:val="0"/>
      <w:adjustRightInd w:val="0"/>
      <w:spacing w:beforeLines="0" w:afterLines="0"/>
      <w:ind w:firstLine="0" w:firstLineChars="0"/>
      <w:jc w:val="center"/>
      <w:textAlignment w:val="baseline"/>
    </w:pPr>
    <w:rPr>
      <w:rFonts w:ascii="Times New Roman" w:hAnsi="Times New Roman"/>
      <w:b/>
      <w:bCs/>
      <w:kern w:val="0"/>
      <w:sz w:val="21"/>
      <w:szCs w:val="20"/>
    </w:rPr>
  </w:style>
  <w:style w:type="character" w:customStyle="1" w:styleId="60">
    <w:name w:val="表格 Char"/>
    <w:link w:val="61"/>
    <w:autoRedefine/>
    <w:qFormat/>
    <w:locked/>
    <w:uiPriority w:val="0"/>
    <w:rPr>
      <w:rFonts w:ascii="Times New Roman" w:hAnsi="Times New Roman" w:eastAsia="宋体"/>
      <w:sz w:val="21"/>
    </w:rPr>
  </w:style>
  <w:style w:type="paragraph" w:customStyle="1" w:styleId="61">
    <w:name w:val="表格"/>
    <w:basedOn w:val="16"/>
    <w:link w:val="60"/>
    <w:autoRedefine/>
    <w:qFormat/>
    <w:uiPriority w:val="0"/>
    <w:pPr>
      <w:adjustRightInd w:val="0"/>
      <w:snapToGrid w:val="0"/>
      <w:spacing w:line="240" w:lineRule="auto"/>
      <w:jc w:val="center"/>
    </w:pPr>
    <w:rPr>
      <w:kern w:val="0"/>
      <w:sz w:val="21"/>
      <w:szCs w:val="20"/>
    </w:rPr>
  </w:style>
  <w:style w:type="paragraph" w:customStyle="1" w:styleId="62">
    <w:name w:val="表头"/>
    <w:basedOn w:val="53"/>
    <w:autoRedefine/>
    <w:qFormat/>
    <w:uiPriority w:val="0"/>
    <w:pPr>
      <w:spacing w:line="360" w:lineRule="auto"/>
      <w:jc w:val="center"/>
    </w:pPr>
    <w:rPr>
      <w:b/>
      <w:sz w:val="21"/>
      <w:szCs w:val="22"/>
      <w:lang w:val="en-US" w:eastAsia="zh-CN" w:bidi="ar-SA"/>
    </w:rPr>
  </w:style>
  <w:style w:type="paragraph" w:customStyle="1" w:styleId="63">
    <w:name w:val="表格标题8"/>
    <w:basedOn w:val="9"/>
    <w:next w:val="1"/>
    <w:autoRedefine/>
    <w:qFormat/>
    <w:uiPriority w:val="0"/>
    <w:pPr>
      <w:keepNext/>
      <w:spacing w:line="360" w:lineRule="auto"/>
      <w:ind w:firstLine="0" w:firstLineChars="0"/>
      <w:jc w:val="center"/>
    </w:pPr>
    <w:rPr>
      <w:rFonts w:ascii="Times New Roman" w:hAnsi="Times New Roman" w:eastAsia="宋体" w:cs="Times New Roman"/>
      <w:b/>
      <w:sz w:val="21"/>
    </w:rPr>
  </w:style>
  <w:style w:type="paragraph" w:customStyle="1" w:styleId="64">
    <w:name w:val="表格内正文"/>
    <w:basedOn w:val="1"/>
    <w:autoRedefine/>
    <w:qFormat/>
    <w:uiPriority w:val="0"/>
    <w:pPr>
      <w:snapToGrid w:val="0"/>
      <w:spacing w:line="240" w:lineRule="auto"/>
      <w:ind w:firstLine="0" w:firstLineChars="0"/>
      <w:jc w:val="center"/>
    </w:pPr>
    <w:rPr>
      <w:rFonts w:ascii="Times New Roman" w:hAnsi="Times New Roman" w:eastAsia="宋体" w:cs="Times New Roman"/>
      <w:spacing w:val="4"/>
      <w:kern w:val="18"/>
      <w:sz w:val="21"/>
      <w:szCs w:val="24"/>
    </w:rPr>
  </w:style>
  <w:style w:type="paragraph" w:customStyle="1" w:styleId="65">
    <w:name w:val="表格内-新华"/>
    <w:basedOn w:val="1"/>
    <w:autoRedefine/>
    <w:qFormat/>
    <w:uiPriority w:val="0"/>
    <w:pPr>
      <w:spacing w:line="240" w:lineRule="auto"/>
      <w:jc w:val="center"/>
    </w:pPr>
    <w:rPr>
      <w:rFonts w:ascii="Times New Roman" w:hAnsi="Times New Roman" w:eastAsia="宋体"/>
      <w:sz w:val="21"/>
    </w:rPr>
  </w:style>
  <w:style w:type="paragraph" w:customStyle="1" w:styleId="66">
    <w:name w:val="精深/表格标题"/>
    <w:basedOn w:val="9"/>
    <w:next w:val="55"/>
    <w:autoRedefine/>
    <w:qFormat/>
    <w:uiPriority w:val="0"/>
    <w:pPr>
      <w:keepNext/>
      <w:spacing w:line="360" w:lineRule="auto"/>
      <w:ind w:firstLine="0" w:firstLineChars="0"/>
      <w:jc w:val="center"/>
    </w:pPr>
    <w:rPr>
      <w:rFonts w:ascii="Times New Roman" w:hAnsi="Times New Roman" w:eastAsia="Times New Roman" w:cs="Times New Roman"/>
      <w:b/>
      <w:sz w:val="21"/>
    </w:rPr>
  </w:style>
  <w:style w:type="paragraph" w:customStyle="1" w:styleId="67">
    <w:name w:val="3表格内容自定"/>
    <w:basedOn w:val="1"/>
    <w:autoRedefine/>
    <w:qFormat/>
    <w:uiPriority w:val="0"/>
    <w:pPr>
      <w:spacing w:line="240" w:lineRule="auto"/>
      <w:jc w:val="center"/>
    </w:pPr>
    <w:rPr>
      <w:rFonts w:cs="Times New Roman"/>
      <w:kern w:val="0"/>
      <w:sz w:val="21"/>
      <w:szCs w:val="22"/>
    </w:rPr>
  </w:style>
  <w:style w:type="paragraph" w:customStyle="1" w:styleId="68">
    <w:name w:val="表内格式"/>
    <w:basedOn w:val="1"/>
    <w:autoRedefine/>
    <w:qFormat/>
    <w:locked/>
    <w:uiPriority w:val="0"/>
    <w:pPr>
      <w:spacing w:line="240" w:lineRule="auto"/>
      <w:ind w:firstLine="0" w:firstLineChars="0"/>
      <w:jc w:val="center"/>
    </w:pPr>
    <w:rPr>
      <w:rFonts w:ascii="Times New Roman" w:hAnsi="Times New Roman"/>
      <w:sz w:val="21"/>
      <w:szCs w:val="20"/>
    </w:rPr>
  </w:style>
  <w:style w:type="paragraph" w:customStyle="1" w:styleId="69">
    <w:name w:val="Table Paragraph"/>
    <w:basedOn w:val="1"/>
    <w:autoRedefine/>
    <w:qFormat/>
    <w:uiPriority w:val="1"/>
  </w:style>
  <w:style w:type="paragraph" w:customStyle="1" w:styleId="70">
    <w:name w:val="精深/表格"/>
    <w:basedOn w:val="1"/>
    <w:autoRedefine/>
    <w:qFormat/>
    <w:uiPriority w:val="0"/>
    <w:pPr>
      <w:spacing w:line="240" w:lineRule="auto"/>
      <w:jc w:val="center"/>
    </w:pPr>
    <w:rPr>
      <w:rFonts w:ascii="Times New Roman" w:hAnsi="Times New Roman" w:eastAsia="宋体" w:cs="Times New Roman"/>
      <w:kern w:val="0"/>
      <w:sz w:val="21"/>
      <w:szCs w:val="22"/>
    </w:rPr>
  </w:style>
  <w:style w:type="paragraph" w:customStyle="1" w:styleId="71">
    <w:name w:val="11111111111"/>
    <w:basedOn w:val="1"/>
    <w:autoRedefine/>
    <w:qFormat/>
    <w:uiPriority w:val="0"/>
    <w:pPr>
      <w:spacing w:line="480" w:lineRule="exact"/>
      <w:jc w:val="center"/>
    </w:pPr>
    <w:rPr>
      <w:b/>
      <w:kern w:val="0"/>
      <w:sz w:val="20"/>
      <w:szCs w:val="20"/>
    </w:rPr>
  </w:style>
  <w:style w:type="paragraph" w:customStyle="1" w:styleId="72">
    <w:name w:val="表格内部—常用"/>
    <w:basedOn w:val="1"/>
    <w:next w:val="1"/>
    <w:autoRedefine/>
    <w:qFormat/>
    <w:uiPriority w:val="0"/>
    <w:pPr>
      <w:jc w:val="center"/>
    </w:pPr>
    <w:rPr>
      <w:szCs w:val="21"/>
    </w:rPr>
  </w:style>
  <w:style w:type="paragraph" w:customStyle="1" w:styleId="73">
    <w:name w:val="正文（首行缩进） Char"/>
    <w:basedOn w:val="1"/>
    <w:autoRedefine/>
    <w:qFormat/>
    <w:uiPriority w:val="0"/>
    <w:pPr>
      <w:widowControl/>
      <w:overflowPunct w:val="0"/>
      <w:topLinePunct/>
      <w:autoSpaceDE w:val="0"/>
      <w:autoSpaceDN w:val="0"/>
      <w:adjustRightInd w:val="0"/>
      <w:snapToGrid w:val="0"/>
      <w:spacing w:line="360" w:lineRule="auto"/>
      <w:ind w:firstLine="480" w:firstLineChars="200"/>
      <w:textAlignment w:val="baseline"/>
    </w:pPr>
    <w:rPr>
      <w:kern w:val="0"/>
      <w:sz w:val="24"/>
      <w:szCs w:val="24"/>
    </w:rPr>
  </w:style>
  <w:style w:type="paragraph" w:customStyle="1" w:styleId="74">
    <w:name w:val="样式3"/>
    <w:basedOn w:val="1"/>
    <w:autoRedefine/>
    <w:qFormat/>
    <w:uiPriority w:val="0"/>
    <w:pPr>
      <w:autoSpaceDE w:val="0"/>
      <w:autoSpaceDN w:val="0"/>
      <w:snapToGrid w:val="0"/>
      <w:spacing w:before="120" w:line="460" w:lineRule="atLeast"/>
      <w:jc w:val="center"/>
    </w:pPr>
    <w:rPr>
      <w:rFonts w:eastAsia="黑体"/>
      <w:sz w:val="28"/>
    </w:rPr>
  </w:style>
  <w:style w:type="paragraph" w:customStyle="1" w:styleId="75">
    <w:name w:val="正文-zl"/>
    <w:basedOn w:val="1"/>
    <w:autoRedefine/>
    <w:qFormat/>
    <w:uiPriority w:val="0"/>
    <w:pPr>
      <w:ind w:firstLine="480"/>
    </w:pPr>
  </w:style>
  <w:style w:type="paragraph" w:customStyle="1" w:styleId="76">
    <w:name w:val="List Paragraph"/>
    <w:basedOn w:val="1"/>
    <w:autoRedefine/>
    <w:qFormat/>
    <w:uiPriority w:val="0"/>
    <w:pPr>
      <w:ind w:firstLine="420"/>
    </w:pPr>
    <w:rPr>
      <w:rFonts w:ascii="Calibri" w:hAnsi="Calibri" w:cs="Calibri"/>
      <w:kern w:val="1"/>
      <w:szCs w:val="22"/>
    </w:rPr>
  </w:style>
  <w:style w:type="paragraph" w:customStyle="1" w:styleId="77">
    <w:name w:val="报告表正文"/>
    <w:basedOn w:val="1"/>
    <w:autoRedefine/>
    <w:qFormat/>
    <w:uiPriority w:val="0"/>
    <w:pPr>
      <w:spacing w:line="360" w:lineRule="auto"/>
      <w:ind w:firstLine="720" w:firstLineChars="200"/>
      <w:jc w:val="left"/>
    </w:pPr>
    <w:rPr>
      <w:sz w:val="24"/>
    </w:rPr>
  </w:style>
  <w:style w:type="paragraph" w:customStyle="1" w:styleId="78">
    <w:name w:val="0正文"/>
    <w:autoRedefine/>
    <w:unhideWhenUsed/>
    <w:qFormat/>
    <w:uiPriority w:val="0"/>
    <w:pPr>
      <w:widowControl w:val="0"/>
      <w:spacing w:line="360" w:lineRule="auto"/>
      <w:ind w:firstLine="720" w:firstLineChars="200"/>
    </w:pPr>
    <w:rPr>
      <w:rFonts w:ascii="Times New Roman" w:hAnsi="Times New Roman" w:eastAsia="宋体" w:cs="Microsoft Uighur"/>
      <w:sz w:val="24"/>
      <w:szCs w:val="22"/>
      <w:lang w:val="en-US" w:eastAsia="zh-CN" w:bidi="ar-SA"/>
    </w:rPr>
  </w:style>
  <w:style w:type="paragraph" w:customStyle="1" w:styleId="79">
    <w:name w:val="表格内容 1"/>
    <w:basedOn w:val="1"/>
    <w:autoRedefine/>
    <w:qFormat/>
    <w:uiPriority w:val="0"/>
    <w:pPr>
      <w:widowControl/>
      <w:spacing w:line="240" w:lineRule="auto"/>
      <w:ind w:firstLine="0" w:firstLineChars="0"/>
      <w:jc w:val="center"/>
    </w:pPr>
    <w:rPr>
      <w:rFonts w:ascii="Times New Roman" w:hAnsi="Times New Roman"/>
      <w:sz w:val="21"/>
      <w:szCs w:val="21"/>
    </w:rPr>
  </w:style>
  <w:style w:type="paragraph" w:customStyle="1" w:styleId="80">
    <w:name w:val="表格正文"/>
    <w:basedOn w:val="1"/>
    <w:next w:val="1"/>
    <w:autoRedefine/>
    <w:qFormat/>
    <w:uiPriority w:val="0"/>
    <w:pPr>
      <w:spacing w:line="360" w:lineRule="exact"/>
      <w:jc w:val="center"/>
    </w:pPr>
    <w:rPr>
      <w:szCs w:val="24"/>
    </w:rPr>
  </w:style>
  <w:style w:type="paragraph" w:customStyle="1" w:styleId="81">
    <w:name w:val="表内文字"/>
    <w:basedOn w:val="1"/>
    <w:autoRedefine/>
    <w:qFormat/>
    <w:uiPriority w:val="0"/>
    <w:pPr>
      <w:adjustRightInd w:val="0"/>
      <w:spacing w:line="240" w:lineRule="auto"/>
      <w:ind w:firstLine="0" w:firstLineChars="0"/>
      <w:jc w:val="center"/>
      <w:textAlignment w:val="baseline"/>
    </w:pPr>
    <w:rPr>
      <w:rFonts w:ascii="Times New Roman" w:hAnsi="Times New Roman"/>
      <w:sz w:val="21"/>
      <w:szCs w:val="20"/>
    </w:rPr>
  </w:style>
  <w:style w:type="character" w:customStyle="1" w:styleId="82">
    <w:name w:val="NormalCharacter"/>
    <w:autoRedefine/>
    <w:qFormat/>
    <w:uiPriority w:val="0"/>
  </w:style>
  <w:style w:type="character" w:customStyle="1" w:styleId="83">
    <w:name w:val="fontstyle31"/>
    <w:autoRedefine/>
    <w:qFormat/>
    <w:uiPriority w:val="0"/>
    <w:rPr>
      <w:rFonts w:ascii="TimesNewRomanPSMT" w:hAnsi="TimesNewRomanPSMT" w:eastAsia="TimesNewRomanPSMT" w:cs="TimesNewRomanPSMT"/>
      <w:color w:val="000000"/>
      <w:sz w:val="22"/>
      <w:szCs w:val="22"/>
    </w:rPr>
  </w:style>
  <w:style w:type="paragraph" w:customStyle="1" w:styleId="84">
    <w:name w:val="1☆表格内部—常用"/>
    <w:basedOn w:val="1"/>
    <w:next w:val="1"/>
    <w:autoRedefine/>
    <w:qFormat/>
    <w:uiPriority w:val="0"/>
    <w:pPr>
      <w:spacing w:line="240" w:lineRule="auto"/>
      <w:ind w:firstLine="0" w:firstLineChars="0"/>
      <w:jc w:val="center"/>
    </w:pPr>
  </w:style>
  <w:style w:type="paragraph" w:customStyle="1" w:styleId="85">
    <w:name w:val="图、表内容"/>
    <w:basedOn w:val="1"/>
    <w:autoRedefine/>
    <w:qFormat/>
    <w:uiPriority w:val="0"/>
    <w:pPr>
      <w:adjustRightInd w:val="0"/>
      <w:snapToGrid w:val="0"/>
      <w:jc w:val="center"/>
    </w:pPr>
    <w:rPr>
      <w:rFonts w:cs="宋体"/>
      <w:spacing w:val="-2"/>
      <w:kern w:val="0"/>
      <w:szCs w:val="20"/>
    </w:rPr>
  </w:style>
  <w:style w:type="paragraph" w:customStyle="1" w:styleId="86">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87">
    <w:name w:val="2 表格内容"/>
    <w:basedOn w:val="1"/>
    <w:autoRedefine/>
    <w:qFormat/>
    <w:uiPriority w:val="0"/>
    <w:pPr>
      <w:adjustRightInd w:val="0"/>
      <w:snapToGrid w:val="0"/>
      <w:spacing w:line="320" w:lineRule="exact"/>
      <w:jc w:val="center"/>
    </w:pPr>
    <w:rPr>
      <w:szCs w:val="21"/>
    </w:rPr>
  </w:style>
  <w:style w:type="paragraph" w:customStyle="1" w:styleId="88">
    <w:name w:val="表格标题6"/>
    <w:basedOn w:val="12"/>
    <w:autoRedefine/>
    <w:qFormat/>
    <w:uiPriority w:val="0"/>
    <w:pPr>
      <w:spacing w:line="360" w:lineRule="auto"/>
      <w:ind w:right="0" w:firstLine="0" w:firstLineChars="0"/>
      <w:jc w:val="center"/>
    </w:pPr>
    <w:rPr>
      <w:b/>
      <w:kern w:val="44"/>
      <w:sz w:val="21"/>
    </w:rPr>
  </w:style>
  <w:style w:type="paragraph" w:customStyle="1" w:styleId="89">
    <w:name w:val="表格内6"/>
    <w:basedOn w:val="1"/>
    <w:autoRedefine/>
    <w:qFormat/>
    <w:uiPriority w:val="0"/>
    <w:pPr>
      <w:spacing w:line="240" w:lineRule="auto"/>
      <w:jc w:val="center"/>
    </w:pPr>
    <w:rPr>
      <w:rFonts w:ascii="Times New Roman" w:hAnsi="Times New Roman"/>
      <w:sz w:val="21"/>
    </w:rPr>
  </w:style>
  <w:style w:type="paragraph" w:customStyle="1" w:styleId="90">
    <w:name w:val="Normal_144"/>
    <w:autoRedefine/>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91">
    <w:name w:val="表"/>
    <w:basedOn w:val="1"/>
    <w:autoRedefine/>
    <w:qFormat/>
    <w:uiPriority w:val="0"/>
    <w:pPr>
      <w:spacing w:line="240" w:lineRule="auto"/>
      <w:ind w:firstLine="0" w:firstLineChars="0"/>
      <w:jc w:val="center"/>
    </w:pPr>
    <w:rPr>
      <w:rFonts w:ascii="Times New Roman" w:hAnsi="Times New Roman" w:eastAsia="宋体"/>
      <w:b/>
      <w:sz w:val="21"/>
    </w:rPr>
  </w:style>
  <w:style w:type="paragraph" w:styleId="92">
    <w:name w:val="No Spacing"/>
    <w:autoRedefine/>
    <w:qFormat/>
    <w:uiPriority w:val="1"/>
    <w:pPr>
      <w:widowControl w:val="0"/>
      <w:adjustRightInd w:val="0"/>
      <w:snapToGrid w:val="0"/>
      <w:jc w:val="center"/>
    </w:pPr>
    <w:rPr>
      <w:rFonts w:ascii="Times New Roman" w:hAnsi="Times New Roman" w:eastAsia="黑体" w:cs="Times New Roman"/>
      <w:kern w:val="2"/>
      <w:sz w:val="24"/>
      <w:szCs w:val="22"/>
      <w:lang w:val="en-US" w:eastAsia="zh-CN" w:bidi="ar-SA"/>
    </w:rPr>
  </w:style>
  <w:style w:type="paragraph" w:customStyle="1" w:styleId="93">
    <w:name w:val="表格内文字"/>
    <w:basedOn w:val="8"/>
    <w:autoRedefine/>
    <w:qFormat/>
    <w:uiPriority w:val="0"/>
    <w:pPr>
      <w:spacing w:line="240" w:lineRule="auto"/>
      <w:ind w:firstLine="0" w:firstLineChars="0"/>
      <w:jc w:val="center"/>
    </w:pPr>
    <w:rPr>
      <w:rFonts w:cs="Times New Roman"/>
      <w:sz w:val="21"/>
      <w:szCs w:val="20"/>
    </w:rPr>
  </w:style>
  <w:style w:type="table" w:customStyle="1" w:styleId="94">
    <w:name w:val="报告书表格"/>
    <w:basedOn w:val="29"/>
    <w:autoRedefine/>
    <w:qFormat/>
    <w:uiPriority w:val="99"/>
    <w:pPr>
      <w:adjustRightInd w:val="0"/>
      <w:snapToGrid w:val="0"/>
    </w:pPr>
    <w:tblPr>
      <w:jc w:val="center"/>
      <w:tblBorders>
        <w:top w:val="single" w:color="auto" w:sz="12" w:space="0"/>
        <w:bottom w:val="single" w:color="auto" w:sz="12" w:space="0"/>
        <w:insideH w:val="single" w:color="auto" w:sz="6" w:space="0"/>
        <w:insideV w:val="single" w:color="auto" w:sz="6" w:space="0"/>
      </w:tblBorders>
      <w:tblCellMar>
        <w:top w:w="0" w:type="dxa"/>
        <w:left w:w="57" w:type="dxa"/>
        <w:bottom w:w="0" w:type="dxa"/>
        <w:right w:w="57" w:type="dxa"/>
      </w:tblCellMar>
    </w:tblPr>
    <w:trPr>
      <w:jc w:val="center"/>
    </w:trPr>
    <w:tcPr>
      <w:vAlign w:val="center"/>
    </w:tcPr>
  </w:style>
  <w:style w:type="table" w:customStyle="1" w:styleId="95">
    <w:name w:val="主表"/>
    <w:basedOn w:val="29"/>
    <w:autoRedefine/>
    <w:qFormat/>
    <w:uiPriority w:val="99"/>
    <w:pPr>
      <w:jc w:val="center"/>
    </w:pPr>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paragraph" w:customStyle="1" w:styleId="96">
    <w:name w:val="正式文本"/>
    <w:basedOn w:val="1"/>
    <w:autoRedefine/>
    <w:qFormat/>
    <w:uiPriority w:val="0"/>
    <w:pPr>
      <w:adjustRightInd w:val="0"/>
      <w:snapToGrid w:val="0"/>
      <w:spacing w:line="360" w:lineRule="auto"/>
      <w:ind w:firstLine="420" w:firstLineChars="200"/>
      <w:jc w:val="left"/>
    </w:pPr>
    <w:rPr>
      <w:bCs/>
      <w:szCs w:val="21"/>
    </w:rPr>
  </w:style>
  <w:style w:type="paragraph" w:customStyle="1" w:styleId="97">
    <w:name w:val="新正文"/>
    <w:basedOn w:val="1"/>
    <w:autoRedefine/>
    <w:qFormat/>
    <w:uiPriority w:val="0"/>
    <w:pPr>
      <w:spacing w:line="480" w:lineRule="exact"/>
      <w:ind w:firstLine="482"/>
    </w:pPr>
    <w:rPr>
      <w:rFonts w:hint="eastAsia" w:ascii="仿宋_GB2312" w:hAnsi="Calibri" w:eastAsia="仿宋_GB2312"/>
      <w:bCs/>
      <w:kern w:val="0"/>
      <w:sz w:val="28"/>
    </w:rPr>
  </w:style>
  <w:style w:type="paragraph" w:customStyle="1" w:styleId="98">
    <w:name w:val="WPSOffice手动目录 1"/>
    <w:autoRedefine/>
    <w:qFormat/>
    <w:uiPriority w:val="0"/>
    <w:pPr>
      <w:ind w:leftChars="0"/>
    </w:pPr>
    <w:rPr>
      <w:rFonts w:ascii="Times New Roman" w:hAnsi="Times New Roman" w:eastAsia="宋体" w:cs="Times New Roman"/>
      <w:sz w:val="20"/>
      <w:szCs w:val="20"/>
    </w:rPr>
  </w:style>
  <w:style w:type="paragraph" w:customStyle="1" w:styleId="99">
    <w:name w:val="WPSOffice手动目录 2"/>
    <w:autoRedefine/>
    <w:qFormat/>
    <w:uiPriority w:val="0"/>
    <w:pPr>
      <w:ind w:leftChars="200"/>
    </w:pPr>
    <w:rPr>
      <w:rFonts w:ascii="Times New Roman" w:hAnsi="Times New Roman" w:eastAsia="宋体" w:cs="Times New Roman"/>
      <w:sz w:val="20"/>
      <w:szCs w:val="20"/>
    </w:rPr>
  </w:style>
  <w:style w:type="paragraph" w:customStyle="1" w:styleId="100">
    <w:name w:val="表格中文字yan博"/>
    <w:basedOn w:val="1"/>
    <w:autoRedefine/>
    <w:qFormat/>
    <w:uiPriority w:val="0"/>
    <w:pPr>
      <w:adjustRightInd w:val="0"/>
      <w:snapToGrid w:val="0"/>
      <w:spacing w:line="240" w:lineRule="auto"/>
      <w:jc w:val="center"/>
    </w:pPr>
    <w:rPr>
      <w:kern w:val="18"/>
      <w:sz w:val="21"/>
      <w:szCs w:val="21"/>
    </w:rPr>
  </w:style>
  <w:style w:type="paragraph" w:customStyle="1" w:styleId="101">
    <w:name w:val="表内最终版"/>
    <w:basedOn w:val="1"/>
    <w:unhideWhenUsed/>
    <w:qFormat/>
    <w:uiPriority w:val="0"/>
    <w:pPr>
      <w:adjustRightInd w:val="0"/>
      <w:snapToGrid w:val="0"/>
      <w:spacing w:line="240" w:lineRule="auto"/>
      <w:ind w:firstLine="0" w:firstLineChars="0"/>
      <w:jc w:val="center"/>
      <w:textAlignment w:val="baseline"/>
    </w:pPr>
    <w:rPr>
      <w:rFonts w:ascii="Times New Roman" w:hAnsi="Times New Roman" w:eastAsia="宋体"/>
      <w:sz w:val="21"/>
    </w:rPr>
  </w:style>
  <w:style w:type="paragraph" w:customStyle="1" w:styleId="102">
    <w:name w:val="表格内容自定"/>
    <w:basedOn w:val="1"/>
    <w:qFormat/>
    <w:uiPriority w:val="0"/>
    <w:pPr>
      <w:spacing w:line="240" w:lineRule="auto"/>
      <w:jc w:val="center"/>
    </w:pPr>
    <w:rPr>
      <w:kern w:val="0"/>
      <w:sz w:val="21"/>
      <w:szCs w:val="22"/>
    </w:rPr>
  </w:style>
  <w:style w:type="character" w:customStyle="1" w:styleId="103">
    <w:name w:val="font81"/>
    <w:basedOn w:val="31"/>
    <w:qFormat/>
    <w:uiPriority w:val="0"/>
    <w:rPr>
      <w:rFonts w:hint="eastAsia" w:ascii="宋体" w:hAnsi="宋体" w:eastAsia="宋体" w:cs="宋体"/>
      <w:color w:val="000000"/>
      <w:sz w:val="22"/>
      <w:szCs w:val="22"/>
      <w:u w:val="none"/>
    </w:rPr>
  </w:style>
  <w:style w:type="character" w:customStyle="1" w:styleId="104">
    <w:name w:val="font01"/>
    <w:basedOn w:val="31"/>
    <w:qFormat/>
    <w:uiPriority w:val="0"/>
    <w:rPr>
      <w:rFonts w:hint="eastAsia" w:ascii="宋体" w:hAnsi="宋体" w:eastAsia="宋体" w:cs="宋体"/>
      <w:color w:val="000000"/>
      <w:sz w:val="22"/>
      <w:szCs w:val="22"/>
      <w:u w:val="none"/>
    </w:rPr>
  </w:style>
  <w:style w:type="character" w:customStyle="1" w:styleId="105">
    <w:name w:val="font101"/>
    <w:basedOn w:val="31"/>
    <w:qFormat/>
    <w:uiPriority w:val="0"/>
    <w:rPr>
      <w:rFonts w:hint="eastAsia" w:ascii="宋体" w:hAnsi="宋体" w:eastAsia="宋体" w:cs="宋体"/>
      <w:color w:val="000000"/>
      <w:sz w:val="21"/>
      <w:szCs w:val="21"/>
      <w:u w:val="none"/>
    </w:rPr>
  </w:style>
  <w:style w:type="character" w:customStyle="1" w:styleId="106">
    <w:name w:val="font51"/>
    <w:basedOn w:val="31"/>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emf"/><Relationship Id="rId15" Type="http://schemas.openxmlformats.org/officeDocument/2006/relationships/oleObject" Target="embeddings/oleObject2.bin"/><Relationship Id="rId14" Type="http://schemas.openxmlformats.org/officeDocument/2006/relationships/image" Target="media/image2.emf"/><Relationship Id="rId13" Type="http://schemas.openxmlformats.org/officeDocument/2006/relationships/oleObject" Target="embeddings/oleObject1.bin"/><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7df44697-5031-46bc-bf0e-c3280947669c</errorID>
      <errorWord>：/</errorWord>
      <group>L1_Punc</group>
      <groupName>标点问题</groupName>
      <ability>L2_Punc</ability>
      <abilityName>标点符号检查</abilityName>
      <candidateList>
        <item>：</item>
      </candidateList>
      <explain/>
      <paraID>36DB2C93</paraID>
      <start>4</start>
      <end>6</end>
      <status>ignored</status>
      <modifiedWord/>
      <trackRevisions>false</trackRevisions>
    </reviewItem>
    <reviewItem>
      <errorID>81885683-43e4-446c-9c79-4b4184b3051a</errorID>
      <errorWord>：/</errorWord>
      <group>L1_Punc</group>
      <groupName>标点问题</groupName>
      <ability>L2_Punc</ability>
      <abilityName>标点符号检查</abilityName>
      <candidateList>
        <item>：</item>
      </candidateList>
      <explain/>
      <paraID>38D9E987</paraID>
      <start>9</start>
      <end>11</end>
      <status>ignored</status>
      <modifiedWord/>
      <trackRevisions>false</trackRevisions>
    </reviewItem>
    <reviewItem>
      <errorID>ab96ddd5-42cc-451b-9d4f-fba5e6c414ae</errorID>
      <errorWord>《</errorWord>
      <group>L1_Punc</group>
      <groupName>标点问题</groupName>
      <ability>L2_Punc</ability>
      <abilityName>标点符号检查</abilityName>
      <candidateList/>
      <explain>同一形式括号套用。</explain>
      <paraID>4DD64A7A</paraID>
      <start>15</start>
      <end>16</end>
      <status>ignored</status>
      <modifiedWord/>
      <trackRevisions>false</trackRevisions>
    </reviewItem>
    <reviewItem>
      <errorID>4695b379-4d27-4329-9c3d-7e9c01075d2a</errorID>
      <errorWord>》</errorWord>
      <group>L1_AI</group>
      <groupName>深度校对</groupName>
      <ability>L2_AI_Punc</ability>
      <abilityName>标点纠错</abilityName>
      <candidateList>
        <item>〉</item>
      </candidateList>
      <explain/>
      <paraID>4DD64A7A</paraID>
      <start>72</start>
      <end>73</end>
      <status>ignored</status>
      <modifiedWord/>
      <trackRevisions>false</trackRevisions>
    </reviewItem>
    <reviewItem>
      <errorID>4ac04883-6f12-4c46-8ec3-11aed7527064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7A7BE96E</paraID>
      <start>0</start>
      <end>2</end>
      <status>ignored</status>
      <modifiedWord/>
      <trackRevisions>false</trackRevisions>
    </reviewItem>
    <reviewItem>
      <errorID>2bdb77c6-31f3-4f3f-b9a8-c234f4c711bb</errorID>
      <errorWord>经过环境影响充分</errorWord>
      <group>L1_AI</group>
      <groupName>深度校对</groupName>
      <ability>L2_AI_Word</ability>
      <abilityName>字词纠错</abilityName>
      <candidateList>
        <item>进行充分的环境影响</item>
      </candidateList>
      <explain/>
      <paraID>6B20F2E1</paraID>
      <start>52</start>
      <end>60</end>
      <status>ignored</status>
      <modifiedWord/>
      <trackRevisions>false</trackRevisions>
    </reviewItem>
    <reviewItem>
      <errorID>7ffd9c4a-45cf-4dac-ae59-9db26da407dd</errorID>
      <errorWord>经</errorWord>
      <group>L1_AI</group>
      <groupName>深度校对</groupName>
      <ability>L2_AI_Word</ability>
      <abilityName>字词纠错</abilityName>
      <candidateList>
        <item>进行</item>
      </candidateList>
      <explain/>
      <paraID> 341088E</paraID>
      <start>60</start>
      <end>61</end>
      <status>ignored</status>
      <modifiedWord/>
      <trackRevisions>false</trackRevisions>
    </reviewItem>
    <reviewItem>
      <errorID>0de2f367-46e8-4968-82a8-a51d3b74a037</errorID>
      <errorWord>环境影响</errorWord>
      <group>L1_AI</group>
      <groupName>深度校对</groupName>
      <ability>L2_AI_Word</ability>
      <abilityName>字词纠错</abilityName>
      <candidateList>
        <item>的环境影响</item>
      </candidateList>
      <explain/>
      <paraID> 341088E</paraID>
      <start>63</start>
      <end>67</end>
      <status>ignored</status>
      <modifiedWord/>
      <trackRevisions>false</trackRevisions>
    </reviewItem>
    <reviewItem>
      <errorID>1c0aabfa-ace4-4bc4-9592-bf59900c5eaa</errorID>
      <errorWord>负</errorWord>
      <group>L1_AI</group>
      <groupName>深度校对</groupName>
      <ability>L2_AI_Word</ability>
      <abilityName>字词纠错</abilityName>
      <candidateList>
        <item>负面</item>
      </candidateList>
      <explain/>
      <paraID>5AF19217</paraID>
      <start>80</start>
      <end>82</end>
      <status>modified</status>
      <modifiedWord>负面</modifiedWord>
      <trackRevisions>false</trackRevisions>
    </reviewItem>
    <reviewItem>
      <errorID>3e9962f0-e0ac-4a01-8f95-046a977f114a</errorID>
      <errorWord>项目</errorWord>
      <group>L1_AI</group>
      <groupName>深度校对</groupName>
      <ability>L2_AI_Word</ability>
      <abilityName>字词纠错</abilityName>
      <candidateList>
        <item>的项目</item>
      </candidateList>
      <explain/>
      <paraID>5AF19217</paraID>
      <start>164</start>
      <end>166</end>
      <status>ignored</status>
      <modifiedWord/>
      <trackRevisions>false</trackRevisions>
    </reviewItem>
    <reviewItem>
      <errorID>3676e3f7-199e-492d-bbe7-e329b2a69ec9</errorID>
      <errorWord>：</errorWord>
      <group>L1_Format</group>
      <groupName>格式问题</groupName>
      <ability>L2_HalfPunc</ability>
      <abilityName>全半角检查</abilityName>
      <candidateList>
        <item>:</item>
      </candidateList>
      <explain>文本全半角错误。</explain>
      <paraID>3BEA95CA</paraID>
      <start>11</start>
      <end>12</end>
      <status>modified</status>
      <modifiedWord>:</modifiedWord>
      <trackRevisions>false</trackRevisions>
    </reviewItem>
    <reviewItem>
      <errorID>a01026cc-abc9-4a6b-95fc-4034880735d7</errorID>
      <errorWord>之前控制</errorWord>
      <group>L1_AI</group>
      <groupName>深度校对</groupName>
      <ability>L2_AI_Word</ability>
      <abilityName>字词纠错</abilityName>
      <candidateList>
        <item>之间保持</item>
      </candidateList>
      <explain/>
      <paraID>303AEE20</paraID>
      <start>50</start>
      <end>54</end>
      <status>ignored</status>
      <modifiedWord/>
      <trackRevisions>false</trackRevisions>
    </reviewItem>
    <reviewItem>
      <errorID>3b403ceb-588c-47b1-b706-4839b60814e2</errorID>
      <errorWord>土</errorWord>
      <group>L1_Word</group>
      <groupName>字词问题</groupName>
      <ability>L2_Typo</ability>
      <abilityName>字词错误</abilityName>
      <candidateList>
        <item>土地</item>
      </candidateList>
      <explain/>
      <paraID>3CBAF6CD</paraID>
      <start>0</start>
      <end>2</end>
      <status>modified</status>
      <modifiedWord>土地</modifiedWord>
      <trackRevisions>false</trackRevisions>
    </reviewItem>
    <reviewItem>
      <errorID>fa250144-9416-4081-afa3-f9fe30268cfb</errorID>
      <errorWord>的</errorWord>
      <group>L1_AI</group>
      <groupName>深度校对</groupName>
      <ability>L2_AI_Word</ability>
      <abilityName>字词纠错</abilityName>
      <candidateList>
        <item>地</item>
      </candidateList>
      <explain/>
      <paraID>18C218F2</paraID>
      <start>114</start>
      <end>115</end>
      <status>ignored</status>
      <modifiedWord/>
      <trackRevisions>false</trackRevisions>
    </reviewItem>
    <reviewItem>
      <errorID>0db8aa89-9480-4382-8fc5-ee9039edfba7</errorID>
      <errorWord>《</errorWord>
      <group>L1_Punc</group>
      <groupName>标点问题</groupName>
      <ability>L2_Punc</ability>
      <abilityName>标点符号检查</abilityName>
      <candidateList/>
      <explain>同一形式括号套用。</explain>
      <paraID>51DA4448</paraID>
      <start>20</start>
      <end>21</end>
      <status>ignored</status>
      <modifiedWord/>
      <trackRevisions>false</trackRevisions>
    </reviewItem>
    <reviewItem>
      <errorID>5f6430c3-fdd3-4d60-bfde-4d8dc6c7821a</errorID>
      <errorWord>》</errorWord>
      <group>L1_Punc</group>
      <groupName>标点问题</groupName>
      <ability>L2_Punc</ability>
      <abilityName>标点符号检查</abilityName>
      <candidateList/>
      <explain>同一形式括号套用。</explain>
      <paraID>51DA4448</paraID>
      <start>77</start>
      <end>78</end>
      <status>ignored</status>
      <modifiedWord/>
      <trackRevisions>false</trackRevisions>
    </reviewItem>
    <reviewItem>
      <errorID>e73e7859-f018-48ca-be2a-4179f3565f6e</errorID>
      <errorWord>本项目本项目</errorWord>
      <group>L1_Word</group>
      <groupName>字词问题</groupName>
      <ability>L2_Typo</ability>
      <abilityName>字词错误</abilityName>
      <candidateList>
        <item>本项目</item>
      </candidateList>
      <explain/>
      <paraID>3A73027F</paraID>
      <start>0</start>
      <end>3</end>
      <status>modified</status>
      <modifiedWord>本项目</modifiedWord>
      <trackRevisions>false</trackRevisions>
    </reviewItem>
    <reviewItem>
      <errorID>91d16f46-bd90-453a-b52e-023d6fcad4ee</errorID>
      <errorWord>环保基础设施建设</errorWord>
      <group>L1_Political</group>
      <groupName>政治性问题</groupName>
      <ability>L2_Keyword</ability>
      <abilityName>固定表述</abilityName>
      <candidateList>
        <item>环境基础设施建设</item>
      </candidateList>
      <explain>词汇“环境基础设施建设”在特定场景下为固定表述形式，请确认此处的“环保基础设施建设”是否存在不当。</explain>
      <paraID>1820AC90</paraID>
      <start>35</start>
      <end>43</end>
      <status>ignored</status>
      <modifiedWord/>
      <trackRevisions>false</trackRevisions>
    </reviewItem>
    <reviewItem>
      <errorID>3f65261f-495c-41ef-8642-9b6dfae2b1b6</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400A51C2</paraID>
      <start>2</start>
      <end>22</end>
      <status>ignored</status>
      <modifiedWord/>
      <trackRevisions>false</trackRevisions>
    </reviewItem>
    <reviewItem>
      <errorID>4ca10204-f019-43b7-adb6-0bb4a9dff3eb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7B0CFBD9</paraID>
      <start>0</start>
      <end>2</end>
      <status>ignored</status>
      <modifiedWord/>
      <trackRevisions>false</trackRevisions>
    </reviewItem>
    <reviewItem>
      <errorID>c3e4df05-6918-47ff-bc3c-007c476ab474</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7A1A6274</paraID>
      <start>24</start>
      <end>44</end>
      <status>ignored</status>
      <modifiedWord/>
      <trackRevisions>false</trackRevisions>
    </reviewItem>
    <reviewItem>
      <errorID>87e34ea3-0b89-4829-bb41-ae1ddb39818b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797A6962</paraID>
      <start>0</start>
      <end>2</end>
      <status>ignored</status>
      <modifiedWord/>
      <trackRevisions>false</trackRevisions>
    </reviewItem>
    <reviewItem>
      <errorID>de4d0874-e0b1-4f83-a2bd-af3e150d226f</errorID>
      <errorWord>（</errorWord>
      <group>L1_Punc</group>
      <groupName>标点问题</groupName>
      <ability>L2_Punc</ability>
      <abilityName>标点符号检查</abilityName>
      <candidateList/>
      <explain>同一形式括号套用。</explain>
      <paraID>5EF7FCAF</paraID>
      <start>19</start>
      <end>20</end>
      <status>ignored</status>
      <modifiedWord/>
      <trackRevisions>false</trackRevisions>
    </reviewItem>
    <reviewItem>
      <errorID>f5f2cd67-769a-4daa-bcd9-092e578c9078</errorID>
      <errorWord>）</errorWord>
      <group>L1_Punc</group>
      <groupName>标点问题</groupName>
      <ability>L2_Punc</ability>
      <abilityName>标点符号检查</abilityName>
      <candidateList/>
      <explain>同一形式括号套用。</explain>
      <paraID>5EF7FCAF</paraID>
      <start>22</start>
      <end>23</end>
      <status>ignored</status>
      <modifiedWord/>
      <trackRevisions>false</trackRevisions>
    </reviewItem>
    <reviewItem>
      <errorID>aba6ede5-4b0c-4c13-a573-f72600a943f9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5F4EBF3C</paraID>
      <start>0</start>
      <end>2</end>
      <status>ignored</status>
      <modifiedWord/>
      <trackRevisions>false</trackRevisions>
    </reviewItem>
    <reviewItem>
      <errorID>58fe0fc5-bfe9-4220-8460-8812bc9cf904</errorID>
      <errorWord>“</errorWord>
      <group>L1_Punc</group>
      <groupName>标点问题</groupName>
      <ability>L2_Punc</ability>
      <abilityName>标点符号检查</abilityName>
      <candidateList/>
      <explain/>
      <paraID>1D9AC733</paraID>
      <start>2</start>
      <end>3</end>
      <status>ignored</status>
      <modifiedWord/>
      <trackRevisions>false</trackRevisions>
    </reviewItem>
    <reviewItem>
      <errorID>4e6d2a1f-8cbf-40f8-9fbd-8d2928a7dd7f</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 922BB25</paraID>
      <start>2</start>
      <end>22</end>
      <status>ignored</status>
      <modifiedWord/>
      <trackRevisions>false</trackRevisions>
    </reviewItem>
    <reviewItem>
      <errorID>04f76e48-9ae3-4d76-b7ab-cdcfaad9274f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75DA384C</paraID>
      <start>0</start>
      <end>2</end>
      <status>ignored</status>
      <modifiedWord/>
      <trackRevisions>false</trackRevisions>
    </reviewItem>
    <reviewItem>
      <errorID>44cba167-472d-45ec-a1d6-0fbce59642ff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1754FB12</paraID>
      <start>0</start>
      <end>2</end>
      <status>ignored</status>
      <modifiedWord/>
      <trackRevisions>false</trackRevisions>
    </reviewItem>
    <reviewItem>
      <errorID>0289a1a1-d4d7-4529-b4df-0aaee4d9c506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EABFBC6</paraID>
      <start>0</start>
      <end>2</end>
      <status>ignored</status>
      <modifiedWord/>
      <trackRevisions>false</trackRevisions>
    </reviewItem>
    <reviewItem>
      <errorID>ec739cc0-e0a7-4e16-aeb3-6dde9a2dcf06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32AFD63</paraID>
      <start>0</start>
      <end>2</end>
      <status>ignored</status>
      <modifiedWord/>
      <trackRevisions>false</trackRevisions>
    </reviewItem>
    <reviewItem>
      <errorID>6a1b05b6-0a58-41e8-99aa-45ad82cb3d19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527DD0CE</paraID>
      <start>0</start>
      <end>2</end>
      <status>ignored</status>
      <modifiedWord/>
      <trackRevisions>false</trackRevisions>
    </reviewItem>
    <reviewItem>
      <errorID>f6a7b4ba-3fba-42f9-8893-e6d4422fa0e2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1EE541A3</paraID>
      <start>0</start>
      <end>2</end>
      <status>ignored</status>
      <modifiedWord/>
      <trackRevisions>false</trackRevisions>
    </reviewItem>
    <reviewItem>
      <errorID>63d38e55-eb65-4e89-bb0e-e9df9a18f8c5</errorID>
      <errorWord>(</errorWord>
      <group>L1_Format</group>
      <groupName>格式问题</groupName>
      <ability>L2_HalfPunc</ability>
      <abilityName>全半角检查</abilityName>
      <candidateList>
        <item>（</item>
      </candidateList>
      <explain>文本全半角错误。</explain>
      <paraID>3D6B6F0C</paraID>
      <start>21</start>
      <end>22</end>
      <status>modified</status>
      <modifiedWord>（</modifiedWord>
      <trackRevisions>false</trackRevisions>
    </reviewItem>
    <reviewItem>
      <errorID>c6cc4a23-8664-4d1a-986d-0272e080ad83</errorID>
      <errorWord>)</errorWord>
      <group>L1_Format</group>
      <groupName>格式问题</groupName>
      <ability>L2_HalfPunc</ability>
      <abilityName>全半角检查</abilityName>
      <candidateList>
        <item>）</item>
      </candidateList>
      <explain>文本全半角错误。</explain>
      <paraID>3D6B6F0C</paraID>
      <start>30</start>
      <end>31</end>
      <status>modified</status>
      <modifiedWord>）</modifiedWord>
      <trackRevisions>false</trackRevisions>
    </reviewItem>
    <reviewItem>
      <errorID>cd5ccf02-70f9-46e7-a67c-258cfacc4b10</errorID>
      <errorWord>:</errorWord>
      <group>L1_Format</group>
      <groupName>格式问题</groupName>
      <ability>L2_HalfPunc</ability>
      <abilityName>全半角检查</abilityName>
      <candidateList>
        <item>：</item>
      </candidateList>
      <explain>文本全半角错误。</explain>
      <paraID>4F12FE82</paraID>
      <start>4</start>
      <end>5</end>
      <status>modified</status>
      <modifiedWord>：</modifiedWord>
      <trackRevisions>false</trackRevisions>
    </reviewItem>
    <reviewItem>
      <errorID>ba9156b0-5981-44df-9262-4ce293f89985</errorID>
      <errorWord>(</errorWord>
      <group>L1_Format</group>
      <groupName>格式问题</groupName>
      <ability>L2_HalfPunc</ability>
      <abilityName>全半角检查</abilityName>
      <candidateList>
        <item>（</item>
      </candidateList>
      <explain>文本全半角错误。</explain>
      <paraID> FE9E1B8</paraID>
      <start>225</start>
      <end>226</end>
      <status>modified</status>
      <modifiedWord>（</modifiedWord>
      <trackRevisions>false</trackRevisions>
    </reviewItem>
    <reviewItem>
      <errorID>935cce55-be3d-4d9c-aacc-0b9556790798</errorID>
      <errorWord>)</errorWord>
      <group>L1_Format</group>
      <groupName>格式问题</groupName>
      <ability>L2_HalfPunc</ability>
      <abilityName>全半角检查</abilityName>
      <candidateList>
        <item>）</item>
      </candidateList>
      <explain>文本全半角错误。</explain>
      <paraID> FE9E1B8</paraID>
      <start>229</start>
      <end>230</end>
      <status>modified</status>
      <modifiedWord>）</modifiedWord>
      <trackRevisions>false</trackRevisions>
    </reviewItem>
    <reviewItem>
      <errorID>e055eb9a-e508-4843-9de4-391213ed48fa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69B1471C</paraID>
      <start>0</start>
      <end>2</end>
      <status>ignored</status>
      <modifiedWord/>
      <trackRevisions>false</trackRevisions>
    </reviewItem>
    <reviewItem>
      <errorID>332748ce-fe28-4614-8f02-c63559d173c4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623DB044</paraID>
      <start>0</start>
      <end>2</end>
      <status>ignored</status>
      <modifiedWord/>
      <trackRevisions>false</trackRevisions>
    </reviewItem>
    <reviewItem>
      <errorID>751cfc82-10e0-429f-8570-21b84b5ca951</errorID>
      <errorWord>)</errorWord>
      <group>L1_Format</group>
      <groupName>格式问题</groupName>
      <ability>L2_HalfPunc</ability>
      <abilityName>全半角检查</abilityName>
      <candidateList>
        <item>）</item>
      </candidateList>
      <explain>文本全半角错误。</explain>
      <paraID>66181718</paraID>
      <start>74</start>
      <end>75</end>
      <status>modified</status>
      <modifiedWord>）</modifiedWord>
      <trackRevisions>false</trackRevisions>
    </reviewItem>
    <reviewItem>
      <errorID>4c1d4d22-e98d-463f-a9ef-059a7d2088f2</errorID>
      <errorWord>计</errorWord>
      <group>L1_Word</group>
      <groupName>字词问题</groupName>
      <ability>L2_Typo</ability>
      <abilityName>字词错误</abilityName>
      <candidateList>
        <item>计算</item>
      </candidateList>
      <explain/>
      <paraID>66181718</paraID>
      <start>76</start>
      <end>77</end>
      <status>ignored</status>
      <modifiedWord/>
      <trackRevisions>false</trackRevisions>
    </reviewItem>
    <reviewItem>
      <errorID>57e46a3a-b0cb-49a6-bb3e-98b2600f0d8f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4CADD322</paraID>
      <start>0</start>
      <end>2</end>
      <status>ignored</status>
      <modifiedWord/>
      <trackRevisions>false</trackRevisions>
    </reviewItem>
    <reviewItem>
      <errorID>8fc88d54-ec4f-4a44-ae8c-1bacb512de02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2A1A39EF</paraID>
      <start>0</start>
      <end>2</end>
      <status>ignored</status>
      <modifiedWord/>
      <trackRevisions>false</trackRevisions>
    </reviewItem>
    <reviewItem>
      <errorID>727881fd-7126-4418-bd03-1c160e2a4509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5C43D393</paraID>
      <start>0</start>
      <end>2</end>
      <status>ignored</status>
      <modifiedWord/>
      <trackRevisions>false</trackRevisions>
    </reviewItem>
    <reviewItem>
      <errorID>952bd869-1da4-4de6-8ad3-5b6f93873646</errorID>
      <errorWord>~</errorWord>
      <group>L1_Format</group>
      <groupName>格式问题</groupName>
      <ability>L2_HalfPunc</ability>
      <abilityName>全半角检查</abilityName>
      <candidateList>
        <item>～</item>
      </candidateList>
      <explain>文本全半角错误。</explain>
      <paraID>3C9A4111</paraID>
      <start>49</start>
      <end>50</end>
      <status>ignored</status>
      <modifiedWord/>
      <trackRevisions>false</trackRevisions>
    </reviewItem>
    <reviewItem>
      <errorID>96ba515c-b29e-45f3-837b-094523e8c0fd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3DF900D6</paraID>
      <start>0</start>
      <end>2</end>
      <status>ignored</status>
      <modifiedWord/>
      <trackRevisions>false</trackRevisions>
    </reviewItem>
    <reviewItem>
      <errorID>b46d5992-24e5-4631-b030-ad920e7e029c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6A5CB811</paraID>
      <start>0</start>
      <end>2</end>
      <status>ignored</status>
      <modifiedWord/>
      <trackRevisions>false</trackRevisions>
    </reviewItem>
    <reviewItem>
      <errorID>e9402f17-5ad3-4a2d-8623-0d5ab98d8e62</errorID>
      <errorWord>年</errorWord>
      <group>L1_Word</group>
      <groupName>字词问题</groupName>
      <ability>L2_Typo</ability>
      <abilityName>字词错误</abilityName>
      <candidateList>
        <item>年度</item>
      </candidateList>
      <explain/>
      <paraID>4D315F81</paraID>
      <start>0</start>
      <end>1</end>
      <status>ignored</status>
      <modifiedWord/>
      <trackRevisions>false</trackRevisions>
    </reviewItem>
    <reviewItem>
      <errorID>c1e2f70d-9369-43a5-8735-16d0f01c52ea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69245EBA</paraID>
      <start>0</start>
      <end>2</end>
      <status>ignored</status>
      <modifiedWord/>
      <trackRevisions>false</trackRevisions>
    </reviewItem>
    <reviewItem>
      <errorID>e051448e-de17-48e3-86c8-ec10c81b7f98</errorID>
      <errorWord>II类</errorWord>
      <group>L1_Knowledge</group>
      <groupName>知识性问题</groupName>
      <ability>L2_Knowledge</ability>
      <abilityName>其他知识</abilityName>
      <candidateList>
        <item>Ⅱ类</item>
      </candidateList>
      <explain/>
      <paraID>5214FFBF</paraID>
      <start>128</start>
      <end>131</end>
      <status>ignored</status>
      <modifiedWord/>
      <trackRevisions>false</trackRevisions>
    </reviewItem>
    <reviewItem>
      <errorID>5489e537-7af2-4324-99df-c83b874750ab</errorID>
      <errorWord>II类</errorWord>
      <group>L1_Knowledge</group>
      <groupName>知识性问题</groupName>
      <ability>L2_Knowledge</ability>
      <abilityName>其他知识</abilityName>
      <candidateList>
        <item>Ⅱ类</item>
      </candidateList>
      <explain/>
      <paraID>5214FFBF</paraID>
      <start>142</start>
      <end>145</end>
      <status>ignored</status>
      <modifiedWord/>
      <trackRevisions>false</trackRevisions>
    </reviewItem>
    <reviewItem>
      <errorID>b183aaa1-db18-412e-a5fb-b4f8338eb15a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1F6B5D46</paraID>
      <start>0</start>
      <end>2</end>
      <status>ignored</status>
      <modifiedWord/>
      <trackRevisions>false</trackRevisions>
    </reviewItem>
    <reviewItem>
      <errorID>df1f1a81-ff71-4b72-9b89-823631d8f9d2</errorID>
      <errorWord>》（试行）</errorWord>
      <group>L1_Word</group>
      <groupName>字词问题</groupName>
      <ability>L2_Typo</ability>
      <abilityName>字词错误</abilityName>
      <candidateList>
        <item>（试行）》</item>
      </candidateList>
      <explain/>
      <paraID>5B2C60EA</paraID>
      <start>27</start>
      <end>32</end>
      <status>ignored</status>
      <modifiedWord/>
      <trackRevisions>false</trackRevisions>
    </reviewItem>
    <reviewItem>
      <errorID>5875ae1d-1dad-41ad-951e-0ac1c341e986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4863C3CB</paraID>
      <start>0</start>
      <end>2</end>
      <status>ignored</status>
      <modifiedWord/>
      <trackRevisions>false</trackRevisions>
    </reviewItem>
    <reviewItem>
      <errorID>f06149a5-60db-4ce3-ac09-4b7f7e3e80ad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4FB20D08</paraID>
      <start>0</start>
      <end>2</end>
      <status>ignored</status>
      <modifiedWord/>
      <trackRevisions>false</trackRevisions>
    </reviewItem>
    <reviewItem>
      <errorID>9b75f5ce-1b17-4b1e-a2a1-e0803a239edd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12AED4B1</paraID>
      <start>0</start>
      <end>2</end>
      <status>ignored</status>
      <modifiedWord/>
      <trackRevisions>false</trackRevisions>
    </reviewItem>
    <reviewItem>
      <errorID>ecfd7cd0-9688-4e28-8fdf-11003a968452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4518A992</paraID>
      <start>0</start>
      <end>2</end>
      <status>ignored</status>
      <modifiedWord/>
      <trackRevisions>false</trackRevisions>
    </reviewItem>
    <reviewItem>
      <errorID>74b5b2f6-07a7-4ad6-8a26-b211c26a59bb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2C6CE7CF</paraID>
      <start>0</start>
      <end>2</end>
      <status>ignored</status>
      <modifiedWord/>
      <trackRevisions>false</trackRevisions>
    </reviewItem>
    <reviewItem>
      <errorID>da3cadc1-7d28-40b6-817a-1866f0806e73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5366E6F9</paraID>
      <start>0</start>
      <end>2</end>
      <status>ignored</status>
      <modifiedWord/>
      <trackRevisions>false</trackRevisions>
    </reviewItem>
    <reviewItem>
      <errorID>88eb611d-51fa-4713-8c7e-df2d6e9297f1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1443B471</paraID>
      <start>0</start>
      <end>2</end>
      <status>ignored</status>
      <modifiedWord/>
      <trackRevisions>false</trackRevisions>
    </reviewItem>
    <reviewItem>
      <errorID>aa028ab7-7bc4-4de6-b590-9e5606208b54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56E7C24C</paraID>
      <start>0</start>
      <end>2</end>
      <status>ignored</status>
      <modifiedWord/>
      <trackRevisions>false</trackRevisions>
    </reviewItem>
    <reviewItem>
      <errorID>03af8d5c-2697-4d79-9280-b58c03726fc0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DB57A26</paraID>
      <start>0</start>
      <end>2</end>
      <status>ignored</status>
      <modifiedWord/>
      <trackRevisions>false</trackRevisions>
    </reviewItem>
    <reviewItem>
      <errorID>5473d428-cbe4-40b6-a018-62ce6af43e4f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21883422</paraID>
      <start>0</start>
      <end>2</end>
      <status>ignored</status>
      <modifiedWord/>
      <trackRevisions>false</trackRevisions>
    </reviewItem>
    <reviewItem>
      <errorID>38ff17d4-2c0f-40c6-8737-2747e588e505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1B64DB37</paraID>
      <start>0</start>
      <end>2</end>
      <status>ignored</status>
      <modifiedWord/>
      <trackRevisions>false</trackRevisions>
    </reviewItem>
    <reviewItem>
      <errorID>ae80f026-143f-4c09-82dd-256386fb4150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6A210FFF</paraID>
      <start>0</start>
      <end>2</end>
      <status>ignored</status>
      <modifiedWord/>
      <trackRevisions>false</trackRevisions>
    </reviewItem>
    <reviewItem>
      <errorID>ab410ed5-66bb-44bb-ac58-8e12f7c354ff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19D12AAF</paraID>
      <start>139</start>
      <end>140</end>
      <status>ignored</status>
      <modifiedWord/>
      <trackRevisions>false</trackRevisions>
    </reviewItem>
    <reviewItem>
      <errorID>d568acbd-ed04-4816-89e5-ab8de5d0cbea</errorID>
      <errorWord>~</errorWord>
      <group>L1_Format</group>
      <groupName>格式问题</groupName>
      <ability>L2_HalfPunc</ability>
      <abilityName>全半角检查</abilityName>
      <candidateList>
        <item>～</item>
      </candidateList>
      <explain>文本全半角错误。</explain>
      <paraID>23BB6A0C</paraID>
      <start>27</start>
      <end>28</end>
      <status>ignored</status>
      <modifiedWord/>
      <trackRevisions>false</trackRevisions>
    </reviewItem>
    <reviewItem>
      <errorID>d1dc5f84-9eda-40e3-bd0e-53925b1f1715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2F75FA99</paraID>
      <start>0</start>
      <end>2</end>
      <status>ignored</status>
      <modifiedWord/>
      <trackRevisions>false</trackRevisions>
    </reviewItem>
    <reviewItem>
      <errorID>bf5ba565-18ba-4652-838c-caa49404129f</errorID>
      <errorWord>)</errorWord>
      <group>L1_Format</group>
      <groupName>格式问题</groupName>
      <ability>L2_HalfPunc</ability>
      <abilityName>全半角检查</abilityName>
      <candidateList>
        <item>）</item>
      </candidateList>
      <explain>文本全半角错误。</explain>
      <paraID>547811B7</paraID>
      <start>74</start>
      <end>75</end>
      <status>modified</status>
      <modifiedWord>）</modifiedWord>
      <trackRevisions>false</trackRevisions>
    </reviewItem>
    <reviewItem>
      <errorID>b5b14079-41bd-4371-8e36-3006adb1b01d</errorID>
      <errorWord>计</errorWord>
      <group>L1_Word</group>
      <groupName>字词问题</groupName>
      <ability>L2_Typo</ability>
      <abilityName>字词错误</abilityName>
      <candidateList>
        <item>计算</item>
      </candidateList>
      <explain/>
      <paraID>547811B7</paraID>
      <start>76</start>
      <end>77</end>
      <status>ignored</status>
      <modifiedWord/>
      <trackRevisions>false</trackRevisions>
    </reviewItem>
    <reviewItem>
      <errorID>6c50a66d-5e2b-4b62-9b80-6a6fcf80bfea</errorID>
      <errorWord>）</errorWord>
      <group>L1_Format</group>
      <groupName>格式问题</groupName>
      <ability>L2_HalfPunc</ability>
      <abilityName>全半角检查</abilityName>
      <candidateList>
        <item>)</item>
      </candidateList>
      <explain>文本全半角错误。</explain>
      <paraID>6BD12454</paraID>
      <start>4</start>
      <end>5</end>
      <status>ignored</status>
      <modifiedWord/>
      <trackRevisions>false</trackRevisions>
    </reviewItem>
    <reviewItem>
      <errorID>152895bc-0fd6-49ce-b0d0-2ac80e845e30</errorID>
      <errorWord>：</errorWord>
      <group>L1_Format</group>
      <groupName>格式问题</groupName>
      <ability>L2_HalfPunc</ability>
      <abilityName>全半角检查</abilityName>
      <candidateList>
        <item>:</item>
      </candidateList>
      <explain>文本全半角错误。</explain>
      <paraID>4E747518</paraID>
      <start>84</start>
      <end>85</end>
      <status>modified</status>
      <modifiedWord>:</modifiedWord>
      <trackRevisions>false</trackRevisions>
    </reviewItem>
    <reviewItem>
      <errorID>9d7df5ad-4767-4daf-bf30-b3c693591c43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6EFA1155</paraID>
      <start>0</start>
      <end>2</end>
      <status>ignored</status>
      <modifiedWord/>
      <trackRevisions>false</trackRevisions>
    </reviewItem>
    <reviewItem>
      <errorID>a4680c58-a876-4815-a575-eacba9b85fdf</errorID>
      <errorWord>(</errorWord>
      <group>L1_Format</group>
      <groupName>格式问题</groupName>
      <ability>L2_HalfPunc</ability>
      <abilityName>全半角检查</abilityName>
      <candidateList>
        <item>（</item>
      </candidateList>
      <explain>文本全半角错误。</explain>
      <paraID>3910F2D2</paraID>
      <start>4</start>
      <end>5</end>
      <status>modified</status>
      <modifiedWord>（</modifiedWord>
      <trackRevisions>false</trackRevisions>
    </reviewItem>
    <reviewItem>
      <errorID>ee45d27f-7af9-4694-8a27-13d7cde621ea</errorID>
      <errorWord>)</errorWord>
      <group>L1_Format</group>
      <groupName>格式问题</groupName>
      <ability>L2_HalfPunc</ability>
      <abilityName>全半角检查</abilityName>
      <candidateList>
        <item>）</item>
      </candidateList>
      <explain>文本全半角错误。</explain>
      <paraID>3910F2D2</paraID>
      <start>6</start>
      <end>7</end>
      <status>modified</status>
      <modifiedWord>）</modifiedWord>
      <trackRevisions>false</trackRevisions>
    </reviewItem>
    <reviewItem>
      <errorID>25f38d27-3813-417f-87c5-2acb4db39983</errorID>
      <errorWord>源源</errorWord>
      <group>L1_Word</group>
      <groupName>字词问题</groupName>
      <ability>L2_Typo</ability>
      <abilityName>字词错误</abilityName>
      <candidateList>
        <item>源</item>
      </candidateList>
      <explain/>
      <paraID>64ED900B</paraID>
      <start>1</start>
      <end>3</end>
      <status>ignored</status>
      <modifiedWord/>
      <trackRevisions>false</trackRevisions>
    </reviewItem>
    <reviewItem>
      <errorID>1ae73d81-0854-4a29-971d-b82024db701a</errorID>
      <errorWord>（</errorWord>
      <group>L1_Format</group>
      <groupName>格式问题</groupName>
      <ability>L2_HalfPunc</ability>
      <abilityName>全半角检查</abilityName>
      <candidateList>
        <item>(</item>
      </candidateList>
      <explain>文本全半角错误。</explain>
      <paraID>33683DB6</paraID>
      <start>39</start>
      <end>40</end>
      <status>ignored</status>
      <modifiedWord/>
      <trackRevisions>false</trackRevisions>
    </reviewItem>
    <reviewItem>
      <errorID>322c623a-4eff-463e-9e73-cbbfd43af7fc</errorID>
      <errorWord>）</errorWord>
      <group>L1_Format</group>
      <groupName>格式问题</groupName>
      <ability>L2_HalfPunc</ability>
      <abilityName>全半角检查</abilityName>
      <candidateList>
        <item>)</item>
      </candidateList>
      <explain>文本全半角错误。</explain>
      <paraID>33683DB6</paraID>
      <start>43</start>
      <end>44</end>
      <status>ignored</status>
      <modifiedWord/>
      <trackRevisions>false</trackRevisions>
    </reviewItem>
    <reviewItem>
      <errorID>b6a74ce0-c23a-41dd-9625-a4ca8df4bdfb</errorID>
      <errorWord>（</errorWord>
      <group>L1_Format</group>
      <groupName>格式问题</groupName>
      <ability>L2_HalfPunc</ability>
      <abilityName>全半角检查</abilityName>
      <candidateList>
        <item>(</item>
      </candidateList>
      <explain>文本全半角错误。</explain>
      <paraID>76E0BD65</paraID>
      <start>42</start>
      <end>43</end>
      <status>ignored</status>
      <modifiedWord/>
      <trackRevisions>false</trackRevisions>
    </reviewItem>
    <reviewItem>
      <errorID>84a6de50-b3ff-4c45-949a-e480cf8c0b7c</errorID>
      <errorWord>）</errorWord>
      <group>L1_Format</group>
      <groupName>格式问题</groupName>
      <ability>L2_HalfPunc</ability>
      <abilityName>全半角检查</abilityName>
      <candidateList>
        <item>)</item>
      </candidateList>
      <explain>文本全半角错误。</explain>
      <paraID>76E0BD65</paraID>
      <start>46</start>
      <end>47</end>
      <status>ignored</status>
      <modifiedWord/>
      <trackRevisions>false</trackRevisions>
    </reviewItem>
    <reviewItem>
      <errorID>33ffbffe-0438-4007-af3d-5707087fe97f</errorID>
      <errorWord>(</errorWord>
      <group>L1_Format</group>
      <groupName>格式问题</groupName>
      <ability>L2_HalfPunc</ability>
      <abilityName>全半角检查</abilityName>
      <candidateList>
        <item>（</item>
      </candidateList>
      <explain>文本全半角错误。</explain>
      <paraID>4E03BA5D</paraID>
      <start>12</start>
      <end>13</end>
      <status>modified</status>
      <modifiedWord>（</modifiedWord>
      <trackRevisions>false</trackRevisions>
    </reviewItem>
    <reviewItem>
      <errorID>3f5977c0-f217-4fe0-97e2-beee20b99e64</errorID>
      <errorWord>)</errorWord>
      <group>L1_Format</group>
      <groupName>格式问题</groupName>
      <ability>L2_HalfPunc</ability>
      <abilityName>全半角检查</abilityName>
      <candidateList>
        <item>）</item>
      </candidateList>
      <explain>文本全半角错误。</explain>
      <paraID>247625E0</paraID>
      <start>24</start>
      <end>25</end>
      <status>modified</status>
      <modifiedWord>）</modifiedWord>
      <trackRevisions>false</trackRevisions>
    </reviewItem>
    <reviewItem>
      <errorID>546a3302-8e32-4363-8cc5-661734e36be8</errorID>
      <errorWord>)</errorWord>
      <group>L1_Format</group>
      <groupName>格式问题</groupName>
      <ability>L2_HalfPunc</ability>
      <abilityName>全半角检查</abilityName>
      <candidateList>
        <item>）</item>
      </candidateList>
      <explain>文本全半角错误。</explain>
      <paraID>4B5CDFD9</paraID>
      <start>27</start>
      <end>28</end>
      <status>modified</status>
      <modifiedWord>）</modifiedWord>
      <trackRevisions>false</trackRevisions>
    </reviewItem>
    <reviewItem>
      <errorID>08cd84ba-a0e0-43da-8b96-76055d5eb27c</errorID>
      <errorWord>)</errorWord>
      <group>L1_Format</group>
      <groupName>格式问题</groupName>
      <ability>L2_HalfPunc</ability>
      <abilityName>全半角检查</abilityName>
      <candidateList>
        <item>）</item>
      </candidateList>
      <explain>文本全半角错误。</explain>
      <paraID>166E8BC6</paraID>
      <start>24</start>
      <end>25</end>
      <status>modified</status>
      <modifiedWord>）</modifiedWord>
      <trackRevisions>false</trackRevisions>
    </reviewItem>
    <reviewItem>
      <errorID>70cb2f6f-d5c6-4305-9a3b-fc67d8eb98f2</errorID>
      <errorWord>)</errorWord>
      <group>L1_Format</group>
      <groupName>格式问题</groupName>
      <ability>L2_HalfPunc</ability>
      <abilityName>全半角检查</abilityName>
      <candidateList>
        <item>）</item>
      </candidateList>
      <explain>文本全半角错误。</explain>
      <paraID>2F247AED</paraID>
      <start>18</start>
      <end>19</end>
      <status>modified</status>
      <modifiedWord>）</modifiedWord>
      <trackRevisions>false</trackRevisions>
    </reviewItem>
    <reviewItem>
      <errorID>c6b1b5d2-462d-4443-bdc1-6c13008065f5</errorID>
      <errorWord>消音器</errorWord>
      <group>L1_Word</group>
      <groupName>字词问题</groupName>
      <ability>L2_Typo</ability>
      <abilityName>字词错误</abilityName>
      <candidateList>
        <item>消声器</item>
      </candidateList>
      <explain/>
      <paraID>6490AF18</paraID>
      <start>31</start>
      <end>34</end>
      <status>modified</status>
      <modifiedWord>消声器</modifiedWord>
      <trackRevisions>false</trackRevisions>
    </reviewItem>
    <reviewItem>
      <errorID>c004de6e-e5bd-4887-9881-aa5d1e71e68b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3618D337</paraID>
      <start>0</start>
      <end>2</end>
      <status>ignored</status>
      <modifiedWord/>
      <trackRevisions>false</trackRevisions>
    </reviewItem>
    <reviewItem>
      <errorID>2fdead5d-8b30-4ad2-abfd-19b82d5ac5db</errorID>
      <errorWord>2kg计</errorWord>
      <group>L1_Word</group>
      <groupName>字词问题</groupName>
      <ability>L2_Typo</ability>
      <abilityName>字词错误</abilityName>
      <candidateList>
        <item>2kg</item>
      </candidateList>
      <explain/>
      <paraID>4AE3E08C</paraID>
      <start>35</start>
      <end>39</end>
      <status>ignored</status>
      <modifiedWord/>
      <trackRevisions>false</trackRevisions>
    </reviewItem>
    <reviewItem>
      <errorID>049aa416-56dd-4541-82fa-d565aafc5f64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4A2B1F69</paraID>
      <start>0</start>
      <end>2</end>
      <status>ignored</status>
      <modifiedWord/>
      <trackRevisions>false</trackRevisions>
    </reviewItem>
    <reviewItem>
      <errorID>ff2ed490-510f-444a-be82-ac7cf438f952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3ED4172C</paraID>
      <start>77</start>
      <end>78</end>
      <status>ignored</status>
      <modifiedWord/>
      <trackRevisions>false</trackRevisions>
    </reviewItem>
    <reviewItem>
      <errorID>414c76e9-ad9a-4699-af87-d3ad56f81184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57186ED2</paraID>
      <start>32</start>
      <end>33</end>
      <status>ignored</status>
      <modifiedWord/>
      <trackRevisions>false</trackRevisions>
    </reviewItem>
    <reviewItem>
      <errorID>d0c3ab69-6318-4c52-a11d-9fec3d0c38b6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51F2DF14</paraID>
      <start>0</start>
      <end>2</end>
      <status>ignored</status>
      <modifiedWord/>
      <trackRevisions>false</trackRevisions>
    </reviewItem>
    <reviewItem>
      <errorID>b9757561-b179-40f0-ba69-2ce291dda57b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2586E6A0</paraID>
      <start>0</start>
      <end>2</end>
      <status>ignored</status>
      <modifiedWord/>
      <trackRevisions>false</trackRevisions>
    </reviewItem>
    <reviewItem>
      <errorID>65c0c008-2f71-4bb1-a76f-d6dda0a378b9</errorID>
      <errorWord>设</errorWord>
      <group>L1_Word</group>
      <groupName>字词问题</groupName>
      <ability>L2_Typo</ability>
      <abilityName>字词错误</abilityName>
      <candidateList>
        <item>设立</item>
      </candidateList>
      <explain/>
      <paraID>7ECD3F48</paraID>
      <start>34</start>
      <end>35</end>
      <status>ignored</status>
      <modifiedWord/>
      <trackRevisions>false</trackRevisions>
    </reviewItem>
    <reviewItem>
      <errorID>fcafd5d4-1b33-4a49-80f0-00b71e0c28f6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B856623</paraID>
      <start>0</start>
      <end>2</end>
      <status>ignored</status>
      <modifiedWord/>
      <trackRevisions>false</trackRevisions>
    </reviewItem>
    <reviewItem>
      <errorID>349bed5f-15ac-4a6a-8b59-8f03f051ce0e</errorID>
      <errorWord>标示牌</errorWord>
      <group>L1_Word</group>
      <groupName>字词问题</groupName>
      <ability>L2_Typo</ability>
      <abilityName>字词错误</abilityName>
      <candidateList>
        <item>标识牌</item>
      </candidateList>
      <explain>存在发音相同字词的误用。</explain>
      <paraID>12AA34DD</paraID>
      <start>0</start>
      <end>3</end>
      <status>ignored</status>
      <modifiedWord/>
      <trackRevisions>false</trackRevisions>
    </reviewItem>
    <reviewItem>
      <errorID>1073c28d-164e-4b0d-8e0b-d1aa79e6098d</errorID>
      <errorWord>设置</errorWord>
      <group>L1_Word</group>
      <groupName>字词问题</groupName>
      <ability>L2_Typo</ability>
      <abilityName>字词错误</abilityName>
      <candidateList>
        <item>设施</item>
      </candidateList>
      <explain/>
      <paraID>6B4A2654</paraID>
      <start>50</start>
      <end>52</end>
      <status>ignored</status>
      <modifiedWord/>
      <trackRevisions>false</trackRevisions>
    </reviewItem>
    <reviewItem>
      <errorID>d13536b3-060f-4ff7-853b-c545139a5640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4562329D</paraID>
      <start>0</start>
      <end>2</end>
      <status>ignored</status>
      <modifiedWord/>
      <trackRevisions>false</trackRevisions>
    </reviewItem>
    <reviewItem>
      <errorID>326cbf22-4c1c-4b55-95af-90fa52f4d743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4B065FBD</paraID>
      <start>0</start>
      <end>2</end>
      <status>ignored</status>
      <modifiedWord/>
      <trackRevisions>false</trackRevisions>
    </reviewItem>
    <reviewItem>
      <errorID>c1ebcb4f-79b6-42e8-940b-dc6cf4ece305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43628CE9</paraID>
      <start>7</start>
      <end>8</end>
      <status>ignored</status>
      <modifiedWord/>
      <trackRevisions>false</trackRevisions>
    </reviewItem>
    <reviewItem>
      <errorID>231752c1-3755-43a8-a229-88ca64859888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20CD7FCB</paraID>
      <start>7</start>
      <end>8</end>
      <status>ignored</status>
      <modifiedWord/>
      <trackRevisions>false</trackRevisions>
    </reviewItem>
    <reviewItem>
      <errorID>3bead496-0bf6-4316-9a11-815ac8547423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54459DB4</paraID>
      <start>8</start>
      <end>9</end>
      <status>ignored</status>
      <modifiedWord/>
      <trackRevisions>false</trackRevisions>
    </reviewItem>
    <reviewItem>
      <errorID>c735b973-1cf5-483c-9cbb-ea1d4800bf13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256D5B76</paraID>
      <start>6</start>
      <end>7</end>
      <status>ignored</status>
      <modifiedWord/>
      <trackRevisions>false</trackRevisions>
    </reviewItem>
    <reviewItem>
      <errorID>72a2c6f0-aca3-472b-a27e-fca7ec3731f3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4A5DE5F9</paraID>
      <start>6</start>
      <end>7</end>
      <status>ignored</status>
      <modifiedWord/>
      <trackRevisions>false</trackRevisions>
    </reviewItem>
    <reviewItem>
      <errorID>3239ab5b-114d-4e90-bc2e-72127736171f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3EF5D3C1</paraID>
      <start>7</start>
      <end>8</end>
      <status>ignored</status>
      <modifiedWord/>
      <trackRevisions>false</trackRevisions>
    </reviewItem>
    <reviewItem>
      <errorID>7edbd5ac-a7b5-44d8-bc43-6bac449b5ed6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2E60E551</paraID>
      <start>6</start>
      <end>7</end>
      <status>ignored</status>
      <modifiedWord/>
      <trackRevisions>false</trackRevisions>
    </reviewItem>
    <reviewItem>
      <errorID>82c14c73-371e-40ce-9b34-34d3358df8b9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35A3B29C</paraID>
      <start>6</start>
      <end>7</end>
      <status>ignored</status>
      <modifiedWord/>
      <trackRevisions>false</trackRevisions>
    </reviewItem>
    <reviewItem>
      <errorID>1bd65ccf-86f1-4bef-89b2-de87321abdcd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70D092B6</paraID>
      <start>7</start>
      <end>8</end>
      <status>ignored</status>
      <modifiedWord/>
      <trackRevisions>false</trackRevisions>
    </reviewItem>
    <reviewItem>
      <errorID>82c85e69-9094-423b-833a-2156123e3c07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DDA8650</paraID>
      <start>6</start>
      <end>7</end>
      <status>ignored</status>
      <modifiedWord/>
      <trackRevisions>false</trackRevisions>
    </reviewItem>
    <reviewItem>
      <errorID>79baa86a-e714-4bda-807c-cda8e0dc8fe4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36BCED83</paraID>
      <start>6</start>
      <end>7</end>
      <status>ignored</status>
      <modifiedWord/>
      <trackRevisions>false</trackRevisions>
    </reviewItem>
    <reviewItem>
      <errorID>863397e7-bf3d-41c9-a0ac-5078cea3b894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7783B578</paraID>
      <start>7</start>
      <end>8</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aadb2f-2ee7-4b80-8406-9caf187c1fa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52</Pages>
  <Words>7717</Words>
  <Characters>8310</Characters>
  <Lines>309</Lines>
  <Paragraphs>87</Paragraphs>
  <TotalTime>1</TotalTime>
  <ScaleCrop>false</ScaleCrop>
  <LinksUpToDate>false</LinksUpToDate>
  <CharactersWithSpaces>8366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炒鸡丁</cp:lastModifiedBy>
  <cp:lastPrinted>2020-12-29T02:43:00Z</cp:lastPrinted>
  <dcterms:modified xsi:type="dcterms:W3CDTF">2026-01-06T09:12:16Z</dcterms:modified>
  <dc:title>附件2</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D8DCB3F6EDBD43A2BB7C9D9527620435_13</vt:lpwstr>
  </property>
  <property fmtid="{D5CDD505-2E9C-101B-9397-08002B2CF9AE}" pid="4" name="KSOTemplateDocerSaveRecord">
    <vt:lpwstr>eyJoZGlkIjoiMDJhOTM3ZjYwOTExODM4NjBkMGJlYmYyMzkxYzBmMDMiLCJ1c2VySWQiOiIzNDgxMjUyOTgifQ==</vt:lpwstr>
  </property>
</Properties>
</file>